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 w:cs="微软雅黑"/>
          <w:b/>
          <w:bCs/>
          <w:sz w:val="32"/>
          <w:szCs w:val="40"/>
        </w:rPr>
      </w:pPr>
      <w:r>
        <w:rPr>
          <w:rFonts w:hint="eastAsia" w:ascii="仿宋" w:hAnsi="仿宋" w:eastAsia="仿宋" w:cs="黑体"/>
          <w:b/>
          <w:bCs/>
          <w:sz w:val="32"/>
          <w:szCs w:val="40"/>
        </w:rPr>
        <w:t>关于</w:t>
      </w:r>
      <w:r>
        <w:rPr>
          <w:rFonts w:hint="eastAsia" w:ascii="仿宋" w:hAnsi="仿宋" w:eastAsia="仿宋" w:cs="黑体"/>
          <w:b/>
          <w:bCs/>
          <w:sz w:val="32"/>
          <w:szCs w:val="40"/>
          <w:lang w:eastAsia="zh-CN"/>
        </w:rPr>
        <w:t>苏州中陆众建工程有限公司</w:t>
      </w:r>
      <w:r>
        <w:rPr>
          <w:rFonts w:hint="eastAsia" w:ascii="仿宋" w:hAnsi="仿宋" w:eastAsia="仿宋" w:cs="黑体"/>
          <w:b/>
          <w:bCs/>
          <w:sz w:val="32"/>
          <w:szCs w:val="40"/>
        </w:rPr>
        <w:t>破产清算案债权申报的通知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  <w:szCs w:val="32"/>
        </w:rPr>
      </w:pP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苏州中陆众建工程有限公司</w:t>
      </w:r>
      <w:r>
        <w:rPr>
          <w:rFonts w:hint="eastAsia" w:ascii="仿宋" w:hAnsi="仿宋" w:eastAsia="仿宋" w:cstheme="minorEastAsia"/>
          <w:sz w:val="24"/>
          <w:szCs w:val="32"/>
        </w:rPr>
        <w:t>因不能清偿到期债务，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昆山市人民法院</w:t>
      </w:r>
      <w:r>
        <w:rPr>
          <w:rFonts w:hint="eastAsia" w:ascii="仿宋" w:hAnsi="仿宋" w:eastAsia="仿宋" w:cstheme="minorEastAsia"/>
          <w:sz w:val="24"/>
          <w:szCs w:val="32"/>
        </w:rPr>
        <w:t>于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202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4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年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05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月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24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日</w:t>
      </w:r>
      <w:r>
        <w:rPr>
          <w:rFonts w:hint="eastAsia" w:ascii="仿宋" w:hAnsi="仿宋" w:eastAsia="仿宋" w:cstheme="minorEastAsia"/>
          <w:sz w:val="24"/>
          <w:szCs w:val="32"/>
        </w:rPr>
        <w:t>作出“（202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4</w:t>
      </w:r>
      <w:r>
        <w:rPr>
          <w:rFonts w:hint="eastAsia" w:ascii="仿宋" w:hAnsi="仿宋" w:eastAsia="仿宋" w:cstheme="minorEastAsia"/>
          <w:sz w:val="24"/>
          <w:szCs w:val="32"/>
        </w:rPr>
        <w:t>）苏05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83</w:t>
      </w:r>
      <w:r>
        <w:rPr>
          <w:rFonts w:hint="eastAsia" w:ascii="仿宋" w:hAnsi="仿宋" w:eastAsia="仿宋" w:cstheme="minorEastAsia"/>
          <w:sz w:val="24"/>
          <w:szCs w:val="32"/>
        </w:rPr>
        <w:t>破申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167</w:t>
      </w:r>
      <w:r>
        <w:rPr>
          <w:rFonts w:hint="eastAsia" w:ascii="仿宋" w:hAnsi="仿宋" w:eastAsia="仿宋" w:cstheme="minorEastAsia"/>
          <w:sz w:val="24"/>
          <w:szCs w:val="32"/>
        </w:rPr>
        <w:t>号”《民事裁定书》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，</w:t>
      </w:r>
      <w:r>
        <w:rPr>
          <w:rFonts w:hint="eastAsia" w:ascii="仿宋" w:hAnsi="仿宋" w:eastAsia="仿宋" w:cstheme="minorEastAsia"/>
          <w:sz w:val="24"/>
          <w:szCs w:val="32"/>
        </w:rPr>
        <w:t>裁定受理了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申请人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instrText xml:space="preserve"> HYPERLINK "https://www.qcc.com/case/0f614958f090a3a0eedc3527bb498ee1.html" \t "https://www.qcc.com/csusong/_blank" </w:instrTex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江苏图越电子科技有限公司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fldChar w:fldCharType="end"/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对被申请人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苏州中陆众建工程有限公司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的</w:t>
      </w:r>
      <w:r>
        <w:rPr>
          <w:rFonts w:hint="eastAsia" w:ascii="仿宋" w:hAnsi="仿宋" w:eastAsia="仿宋" w:cstheme="minorEastAsia"/>
          <w:sz w:val="24"/>
          <w:szCs w:val="32"/>
        </w:rPr>
        <w:t>破产清算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申请</w:t>
      </w:r>
      <w:r>
        <w:rPr>
          <w:rFonts w:hint="eastAsia" w:ascii="仿宋" w:hAnsi="仿宋" w:eastAsia="仿宋" w:cstheme="minorEastAsia"/>
          <w:sz w:val="24"/>
          <w:szCs w:val="32"/>
        </w:rPr>
        <w:t>，并于202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4</w:t>
      </w:r>
      <w:r>
        <w:rPr>
          <w:rFonts w:hint="eastAsia" w:ascii="仿宋" w:hAnsi="仿宋" w:eastAsia="仿宋" w:cstheme="minorEastAsia"/>
          <w:sz w:val="24"/>
          <w:szCs w:val="32"/>
        </w:rPr>
        <w:t>年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05</w:t>
      </w:r>
      <w:r>
        <w:rPr>
          <w:rFonts w:hint="eastAsia" w:ascii="仿宋" w:hAnsi="仿宋" w:eastAsia="仿宋" w:cstheme="minorEastAsia"/>
          <w:sz w:val="24"/>
          <w:szCs w:val="32"/>
        </w:rPr>
        <w:t>月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24</w:t>
      </w:r>
      <w:r>
        <w:rPr>
          <w:rFonts w:hint="eastAsia" w:ascii="仿宋" w:hAnsi="仿宋" w:eastAsia="仿宋" w:cstheme="minorEastAsia"/>
          <w:sz w:val="24"/>
          <w:szCs w:val="32"/>
        </w:rPr>
        <w:t>日作出“（202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4</w:t>
      </w:r>
      <w:r>
        <w:rPr>
          <w:rFonts w:hint="eastAsia" w:ascii="仿宋" w:hAnsi="仿宋" w:eastAsia="仿宋" w:cstheme="minorEastAsia"/>
          <w:sz w:val="24"/>
          <w:szCs w:val="32"/>
        </w:rPr>
        <w:t>）苏05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83</w:t>
      </w:r>
      <w:r>
        <w:rPr>
          <w:rFonts w:hint="eastAsia" w:ascii="仿宋" w:hAnsi="仿宋" w:eastAsia="仿宋" w:cstheme="minorEastAsia"/>
          <w:sz w:val="24"/>
          <w:szCs w:val="32"/>
        </w:rPr>
        <w:t>破</w:t>
      </w:r>
      <w:r>
        <w:rPr>
          <w:rFonts w:hint="eastAsia" w:ascii="仿宋" w:hAnsi="仿宋" w:eastAsia="仿宋" w:cstheme="minorEastAsia"/>
          <w:sz w:val="24"/>
          <w:szCs w:val="32"/>
          <w:lang w:val="en-US" w:eastAsia="zh-CN"/>
        </w:rPr>
        <w:t>170</w:t>
      </w:r>
      <w:r>
        <w:rPr>
          <w:rFonts w:hint="eastAsia" w:ascii="仿宋" w:hAnsi="仿宋" w:eastAsia="仿宋" w:cstheme="minorEastAsia"/>
          <w:sz w:val="24"/>
          <w:szCs w:val="32"/>
        </w:rPr>
        <w:t>号”《决定书》，指定天衡会计师事务所（特殊普通合伙）苏州勤业分所担任</w:t>
      </w:r>
      <w:r>
        <w:rPr>
          <w:rFonts w:hint="eastAsia" w:ascii="仿宋" w:hAnsi="仿宋" w:eastAsia="仿宋" w:cstheme="minorEastAsia"/>
          <w:sz w:val="24"/>
          <w:szCs w:val="32"/>
          <w:lang w:eastAsia="zh-CN"/>
        </w:rPr>
        <w:t>苏州中陆众建工程有限公司</w:t>
      </w:r>
      <w:r>
        <w:rPr>
          <w:rFonts w:hint="eastAsia" w:ascii="仿宋" w:hAnsi="仿宋" w:eastAsia="仿宋" w:cstheme="minorEastAsia"/>
          <w:sz w:val="24"/>
          <w:szCs w:val="32"/>
        </w:rPr>
        <w:t>管理人。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  <w:szCs w:val="32"/>
        </w:rPr>
      </w:pPr>
      <w:r>
        <w:rPr>
          <w:rFonts w:hint="eastAsia" w:ascii="仿宋" w:hAnsi="仿宋" w:eastAsia="仿宋" w:cstheme="minorEastAsia"/>
          <w:sz w:val="24"/>
          <w:szCs w:val="32"/>
        </w:rPr>
        <w:t>天衡会计师事务所（特殊普通合伙）苏州勤业分所担任</w:t>
      </w:r>
      <w:bookmarkStart w:id="0" w:name="_Hlk509757836"/>
      <w:r>
        <w:rPr>
          <w:rFonts w:hint="eastAsia" w:ascii="仿宋" w:hAnsi="仿宋" w:eastAsia="仿宋" w:cs="宋体"/>
          <w:color w:val="000000"/>
          <w:sz w:val="24"/>
          <w:shd w:val="clear" w:color="auto" w:fill="FFFFFF"/>
          <w:lang w:eastAsia="zh-CN"/>
        </w:rPr>
        <w:t>苏州中陆众建工程有限公司</w:t>
      </w:r>
      <w:r>
        <w:rPr>
          <w:rFonts w:hint="eastAsia" w:ascii="仿宋" w:hAnsi="仿宋" w:eastAsia="仿宋" w:cstheme="minorEastAsia"/>
          <w:sz w:val="24"/>
          <w:szCs w:val="32"/>
        </w:rPr>
        <w:t>管理人</w:t>
      </w:r>
      <w:bookmarkEnd w:id="0"/>
      <w:r>
        <w:rPr>
          <w:rFonts w:hint="eastAsia" w:ascii="仿宋" w:hAnsi="仿宋" w:eastAsia="仿宋" w:cstheme="minorEastAsia"/>
          <w:sz w:val="24"/>
          <w:szCs w:val="32"/>
        </w:rPr>
        <w:t>，依法负责债权登记、审核工作。现就有关事项通知如下：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ascii="仿宋" w:hAnsi="仿宋" w:eastAsia="仿宋" w:cstheme="minorEastAsia"/>
          <w:sz w:val="24"/>
          <w:szCs w:val="32"/>
        </w:rPr>
      </w:pPr>
      <w:r>
        <w:rPr>
          <w:rFonts w:hint="eastAsia" w:ascii="仿宋" w:hAnsi="仿宋" w:eastAsia="仿宋" w:cstheme="minorEastAsia"/>
          <w:b/>
          <w:sz w:val="24"/>
          <w:szCs w:val="32"/>
          <w:u w:val="single"/>
        </w:rPr>
        <w:t>一、</w:t>
      </w:r>
      <w:r>
        <w:rPr>
          <w:rFonts w:hint="eastAsia" w:ascii="仿宋" w:hAnsi="仿宋" w:eastAsia="仿宋" w:cstheme="minorEastAsia"/>
          <w:b/>
          <w:bCs/>
          <w:sz w:val="24"/>
          <w:szCs w:val="32"/>
          <w:u w:val="single"/>
        </w:rPr>
        <w:t>各债权人应在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</w:rPr>
        <w:t>202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  <w:lang w:val="en-US" w:eastAsia="zh-CN"/>
        </w:rPr>
        <w:t>4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</w:rPr>
        <w:t>年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  <w:lang w:val="en-US" w:eastAsia="zh-CN"/>
        </w:rPr>
        <w:t>07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</w:rPr>
        <w:t>月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  <w:lang w:val="en-US" w:eastAsia="zh-CN"/>
        </w:rPr>
        <w:t>09</w:t>
      </w:r>
      <w:r>
        <w:rPr>
          <w:rFonts w:hint="eastAsia" w:ascii="仿宋" w:hAnsi="仿宋" w:eastAsia="仿宋" w:cstheme="minorEastAsia"/>
          <w:b/>
          <w:bCs/>
          <w:sz w:val="24"/>
          <w:szCs w:val="32"/>
          <w:highlight w:val="yellow"/>
          <w:u w:val="single"/>
        </w:rPr>
        <w:t>日</w:t>
      </w:r>
      <w:r>
        <w:rPr>
          <w:rFonts w:hint="eastAsia" w:ascii="仿宋" w:hAnsi="仿宋" w:eastAsia="仿宋" w:cstheme="minorEastAsia"/>
          <w:b/>
          <w:bCs/>
          <w:sz w:val="24"/>
          <w:szCs w:val="32"/>
          <w:u w:val="single"/>
        </w:rPr>
        <w:t>前向</w:t>
      </w:r>
      <w:r>
        <w:rPr>
          <w:rFonts w:hint="eastAsia" w:ascii="仿宋" w:hAnsi="仿宋" w:eastAsia="仿宋" w:cstheme="minorEastAsia"/>
          <w:b/>
          <w:sz w:val="24"/>
          <w:szCs w:val="32"/>
          <w:u w:val="single"/>
        </w:rPr>
        <w:t>管理人</w:t>
      </w:r>
      <w:r>
        <w:rPr>
          <w:rFonts w:hint="eastAsia" w:ascii="仿宋" w:hAnsi="仿宋" w:eastAsia="仿宋" w:cstheme="minorEastAsia"/>
          <w:b/>
          <w:bCs/>
          <w:sz w:val="24"/>
          <w:szCs w:val="32"/>
          <w:u w:val="single"/>
        </w:rPr>
        <w:t>申报债权</w:t>
      </w:r>
      <w:r>
        <w:rPr>
          <w:rFonts w:hint="eastAsia" w:ascii="仿宋" w:hAnsi="仿宋" w:eastAsia="仿宋" w:cstheme="minorEastAsia"/>
          <w:sz w:val="24"/>
          <w:szCs w:val="32"/>
        </w:rPr>
        <w:t>，书面说明债权数额、有无财产担保、是否属于连带债权等债权情况，并提供相关证明材料。如未能在上述期限申报债权，</w:t>
      </w:r>
      <w:r>
        <w:rPr>
          <w:rFonts w:hint="eastAsia" w:ascii="仿宋" w:hAnsi="仿宋" w:eastAsia="仿宋" w:cs="宋体"/>
          <w:color w:val="000000"/>
          <w:sz w:val="24"/>
          <w:shd w:val="clear" w:color="auto" w:fill="FFFFFF"/>
        </w:rPr>
        <w:t>可以在破产财产最后分配前补充申报</w:t>
      </w:r>
      <w:r>
        <w:rPr>
          <w:rFonts w:hint="eastAsia" w:ascii="仿宋" w:hAnsi="仿宋" w:eastAsia="仿宋" w:cstheme="minorEastAsia"/>
          <w:sz w:val="24"/>
          <w:szCs w:val="32"/>
        </w:rPr>
        <w:t>，但此前已进行的分配，不再对补充申报人补充分配，为审查和确认补充申报债权产生的费用，由补充申报人承担。未申报债权的，不得依照《中华人民共和国企业破产法》规定的程序行使权利。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ascii="仿宋" w:hAnsi="仿宋" w:eastAsia="仿宋" w:cstheme="minorEastAsia"/>
          <w:b/>
          <w:sz w:val="24"/>
          <w:szCs w:val="32"/>
        </w:rPr>
      </w:pPr>
      <w:r>
        <w:rPr>
          <w:rFonts w:hint="eastAsia" w:ascii="仿宋" w:hAnsi="仿宋" w:eastAsia="仿宋" w:cstheme="minorEastAsia"/>
          <w:b/>
          <w:sz w:val="24"/>
          <w:szCs w:val="32"/>
        </w:rPr>
        <w:t>二、申报债权时应提供以下资料（具体事项请查看《债权申报审核、规则》）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textAlignment w:val="auto"/>
        <w:rPr>
          <w:rFonts w:ascii="仿宋" w:hAnsi="仿宋" w:eastAsia="仿宋" w:cstheme="minorEastAsia"/>
          <w:sz w:val="24"/>
          <w:szCs w:val="32"/>
        </w:rPr>
      </w:pPr>
      <w:r>
        <w:rPr>
          <w:rFonts w:hint="eastAsia" w:ascii="仿宋" w:hAnsi="仿宋" w:eastAsia="仿宋" w:cstheme="minorEastAsia"/>
          <w:sz w:val="24"/>
          <w:szCs w:val="32"/>
        </w:rPr>
        <w:t xml:space="preserve">    （一）债权申报登记表及计算明细；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  <w:szCs w:val="32"/>
        </w:rPr>
      </w:pPr>
      <w:r>
        <w:rPr>
          <w:rFonts w:hint="eastAsia" w:ascii="仿宋" w:hAnsi="仿宋" w:eastAsia="仿宋" w:cstheme="minorEastAsia"/>
          <w:sz w:val="24"/>
          <w:szCs w:val="32"/>
        </w:rPr>
        <w:t>（二）</w:t>
      </w:r>
      <w:r>
        <w:rPr>
          <w:rFonts w:hint="eastAsia" w:ascii="仿宋" w:hAnsi="仿宋" w:eastAsia="仿宋" w:cstheme="minorEastAsia"/>
          <w:sz w:val="24"/>
        </w:rPr>
        <w:t>债权申报人送达地址确认书；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</w:rPr>
      </w:pPr>
      <w:r>
        <w:rPr>
          <w:rFonts w:hint="eastAsia" w:ascii="仿宋" w:hAnsi="仿宋" w:eastAsia="仿宋" w:cstheme="minorEastAsia"/>
          <w:sz w:val="24"/>
          <w:szCs w:val="32"/>
        </w:rPr>
        <w:t>（三）申报人为单位的，提供有效的企业法人营业执照、事业和社团法人登记证书或其他合法证明书复印件、法定代表人或负责人身份证明书、法定代表人或负责人个人身份证复印件；申报人为个人的，提供债权人身份证等个人有效证件复印件。债权人如委托代理人申报的，还须提交授权委托书、代理人的身份证等个人有效证件复印件；委托代理人是律师的，还应提交律师事务所的指派函及律师执业证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</w:rPr>
      </w:pPr>
      <w:r>
        <w:rPr>
          <w:rFonts w:hint="eastAsia" w:ascii="仿宋" w:hAnsi="仿宋" w:eastAsia="仿宋" w:cstheme="minorEastAsia"/>
          <w:sz w:val="24"/>
          <w:szCs w:val="32"/>
        </w:rPr>
        <w:t>申报债权的证据（如：各类合同书、协议、发货清单、收货确认单、</w:t>
      </w:r>
      <w:r>
        <w:rPr>
          <w:rFonts w:hint="eastAsia" w:ascii="仿宋" w:hAnsi="仿宋" w:eastAsia="仿宋" w:cstheme="minorEastAsia"/>
          <w:sz w:val="24"/>
        </w:rPr>
        <w:t>对账单、收款或付款凭证等债权原始材料及票据、划账单等原始履约凭证原件及复印件、判决书、调解书、裁定书、孳息或违约金计算凭证等书面材料）；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</w:rPr>
      </w:pPr>
      <w:r>
        <w:rPr>
          <w:rFonts w:hint="eastAsia" w:ascii="仿宋" w:hAnsi="仿宋" w:eastAsia="仿宋" w:cstheme="minorEastAsia"/>
          <w:sz w:val="24"/>
        </w:rPr>
        <w:t>承诺书和确认函。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</w:rPr>
      </w:pPr>
      <w:r>
        <w:rPr>
          <w:rFonts w:hint="eastAsia" w:ascii="仿宋" w:hAnsi="仿宋" w:eastAsia="仿宋" w:cstheme="minorEastAsia"/>
          <w:sz w:val="24"/>
        </w:rPr>
        <w:t>三、申报方式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ascii="仿宋" w:hAnsi="仿宋" w:eastAsia="仿宋" w:cstheme="minorEastAsia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theme="minorEastAsia"/>
          <w:b/>
          <w:bCs/>
          <w:sz w:val="24"/>
          <w:u w:val="single"/>
        </w:rPr>
        <w:t>债权人可以现场提交申报材料或者邮寄申报材料。债权申报地址：张家港市杨舍镇滨河路5号爱康大厦1</w:t>
      </w:r>
      <w:r>
        <w:rPr>
          <w:rFonts w:ascii="仿宋" w:hAnsi="仿宋" w:eastAsia="仿宋" w:cstheme="minorEastAsia"/>
          <w:b/>
          <w:bCs/>
          <w:sz w:val="24"/>
          <w:u w:val="single"/>
        </w:rPr>
        <w:t>5</w:t>
      </w:r>
      <w:r>
        <w:rPr>
          <w:rFonts w:hint="eastAsia" w:ascii="仿宋" w:hAnsi="仿宋" w:eastAsia="仿宋" w:cstheme="minorEastAsia"/>
          <w:b/>
          <w:bCs/>
          <w:sz w:val="24"/>
          <w:u w:val="single"/>
        </w:rPr>
        <w:t>楼。联系人：王伟东、王珂 1</w:t>
      </w:r>
      <w:r>
        <w:rPr>
          <w:rFonts w:ascii="仿宋" w:hAnsi="仿宋" w:eastAsia="仿宋" w:cstheme="minorEastAsia"/>
          <w:b/>
          <w:bCs/>
          <w:sz w:val="24"/>
          <w:u w:val="single"/>
        </w:rPr>
        <w:t>3372133525</w:t>
      </w:r>
      <w:r>
        <w:rPr>
          <w:rFonts w:hint="eastAsia" w:ascii="仿宋" w:hAnsi="仿宋" w:eastAsia="仿宋" w:cstheme="minorEastAsia"/>
          <w:b/>
          <w:bCs/>
          <w:sz w:val="24"/>
          <w:u w:val="single"/>
        </w:rPr>
        <w:t>、13372133521。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2" w:firstLineChars="200"/>
        <w:textAlignment w:val="auto"/>
        <w:rPr>
          <w:rFonts w:ascii="仿宋" w:hAnsi="仿宋" w:eastAsia="仿宋" w:cstheme="minorEastAsia"/>
          <w:sz w:val="24"/>
        </w:rPr>
      </w:pPr>
      <w:r>
        <w:rPr>
          <w:rFonts w:hint="eastAsia" w:ascii="仿宋" w:hAnsi="仿宋" w:eastAsia="仿宋" w:cstheme="minorEastAsia"/>
          <w:b/>
          <w:bCs/>
          <w:sz w:val="24"/>
          <w:u w:val="single"/>
        </w:rPr>
        <w:t>第一次债权人会议时间定于202</w:t>
      </w:r>
      <w:r>
        <w:rPr>
          <w:rFonts w:hint="eastAsia" w:ascii="仿宋" w:hAnsi="仿宋" w:eastAsia="仿宋" w:cstheme="minorEastAsia"/>
          <w:b/>
          <w:bCs/>
          <w:sz w:val="24"/>
          <w:u w:val="single"/>
          <w:lang w:val="en-US" w:eastAsia="zh-CN"/>
        </w:rPr>
        <w:t>4</w:t>
      </w:r>
      <w:r>
        <w:rPr>
          <w:rFonts w:hint="eastAsia" w:ascii="仿宋" w:hAnsi="仿宋" w:eastAsia="仿宋" w:cstheme="minorEastAsia"/>
          <w:b/>
          <w:bCs/>
          <w:sz w:val="24"/>
          <w:u w:val="single"/>
        </w:rPr>
        <w:t>年</w:t>
      </w:r>
      <w:r>
        <w:rPr>
          <w:rFonts w:hint="eastAsia" w:ascii="仿宋" w:hAnsi="仿宋" w:eastAsia="仿宋" w:cstheme="minorEastAsia"/>
          <w:b/>
          <w:bCs/>
          <w:sz w:val="24"/>
          <w:u w:val="single"/>
          <w:lang w:val="en-US" w:eastAsia="zh-CN"/>
        </w:rPr>
        <w:t>07</w:t>
      </w:r>
      <w:r>
        <w:rPr>
          <w:rFonts w:hint="eastAsia" w:ascii="仿宋" w:hAnsi="仿宋" w:eastAsia="仿宋" w:cstheme="minorEastAsia"/>
          <w:b/>
          <w:bCs/>
          <w:sz w:val="24"/>
          <w:u w:val="single"/>
        </w:rPr>
        <w:t>月</w:t>
      </w:r>
      <w:r>
        <w:rPr>
          <w:rFonts w:hint="eastAsia" w:ascii="仿宋" w:hAnsi="仿宋" w:eastAsia="仿宋" w:cstheme="minorEastAsia"/>
          <w:b/>
          <w:bCs/>
          <w:sz w:val="24"/>
          <w:u w:val="single"/>
          <w:lang w:val="en-US" w:eastAsia="zh-CN"/>
        </w:rPr>
        <w:t>16</w:t>
      </w:r>
      <w:r>
        <w:rPr>
          <w:rFonts w:hint="eastAsia" w:ascii="仿宋" w:hAnsi="仿宋" w:eastAsia="仿宋" w:cstheme="minorEastAsia"/>
          <w:b/>
          <w:bCs/>
          <w:sz w:val="24"/>
          <w:u w:val="single"/>
        </w:rPr>
        <w:t>日召开</w:t>
      </w:r>
      <w:r>
        <w:rPr>
          <w:rFonts w:hint="eastAsia" w:ascii="仿宋" w:hAnsi="仿宋" w:eastAsia="仿宋" w:cstheme="minorEastAsia"/>
          <w:b/>
          <w:bCs/>
          <w:sz w:val="24"/>
          <w:u w:val="single"/>
          <w:lang w:eastAsia="zh-CN"/>
        </w:rPr>
        <w:t>，</w:t>
      </w:r>
      <w:r>
        <w:rPr>
          <w:rFonts w:hint="eastAsia" w:ascii="仿宋" w:hAnsi="仿宋" w:eastAsia="仿宋" w:cstheme="minorEastAsia"/>
          <w:b/>
          <w:bCs/>
          <w:sz w:val="24"/>
          <w:u w:val="single"/>
          <w:lang w:val="en-US" w:eastAsia="zh-CN"/>
        </w:rPr>
        <w:t>具体</w:t>
      </w:r>
      <w:r>
        <w:rPr>
          <w:rFonts w:hint="eastAsia" w:ascii="仿宋" w:hAnsi="仿宋" w:eastAsia="仿宋" w:cstheme="minorEastAsia"/>
          <w:b/>
          <w:bCs/>
          <w:sz w:val="24"/>
          <w:u w:val="single"/>
        </w:rPr>
        <w:t>开会方式等事宜由管理人另行通知。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</w:rPr>
      </w:pPr>
      <w:r>
        <w:rPr>
          <w:rFonts w:hint="eastAsia" w:ascii="仿宋" w:hAnsi="仿宋" w:eastAsia="仿宋" w:cstheme="minorEastAsia"/>
          <w:sz w:val="24"/>
        </w:rPr>
        <w:t>特此通知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ind w:firstLine="480" w:firstLineChars="200"/>
        <w:textAlignment w:val="auto"/>
        <w:rPr>
          <w:rFonts w:ascii="仿宋" w:hAnsi="仿宋" w:eastAsia="仿宋" w:cstheme="minorEastAsia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jc w:val="right"/>
        <w:textAlignment w:val="auto"/>
        <w:rPr>
          <w:rFonts w:ascii="仿宋" w:hAnsi="仿宋" w:eastAsia="仿宋" w:cstheme="minorEastAsia"/>
          <w:b/>
          <w:sz w:val="24"/>
        </w:rPr>
      </w:pPr>
      <w:r>
        <w:rPr>
          <w:rFonts w:hint="eastAsia" w:ascii="仿宋" w:hAnsi="仿宋" w:eastAsia="仿宋" w:cstheme="minorEastAsia"/>
          <w:b/>
          <w:sz w:val="24"/>
          <w:lang w:eastAsia="zh-CN"/>
        </w:rPr>
        <w:t>苏州中陆众建工程有限公司</w:t>
      </w:r>
      <w:r>
        <w:rPr>
          <w:rFonts w:hint="eastAsia" w:ascii="仿宋" w:hAnsi="仿宋" w:eastAsia="仿宋" w:cstheme="minorEastAsia"/>
          <w:b/>
          <w:sz w:val="24"/>
        </w:rPr>
        <w:t>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8" w:lineRule="auto"/>
        <w:jc w:val="right"/>
        <w:textAlignment w:val="auto"/>
        <w:rPr>
          <w:rFonts w:hint="eastAsia" w:ascii="仿宋" w:hAnsi="仿宋" w:eastAsia="仿宋" w:cs="宋体"/>
          <w:b/>
          <w:sz w:val="24"/>
          <w:szCs w:val="24"/>
          <w:lang w:eastAsia="zh-CN"/>
        </w:rPr>
      </w:pPr>
      <w:bookmarkStart w:id="1" w:name="_GoBack"/>
      <w:bookmarkEnd w:id="1"/>
      <w:r>
        <w:rPr>
          <w:rFonts w:hint="eastAsia" w:ascii="仿宋" w:hAnsi="仿宋" w:eastAsia="仿宋" w:cs="宋体"/>
          <w:b/>
          <w:sz w:val="24"/>
          <w:szCs w:val="24"/>
          <w:lang w:eastAsia="zh-CN"/>
        </w:rPr>
        <w:t>二〇二四年六月四日</w:t>
      </w:r>
    </w:p>
    <w:sectPr>
      <w:pgSz w:w="11906" w:h="16838"/>
      <w:pgMar w:top="567" w:right="720" w:bottom="567" w:left="72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E698FB"/>
    <w:multiLevelType w:val="singleLevel"/>
    <w:tmpl w:val="56E698FB"/>
    <w:lvl w:ilvl="0" w:tentative="0">
      <w:start w:val="4"/>
      <w:numFmt w:val="chineseCounting"/>
      <w:suff w:val="nothing"/>
      <w:lvlText w:val="（%1）"/>
      <w:lvlJc w:val="left"/>
    </w:lvl>
  </w:abstractNum>
  <w:abstractNum w:abstractNumId="1">
    <w:nsid w:val="5753C837"/>
    <w:multiLevelType w:val="singleLevel"/>
    <w:tmpl w:val="5753C837"/>
    <w:lvl w:ilvl="0" w:tentative="0">
      <w:start w:val="4"/>
      <w:numFmt w:val="chineseCounting"/>
      <w:suff w:val="nothing"/>
      <w:lvlText w:val="%1、"/>
      <w:lvlJc w:val="left"/>
      <w:rPr>
        <w:b/>
        <w:u w:val="singl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2NTQwMDU4MjY5N2MwODhjNGZiMjYwNDM5OWVkYjgifQ=="/>
  </w:docVars>
  <w:rsids>
    <w:rsidRoot w:val="0B3644BE"/>
    <w:rsid w:val="00011257"/>
    <w:rsid w:val="000169C1"/>
    <w:rsid w:val="00033280"/>
    <w:rsid w:val="000B1B16"/>
    <w:rsid w:val="000C560D"/>
    <w:rsid w:val="000E4E64"/>
    <w:rsid w:val="000F69B2"/>
    <w:rsid w:val="001C05CE"/>
    <w:rsid w:val="002325CB"/>
    <w:rsid w:val="00242A3C"/>
    <w:rsid w:val="0027637D"/>
    <w:rsid w:val="00292E18"/>
    <w:rsid w:val="002D17BD"/>
    <w:rsid w:val="003546CF"/>
    <w:rsid w:val="003554FA"/>
    <w:rsid w:val="00376C4A"/>
    <w:rsid w:val="003938B0"/>
    <w:rsid w:val="00451111"/>
    <w:rsid w:val="0047667D"/>
    <w:rsid w:val="00484144"/>
    <w:rsid w:val="004E27E1"/>
    <w:rsid w:val="0050720F"/>
    <w:rsid w:val="00512C7C"/>
    <w:rsid w:val="00553448"/>
    <w:rsid w:val="00567CB7"/>
    <w:rsid w:val="00573595"/>
    <w:rsid w:val="0057468D"/>
    <w:rsid w:val="005A7316"/>
    <w:rsid w:val="005B69A8"/>
    <w:rsid w:val="005C5163"/>
    <w:rsid w:val="005E2836"/>
    <w:rsid w:val="005E561C"/>
    <w:rsid w:val="005E7F2A"/>
    <w:rsid w:val="00637549"/>
    <w:rsid w:val="00667C55"/>
    <w:rsid w:val="0077055B"/>
    <w:rsid w:val="00822D7F"/>
    <w:rsid w:val="00895886"/>
    <w:rsid w:val="008B2B30"/>
    <w:rsid w:val="008C2B72"/>
    <w:rsid w:val="008F0DB6"/>
    <w:rsid w:val="0093540A"/>
    <w:rsid w:val="009373EC"/>
    <w:rsid w:val="0094345C"/>
    <w:rsid w:val="0097365F"/>
    <w:rsid w:val="009B349E"/>
    <w:rsid w:val="009B3734"/>
    <w:rsid w:val="009B4C5F"/>
    <w:rsid w:val="009B619B"/>
    <w:rsid w:val="009E3866"/>
    <w:rsid w:val="00A03712"/>
    <w:rsid w:val="00A12CAF"/>
    <w:rsid w:val="00A43057"/>
    <w:rsid w:val="00A754C7"/>
    <w:rsid w:val="00B42AE0"/>
    <w:rsid w:val="00B43A84"/>
    <w:rsid w:val="00B6595C"/>
    <w:rsid w:val="00BD0E33"/>
    <w:rsid w:val="00C33B3F"/>
    <w:rsid w:val="00C74F20"/>
    <w:rsid w:val="00D103B5"/>
    <w:rsid w:val="00D359C0"/>
    <w:rsid w:val="00D40A2A"/>
    <w:rsid w:val="00DA7ABB"/>
    <w:rsid w:val="00DC7A29"/>
    <w:rsid w:val="00DE5661"/>
    <w:rsid w:val="00E06AEF"/>
    <w:rsid w:val="00E22325"/>
    <w:rsid w:val="00E52541"/>
    <w:rsid w:val="00E665DA"/>
    <w:rsid w:val="00EC60A0"/>
    <w:rsid w:val="00EC6C35"/>
    <w:rsid w:val="00FA3BB4"/>
    <w:rsid w:val="01466E0E"/>
    <w:rsid w:val="04B66FD4"/>
    <w:rsid w:val="05C75C93"/>
    <w:rsid w:val="092F421A"/>
    <w:rsid w:val="099D0C69"/>
    <w:rsid w:val="09D774A7"/>
    <w:rsid w:val="0A3C584F"/>
    <w:rsid w:val="0B3644BE"/>
    <w:rsid w:val="0B64049E"/>
    <w:rsid w:val="0E3C52C2"/>
    <w:rsid w:val="0EC9758B"/>
    <w:rsid w:val="0FD838A3"/>
    <w:rsid w:val="0FE54699"/>
    <w:rsid w:val="11244430"/>
    <w:rsid w:val="11D95105"/>
    <w:rsid w:val="135C53E5"/>
    <w:rsid w:val="15DD2B6E"/>
    <w:rsid w:val="164C6C09"/>
    <w:rsid w:val="16C01D15"/>
    <w:rsid w:val="177F0278"/>
    <w:rsid w:val="1C2711CA"/>
    <w:rsid w:val="1DCC39BB"/>
    <w:rsid w:val="21A0456C"/>
    <w:rsid w:val="2285449A"/>
    <w:rsid w:val="298C251E"/>
    <w:rsid w:val="2A25253A"/>
    <w:rsid w:val="2A730AAA"/>
    <w:rsid w:val="2CDD7ACB"/>
    <w:rsid w:val="35835D1E"/>
    <w:rsid w:val="35F33F6A"/>
    <w:rsid w:val="3BC83D27"/>
    <w:rsid w:val="3CAD4337"/>
    <w:rsid w:val="3FC0221C"/>
    <w:rsid w:val="483C38B3"/>
    <w:rsid w:val="4ACC6188"/>
    <w:rsid w:val="4BCD736F"/>
    <w:rsid w:val="4C73719B"/>
    <w:rsid w:val="4D221F86"/>
    <w:rsid w:val="4E5D7696"/>
    <w:rsid w:val="4E6B4ABC"/>
    <w:rsid w:val="50F73071"/>
    <w:rsid w:val="521675B5"/>
    <w:rsid w:val="52C85AC7"/>
    <w:rsid w:val="52DE7EDC"/>
    <w:rsid w:val="54A62B7B"/>
    <w:rsid w:val="56687CCD"/>
    <w:rsid w:val="573E3E4F"/>
    <w:rsid w:val="57D746E5"/>
    <w:rsid w:val="61281730"/>
    <w:rsid w:val="648B49F0"/>
    <w:rsid w:val="670A160A"/>
    <w:rsid w:val="67A45ABC"/>
    <w:rsid w:val="68164420"/>
    <w:rsid w:val="6AFE3B3B"/>
    <w:rsid w:val="6CCF6E03"/>
    <w:rsid w:val="75132ED1"/>
    <w:rsid w:val="765E1E5B"/>
    <w:rsid w:val="79D05C42"/>
    <w:rsid w:val="7B0C1557"/>
    <w:rsid w:val="7C8868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semiHidden/>
    <w:unhideWhenUsed/>
    <w:uiPriority w:val="0"/>
    <w:rPr>
      <w:color w:val="0000FF"/>
      <w:u w:val="single"/>
    </w:rPr>
  </w:style>
  <w:style w:type="character" w:customStyle="1" w:styleId="8">
    <w:name w:val="页眉 字符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829</Characters>
  <Lines>6</Lines>
  <Paragraphs>1</Paragraphs>
  <TotalTime>5</TotalTime>
  <ScaleCrop>false</ScaleCrop>
  <LinksUpToDate>false</LinksUpToDate>
  <CharactersWithSpaces>973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2020-02-26T05:08:00Z</dcterms:created>
  <dc:creator>Administrator</dc:creator>
  <cp:lastModifiedBy>苏冉   诺</cp:lastModifiedBy>
  <cp:lastPrinted>2021-04-19T02:57:00Z</cp:lastPrinted>
  <dcterms:modified xsi:type="dcterms:W3CDTF">2024-06-04T07:51:52Z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F71D0F6540284CD797C6C6E77ACD0A32_13</vt:lpwstr>
  </property>
</Properties>
</file>