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C188A2">
      <w:pPr>
        <w:adjustRightInd w:val="0"/>
        <w:snapToGrid w:val="0"/>
        <w:spacing w:line="500" w:lineRule="exact"/>
        <w:rPr>
          <w:rFonts w:ascii="Times New Roman" w:hAnsi="Times New Roman" w:eastAsia="仿宋"/>
          <w:b/>
          <w:bCs/>
          <w:sz w:val="24"/>
          <w:szCs w:val="24"/>
        </w:rPr>
      </w:pPr>
      <w:r>
        <w:rPr>
          <w:rFonts w:hint="eastAsia" w:ascii="Times New Roman" w:hAnsi="Times New Roman" w:eastAsia="仿宋"/>
          <w:b/>
          <w:bCs/>
          <w:sz w:val="24"/>
          <w:szCs w:val="24"/>
        </w:rPr>
        <w:t xml:space="preserve">温 馨 提 示： </w:t>
      </w:r>
    </w:p>
    <w:p w14:paraId="0DA38087">
      <w:pPr>
        <w:adjustRightInd w:val="0"/>
        <w:snapToGrid w:val="0"/>
        <w:spacing w:line="500" w:lineRule="exact"/>
        <w:rPr>
          <w:rFonts w:ascii="Times New Roman" w:hAnsi="Times New Roman" w:eastAsia="仿宋"/>
          <w:b/>
          <w:bCs/>
          <w:sz w:val="24"/>
          <w:szCs w:val="24"/>
        </w:rPr>
      </w:pPr>
      <w:r>
        <w:rPr>
          <w:rFonts w:ascii="仿宋" w:hAnsi="仿宋" w:eastAsia="仿宋" w:cs="Arial"/>
          <w:b/>
          <w:sz w:val="36"/>
          <w:szCs w:val="36"/>
        </w:rPr>
        <w:drawing>
          <wp:anchor distT="0" distB="0" distL="114300" distR="114300" simplePos="0" relativeHeight="251659264" behindDoc="1" locked="0" layoutInCell="1" allowOverlap="1">
            <wp:simplePos x="0" y="0"/>
            <wp:positionH relativeFrom="column">
              <wp:posOffset>4572000</wp:posOffset>
            </wp:positionH>
            <wp:positionV relativeFrom="paragraph">
              <wp:posOffset>133350</wp:posOffset>
            </wp:positionV>
            <wp:extent cx="1003300" cy="1003300"/>
            <wp:effectExtent l="0" t="0" r="6350" b="635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003300" cy="1003300"/>
                    </a:xfrm>
                    <a:prstGeom prst="rect">
                      <a:avLst/>
                    </a:prstGeom>
                    <a:noFill/>
                    <a:ln>
                      <a:noFill/>
                    </a:ln>
                  </pic:spPr>
                </pic:pic>
              </a:graphicData>
            </a:graphic>
          </wp:anchor>
        </w:drawing>
      </w:r>
      <w:r>
        <w:rPr>
          <w:rFonts w:hint="eastAsia" w:ascii="Times New Roman" w:hAnsi="Times New Roman" w:eastAsia="仿宋"/>
          <w:sz w:val="24"/>
          <w:szCs w:val="24"/>
        </w:rPr>
        <w:t>为了节约您（单位）的时间和成本，建议您（单位）</w:t>
      </w:r>
      <w:r>
        <w:rPr>
          <w:rFonts w:hint="eastAsia" w:ascii="Times New Roman" w:hAnsi="Times New Roman" w:eastAsia="仿宋"/>
          <w:b/>
          <w:bCs/>
          <w:sz w:val="24"/>
          <w:szCs w:val="24"/>
        </w:rPr>
        <w:t>务必仔细阅读</w:t>
      </w:r>
      <w:r>
        <w:rPr>
          <w:rFonts w:hint="eastAsia" w:ascii="Times New Roman" w:hAnsi="Times New Roman" w:eastAsia="仿宋"/>
          <w:sz w:val="24"/>
          <w:szCs w:val="24"/>
        </w:rPr>
        <w:t>本债权申报指引，并根据指引的内容和要求，待确认无误后提交债权申报。管理人发布的重要通知及公告请扫右侧二维码或搜索“TSSH管理人”关注管理人微信公众号。</w:t>
      </w:r>
    </w:p>
    <w:p w14:paraId="54866E11">
      <w:pPr>
        <w:jc w:val="center"/>
        <w:rPr>
          <w:rFonts w:ascii="仿宋" w:hAnsi="仿宋" w:eastAsia="仿宋" w:cs="Arial"/>
          <w:b/>
          <w:sz w:val="36"/>
          <w:szCs w:val="36"/>
        </w:rPr>
      </w:pPr>
    </w:p>
    <w:p w14:paraId="443976C4">
      <w:pPr>
        <w:jc w:val="center"/>
        <w:rPr>
          <w:rFonts w:ascii="Times New Roman" w:hAnsi="Times New Roman" w:eastAsia="仿宋"/>
          <w:b/>
          <w:sz w:val="36"/>
          <w:szCs w:val="28"/>
        </w:rPr>
      </w:pPr>
      <w:r>
        <w:rPr>
          <w:rFonts w:hint="eastAsia" w:ascii="Times New Roman" w:hAnsi="Times New Roman" w:eastAsia="仿宋"/>
          <w:b/>
          <w:sz w:val="36"/>
          <w:szCs w:val="28"/>
        </w:rPr>
        <w:t>上海国美电器有限公司管理人</w:t>
      </w:r>
    </w:p>
    <w:p w14:paraId="6B8E08F4">
      <w:pPr>
        <w:jc w:val="center"/>
        <w:rPr>
          <w:rFonts w:ascii="仿宋" w:hAnsi="仿宋" w:eastAsia="仿宋" w:cs="Arial"/>
          <w:b/>
          <w:sz w:val="36"/>
          <w:szCs w:val="36"/>
        </w:rPr>
      </w:pPr>
      <w:r>
        <w:rPr>
          <w:rFonts w:hint="eastAsia" w:ascii="仿宋" w:hAnsi="仿宋" w:eastAsia="仿宋" w:cs="Arial"/>
          <w:b/>
          <w:sz w:val="36"/>
          <w:szCs w:val="36"/>
        </w:rPr>
        <w:t>关于案件受理及债权申报通知的</w:t>
      </w:r>
      <w:r>
        <w:rPr>
          <w:rFonts w:ascii="仿宋" w:hAnsi="仿宋" w:eastAsia="仿宋" w:cs="Arial"/>
          <w:b/>
          <w:sz w:val="36"/>
          <w:szCs w:val="36"/>
        </w:rPr>
        <w:t>文件目录</w:t>
      </w:r>
    </w:p>
    <w:p w14:paraId="42FA6AFB">
      <w:pPr>
        <w:jc w:val="center"/>
        <w:rPr>
          <w:rFonts w:ascii="仿宋" w:hAnsi="仿宋" w:eastAsia="仿宋" w:cs="Arial"/>
          <w:b/>
          <w:sz w:val="24"/>
          <w:szCs w:val="24"/>
        </w:rPr>
      </w:pPr>
    </w:p>
    <w:tbl>
      <w:tblPr>
        <w:tblStyle w:val="36"/>
        <w:tblW w:w="0" w:type="auto"/>
        <w:tblInd w:w="0" w:type="dxa"/>
        <w:tblLayout w:type="autofit"/>
        <w:tblCellMar>
          <w:top w:w="0" w:type="dxa"/>
          <w:left w:w="108" w:type="dxa"/>
          <w:bottom w:w="0" w:type="dxa"/>
          <w:right w:w="108" w:type="dxa"/>
        </w:tblCellMar>
      </w:tblPr>
      <w:tblGrid>
        <w:gridCol w:w="945"/>
        <w:gridCol w:w="7361"/>
      </w:tblGrid>
      <w:tr w14:paraId="07E93618">
        <w:tblPrEx>
          <w:tblCellMar>
            <w:top w:w="0" w:type="dxa"/>
            <w:left w:w="108" w:type="dxa"/>
            <w:bottom w:w="0" w:type="dxa"/>
            <w:right w:w="108" w:type="dxa"/>
          </w:tblCellMar>
        </w:tblPrEx>
        <w:tc>
          <w:tcPr>
            <w:tcW w:w="945" w:type="dxa"/>
          </w:tcPr>
          <w:p w14:paraId="1BE70038">
            <w:pPr>
              <w:jc w:val="center"/>
              <w:rPr>
                <w:rFonts w:ascii="仿宋" w:hAnsi="仿宋" w:eastAsia="仿宋" w:cs="Arial"/>
                <w:b w:val="0"/>
                <w:bCs w:val="0"/>
                <w:sz w:val="28"/>
                <w:szCs w:val="28"/>
              </w:rPr>
            </w:pPr>
            <w:r>
              <w:rPr>
                <w:rFonts w:ascii="仿宋" w:hAnsi="仿宋" w:eastAsia="仿宋" w:cs="Arial"/>
                <w:b/>
                <w:bCs/>
                <w:sz w:val="28"/>
                <w:szCs w:val="28"/>
              </w:rPr>
              <w:t>序号</w:t>
            </w:r>
          </w:p>
        </w:tc>
        <w:tc>
          <w:tcPr>
            <w:tcW w:w="7361" w:type="dxa"/>
          </w:tcPr>
          <w:p w14:paraId="08002071">
            <w:pPr>
              <w:jc w:val="center"/>
              <w:rPr>
                <w:rFonts w:ascii="仿宋" w:hAnsi="仿宋" w:eastAsia="仿宋" w:cs="Arial"/>
                <w:b w:val="0"/>
                <w:bCs w:val="0"/>
                <w:sz w:val="28"/>
                <w:szCs w:val="28"/>
              </w:rPr>
            </w:pPr>
            <w:r>
              <w:rPr>
                <w:rFonts w:ascii="仿宋" w:hAnsi="仿宋" w:eastAsia="仿宋" w:cs="Arial"/>
                <w:b/>
                <w:bCs/>
                <w:sz w:val="28"/>
                <w:szCs w:val="28"/>
              </w:rPr>
              <w:t>文件名称</w:t>
            </w:r>
          </w:p>
        </w:tc>
      </w:tr>
      <w:tr w14:paraId="3F7DFE94">
        <w:tblPrEx>
          <w:tblCellMar>
            <w:top w:w="0" w:type="dxa"/>
            <w:left w:w="108" w:type="dxa"/>
            <w:bottom w:w="0" w:type="dxa"/>
            <w:right w:w="108" w:type="dxa"/>
          </w:tblCellMar>
        </w:tblPrEx>
        <w:tc>
          <w:tcPr>
            <w:tcW w:w="945" w:type="dxa"/>
            <w:shd w:val="clear" w:color="auto" w:fill="F1F1F1" w:themeFill="background1" w:themeFillShade="F2"/>
          </w:tcPr>
          <w:p w14:paraId="18CCDC30">
            <w:pPr>
              <w:pStyle w:val="18"/>
              <w:numPr>
                <w:ilvl w:val="0"/>
                <w:numId w:val="1"/>
              </w:numPr>
              <w:ind w:left="306" w:hanging="306" w:firstLineChars="0"/>
              <w:jc w:val="center"/>
              <w:rPr>
                <w:rFonts w:ascii="仿宋" w:hAnsi="仿宋" w:eastAsia="仿宋" w:cs="Arial"/>
                <w:b/>
                <w:bCs w:val="0"/>
                <w:sz w:val="28"/>
                <w:szCs w:val="28"/>
              </w:rPr>
            </w:pPr>
          </w:p>
        </w:tc>
        <w:tc>
          <w:tcPr>
            <w:tcW w:w="7361" w:type="dxa"/>
            <w:shd w:val="clear" w:color="auto" w:fill="F1F1F1" w:themeFill="background1" w:themeFillShade="F2"/>
          </w:tcPr>
          <w:p w14:paraId="0627CA06">
            <w:pPr>
              <w:jc w:val="center"/>
              <w:rPr>
                <w:rFonts w:ascii="仿宋" w:hAnsi="仿宋" w:eastAsia="仿宋" w:cs="Arial"/>
                <w:sz w:val="28"/>
                <w:szCs w:val="28"/>
              </w:rPr>
            </w:pPr>
            <w:r>
              <w:rPr>
                <w:rFonts w:ascii="仿宋" w:hAnsi="仿宋" w:eastAsia="仿宋" w:cs="Arial"/>
                <w:sz w:val="28"/>
                <w:szCs w:val="28"/>
              </w:rPr>
              <w:t>债权申报</w:t>
            </w:r>
            <w:r>
              <w:rPr>
                <w:rFonts w:hint="eastAsia" w:ascii="仿宋" w:hAnsi="仿宋" w:eastAsia="仿宋" w:cs="Arial"/>
                <w:sz w:val="28"/>
                <w:szCs w:val="28"/>
              </w:rPr>
              <w:t>通知及</w:t>
            </w:r>
            <w:r>
              <w:rPr>
                <w:rFonts w:ascii="仿宋" w:hAnsi="仿宋" w:eastAsia="仿宋" w:cs="Arial"/>
                <w:sz w:val="28"/>
                <w:szCs w:val="28"/>
              </w:rPr>
              <w:t>指引</w:t>
            </w:r>
          </w:p>
        </w:tc>
      </w:tr>
      <w:tr w14:paraId="4C569DCA">
        <w:tblPrEx>
          <w:tblCellMar>
            <w:top w:w="0" w:type="dxa"/>
            <w:left w:w="108" w:type="dxa"/>
            <w:bottom w:w="0" w:type="dxa"/>
            <w:right w:w="108" w:type="dxa"/>
          </w:tblCellMar>
        </w:tblPrEx>
        <w:tc>
          <w:tcPr>
            <w:tcW w:w="945" w:type="dxa"/>
          </w:tcPr>
          <w:p w14:paraId="5F9C48A8">
            <w:pPr>
              <w:pStyle w:val="18"/>
              <w:numPr>
                <w:ilvl w:val="0"/>
                <w:numId w:val="1"/>
              </w:numPr>
              <w:ind w:left="306" w:hanging="306" w:firstLineChars="0"/>
              <w:jc w:val="center"/>
              <w:rPr>
                <w:rFonts w:ascii="仿宋" w:hAnsi="仿宋" w:eastAsia="仿宋" w:cs="Arial"/>
                <w:b/>
                <w:bCs w:val="0"/>
                <w:sz w:val="28"/>
                <w:szCs w:val="28"/>
              </w:rPr>
            </w:pPr>
          </w:p>
        </w:tc>
        <w:tc>
          <w:tcPr>
            <w:tcW w:w="7361" w:type="dxa"/>
          </w:tcPr>
          <w:p w14:paraId="099C4D85">
            <w:pPr>
              <w:jc w:val="center"/>
              <w:rPr>
                <w:rFonts w:ascii="仿宋" w:hAnsi="仿宋" w:eastAsia="仿宋" w:cs="Arial"/>
                <w:sz w:val="28"/>
                <w:szCs w:val="28"/>
              </w:rPr>
            </w:pPr>
            <w:r>
              <w:rPr>
                <w:rFonts w:ascii="仿宋" w:hAnsi="仿宋" w:eastAsia="仿宋" w:cs="Arial"/>
                <w:sz w:val="28"/>
                <w:szCs w:val="28"/>
              </w:rPr>
              <w:t>债权申报表</w:t>
            </w:r>
          </w:p>
        </w:tc>
      </w:tr>
      <w:tr w14:paraId="1A0A61AE">
        <w:tblPrEx>
          <w:tblCellMar>
            <w:top w:w="0" w:type="dxa"/>
            <w:left w:w="108" w:type="dxa"/>
            <w:bottom w:w="0" w:type="dxa"/>
            <w:right w:w="108" w:type="dxa"/>
          </w:tblCellMar>
        </w:tblPrEx>
        <w:tc>
          <w:tcPr>
            <w:tcW w:w="945" w:type="dxa"/>
            <w:shd w:val="clear" w:color="auto" w:fill="F1F1F1" w:themeFill="background1" w:themeFillShade="F2"/>
          </w:tcPr>
          <w:p w14:paraId="31F02A3F">
            <w:pPr>
              <w:pStyle w:val="18"/>
              <w:numPr>
                <w:ilvl w:val="0"/>
                <w:numId w:val="1"/>
              </w:numPr>
              <w:ind w:left="306" w:hanging="306" w:firstLineChars="0"/>
              <w:jc w:val="center"/>
              <w:rPr>
                <w:rFonts w:ascii="仿宋" w:hAnsi="仿宋" w:eastAsia="仿宋" w:cs="Arial"/>
                <w:b/>
                <w:bCs w:val="0"/>
                <w:sz w:val="28"/>
                <w:szCs w:val="28"/>
              </w:rPr>
            </w:pPr>
          </w:p>
        </w:tc>
        <w:tc>
          <w:tcPr>
            <w:tcW w:w="7361" w:type="dxa"/>
            <w:shd w:val="clear" w:color="auto" w:fill="F1F1F1" w:themeFill="background1" w:themeFillShade="F2"/>
          </w:tcPr>
          <w:p w14:paraId="659180E3">
            <w:pPr>
              <w:jc w:val="center"/>
              <w:rPr>
                <w:rFonts w:ascii="仿宋" w:hAnsi="仿宋" w:eastAsia="仿宋" w:cs="Arial"/>
                <w:sz w:val="28"/>
                <w:szCs w:val="28"/>
              </w:rPr>
            </w:pPr>
            <w:r>
              <w:rPr>
                <w:rFonts w:ascii="仿宋" w:hAnsi="仿宋" w:eastAsia="仿宋" w:cs="Arial"/>
                <w:sz w:val="28"/>
                <w:szCs w:val="28"/>
              </w:rPr>
              <w:t>债权申报书</w:t>
            </w:r>
          </w:p>
        </w:tc>
      </w:tr>
      <w:tr w14:paraId="68C21C3F">
        <w:tblPrEx>
          <w:tblCellMar>
            <w:top w:w="0" w:type="dxa"/>
            <w:left w:w="108" w:type="dxa"/>
            <w:bottom w:w="0" w:type="dxa"/>
            <w:right w:w="108" w:type="dxa"/>
          </w:tblCellMar>
        </w:tblPrEx>
        <w:tc>
          <w:tcPr>
            <w:tcW w:w="945" w:type="dxa"/>
          </w:tcPr>
          <w:p w14:paraId="1B520231">
            <w:pPr>
              <w:pStyle w:val="18"/>
              <w:numPr>
                <w:ilvl w:val="0"/>
                <w:numId w:val="1"/>
              </w:numPr>
              <w:ind w:left="306" w:hanging="306" w:firstLineChars="0"/>
              <w:jc w:val="center"/>
              <w:rPr>
                <w:rFonts w:ascii="仿宋" w:hAnsi="仿宋" w:eastAsia="仿宋" w:cs="Arial"/>
                <w:b/>
                <w:bCs w:val="0"/>
                <w:sz w:val="28"/>
                <w:szCs w:val="28"/>
              </w:rPr>
            </w:pPr>
          </w:p>
        </w:tc>
        <w:tc>
          <w:tcPr>
            <w:tcW w:w="7361" w:type="dxa"/>
          </w:tcPr>
          <w:p w14:paraId="342ACB32">
            <w:pPr>
              <w:jc w:val="center"/>
              <w:rPr>
                <w:rFonts w:ascii="仿宋" w:hAnsi="仿宋" w:eastAsia="仿宋" w:cs="Arial"/>
                <w:sz w:val="28"/>
                <w:szCs w:val="28"/>
              </w:rPr>
            </w:pPr>
            <w:r>
              <w:rPr>
                <w:rFonts w:ascii="仿宋" w:hAnsi="仿宋" w:eastAsia="仿宋" w:cs="Arial"/>
                <w:sz w:val="28"/>
                <w:szCs w:val="28"/>
              </w:rPr>
              <w:t>债权申报</w:t>
            </w:r>
            <w:r>
              <w:rPr>
                <w:rFonts w:hint="eastAsia" w:ascii="仿宋" w:hAnsi="仿宋" w:eastAsia="仿宋" w:cs="Arial"/>
                <w:sz w:val="28"/>
                <w:szCs w:val="28"/>
              </w:rPr>
              <w:t>材料目录</w:t>
            </w:r>
          </w:p>
        </w:tc>
      </w:tr>
      <w:tr w14:paraId="6CA164E3">
        <w:tblPrEx>
          <w:tblCellMar>
            <w:top w:w="0" w:type="dxa"/>
            <w:left w:w="108" w:type="dxa"/>
            <w:bottom w:w="0" w:type="dxa"/>
            <w:right w:w="108" w:type="dxa"/>
          </w:tblCellMar>
        </w:tblPrEx>
        <w:tc>
          <w:tcPr>
            <w:tcW w:w="945" w:type="dxa"/>
          </w:tcPr>
          <w:p w14:paraId="79C289FB">
            <w:pPr>
              <w:pStyle w:val="18"/>
              <w:numPr>
                <w:ilvl w:val="0"/>
                <w:numId w:val="1"/>
              </w:numPr>
              <w:ind w:left="306" w:hanging="306" w:firstLineChars="0"/>
              <w:jc w:val="center"/>
              <w:rPr>
                <w:rFonts w:ascii="仿宋" w:hAnsi="仿宋" w:eastAsia="仿宋" w:cs="Arial"/>
                <w:b/>
                <w:bCs w:val="0"/>
                <w:sz w:val="28"/>
                <w:szCs w:val="28"/>
              </w:rPr>
            </w:pPr>
          </w:p>
        </w:tc>
        <w:tc>
          <w:tcPr>
            <w:tcW w:w="7361" w:type="dxa"/>
          </w:tcPr>
          <w:p w14:paraId="37344E02">
            <w:pPr>
              <w:jc w:val="center"/>
              <w:rPr>
                <w:rFonts w:ascii="仿宋" w:hAnsi="仿宋" w:eastAsia="仿宋" w:cs="Arial"/>
                <w:sz w:val="28"/>
                <w:szCs w:val="28"/>
              </w:rPr>
            </w:pPr>
            <w:r>
              <w:rPr>
                <w:rFonts w:hint="eastAsia" w:ascii="仿宋" w:hAnsi="仿宋" w:eastAsia="仿宋" w:cs="Arial"/>
                <w:sz w:val="28"/>
                <w:szCs w:val="28"/>
              </w:rPr>
              <w:t>虚假申报债权法律风险提示及债权人承诺书</w:t>
            </w:r>
          </w:p>
        </w:tc>
      </w:tr>
      <w:tr w14:paraId="03FBB21A">
        <w:tblPrEx>
          <w:tblCellMar>
            <w:top w:w="0" w:type="dxa"/>
            <w:left w:w="108" w:type="dxa"/>
            <w:bottom w:w="0" w:type="dxa"/>
            <w:right w:w="108" w:type="dxa"/>
          </w:tblCellMar>
        </w:tblPrEx>
        <w:tc>
          <w:tcPr>
            <w:tcW w:w="945" w:type="dxa"/>
            <w:shd w:val="clear" w:color="auto" w:fill="F1F1F1" w:themeFill="background1" w:themeFillShade="F2"/>
          </w:tcPr>
          <w:p w14:paraId="06A84138">
            <w:pPr>
              <w:pStyle w:val="18"/>
              <w:numPr>
                <w:ilvl w:val="0"/>
                <w:numId w:val="1"/>
              </w:numPr>
              <w:ind w:left="306" w:hanging="306" w:firstLineChars="0"/>
              <w:jc w:val="center"/>
              <w:rPr>
                <w:rFonts w:ascii="仿宋" w:hAnsi="仿宋" w:eastAsia="仿宋" w:cs="Arial"/>
                <w:b/>
                <w:bCs w:val="0"/>
                <w:sz w:val="28"/>
                <w:szCs w:val="28"/>
              </w:rPr>
            </w:pPr>
          </w:p>
        </w:tc>
        <w:tc>
          <w:tcPr>
            <w:tcW w:w="7361" w:type="dxa"/>
            <w:shd w:val="clear" w:color="auto" w:fill="F1F1F1" w:themeFill="background1" w:themeFillShade="F2"/>
          </w:tcPr>
          <w:p w14:paraId="7FDAB26B">
            <w:pPr>
              <w:jc w:val="center"/>
              <w:rPr>
                <w:rFonts w:ascii="仿宋" w:hAnsi="仿宋" w:eastAsia="仿宋" w:cs="Arial"/>
                <w:sz w:val="28"/>
                <w:szCs w:val="28"/>
              </w:rPr>
            </w:pPr>
            <w:r>
              <w:rPr>
                <w:rFonts w:ascii="仿宋" w:hAnsi="仿宋" w:eastAsia="仿宋" w:cs="Arial"/>
                <w:sz w:val="28"/>
                <w:szCs w:val="28"/>
              </w:rPr>
              <w:t>法定代表人（负责人）身份证明书</w:t>
            </w:r>
          </w:p>
        </w:tc>
      </w:tr>
      <w:tr w14:paraId="3C54541E">
        <w:tblPrEx>
          <w:tblCellMar>
            <w:top w:w="0" w:type="dxa"/>
            <w:left w:w="108" w:type="dxa"/>
            <w:bottom w:w="0" w:type="dxa"/>
            <w:right w:w="108" w:type="dxa"/>
          </w:tblCellMar>
        </w:tblPrEx>
        <w:tc>
          <w:tcPr>
            <w:tcW w:w="945" w:type="dxa"/>
          </w:tcPr>
          <w:p w14:paraId="69EC5367">
            <w:pPr>
              <w:pStyle w:val="18"/>
              <w:numPr>
                <w:ilvl w:val="0"/>
                <w:numId w:val="1"/>
              </w:numPr>
              <w:ind w:left="306" w:hanging="306" w:firstLineChars="0"/>
              <w:jc w:val="center"/>
              <w:rPr>
                <w:rFonts w:ascii="仿宋" w:hAnsi="仿宋" w:eastAsia="仿宋" w:cs="Arial"/>
                <w:b/>
                <w:bCs w:val="0"/>
                <w:sz w:val="28"/>
                <w:szCs w:val="28"/>
              </w:rPr>
            </w:pPr>
          </w:p>
        </w:tc>
        <w:tc>
          <w:tcPr>
            <w:tcW w:w="7361" w:type="dxa"/>
          </w:tcPr>
          <w:p w14:paraId="2A488CF5">
            <w:pPr>
              <w:jc w:val="center"/>
              <w:rPr>
                <w:rFonts w:ascii="仿宋" w:hAnsi="仿宋" w:eastAsia="仿宋" w:cs="Arial"/>
                <w:sz w:val="28"/>
                <w:szCs w:val="28"/>
              </w:rPr>
            </w:pPr>
            <w:r>
              <w:rPr>
                <w:rFonts w:ascii="仿宋" w:hAnsi="仿宋" w:eastAsia="仿宋" w:cs="Arial"/>
                <w:sz w:val="28"/>
                <w:szCs w:val="28"/>
              </w:rPr>
              <w:t>授权委托书</w:t>
            </w:r>
          </w:p>
        </w:tc>
      </w:tr>
      <w:tr w14:paraId="0E84B8E9">
        <w:tblPrEx>
          <w:tblCellMar>
            <w:top w:w="0" w:type="dxa"/>
            <w:left w:w="108" w:type="dxa"/>
            <w:bottom w:w="0" w:type="dxa"/>
            <w:right w:w="108" w:type="dxa"/>
          </w:tblCellMar>
        </w:tblPrEx>
        <w:tc>
          <w:tcPr>
            <w:tcW w:w="945" w:type="dxa"/>
            <w:shd w:val="clear" w:color="auto" w:fill="F1F1F1" w:themeFill="background1" w:themeFillShade="F2"/>
          </w:tcPr>
          <w:p w14:paraId="0A2BD6D2">
            <w:pPr>
              <w:pStyle w:val="18"/>
              <w:numPr>
                <w:ilvl w:val="0"/>
                <w:numId w:val="1"/>
              </w:numPr>
              <w:ind w:left="306" w:hanging="306" w:firstLineChars="0"/>
              <w:jc w:val="center"/>
              <w:rPr>
                <w:rFonts w:ascii="仿宋" w:hAnsi="仿宋" w:eastAsia="仿宋" w:cs="Arial"/>
                <w:b/>
                <w:bCs w:val="0"/>
                <w:sz w:val="28"/>
                <w:szCs w:val="28"/>
              </w:rPr>
            </w:pPr>
          </w:p>
        </w:tc>
        <w:tc>
          <w:tcPr>
            <w:tcW w:w="7361" w:type="dxa"/>
            <w:shd w:val="clear" w:color="auto" w:fill="F1F1F1" w:themeFill="background1" w:themeFillShade="F2"/>
          </w:tcPr>
          <w:p w14:paraId="4EDCFA8C">
            <w:pPr>
              <w:jc w:val="center"/>
              <w:rPr>
                <w:rFonts w:ascii="仿宋" w:hAnsi="仿宋" w:eastAsia="仿宋" w:cs="Arial"/>
                <w:sz w:val="28"/>
                <w:szCs w:val="28"/>
              </w:rPr>
            </w:pPr>
            <w:r>
              <w:rPr>
                <w:rFonts w:hint="eastAsia" w:ascii="仿宋" w:hAnsi="仿宋" w:eastAsia="仿宋" w:cs="Arial"/>
                <w:sz w:val="28"/>
                <w:szCs w:val="28"/>
              </w:rPr>
              <w:t>送达地址确认书</w:t>
            </w:r>
          </w:p>
        </w:tc>
      </w:tr>
      <w:tr w14:paraId="2BF9765F">
        <w:tblPrEx>
          <w:tblCellMar>
            <w:top w:w="0" w:type="dxa"/>
            <w:left w:w="108" w:type="dxa"/>
            <w:bottom w:w="0" w:type="dxa"/>
            <w:right w:w="108" w:type="dxa"/>
          </w:tblCellMar>
        </w:tblPrEx>
        <w:tc>
          <w:tcPr>
            <w:tcW w:w="945" w:type="dxa"/>
          </w:tcPr>
          <w:p w14:paraId="14B67347">
            <w:pPr>
              <w:pStyle w:val="18"/>
              <w:numPr>
                <w:ilvl w:val="0"/>
                <w:numId w:val="1"/>
              </w:numPr>
              <w:ind w:left="306" w:hanging="306" w:firstLineChars="0"/>
              <w:jc w:val="center"/>
              <w:rPr>
                <w:rFonts w:ascii="仿宋" w:hAnsi="仿宋" w:eastAsia="仿宋" w:cs="Arial"/>
                <w:b/>
                <w:bCs w:val="0"/>
                <w:sz w:val="28"/>
                <w:szCs w:val="28"/>
              </w:rPr>
            </w:pPr>
          </w:p>
        </w:tc>
        <w:tc>
          <w:tcPr>
            <w:tcW w:w="7361" w:type="dxa"/>
          </w:tcPr>
          <w:p w14:paraId="367119D9">
            <w:pPr>
              <w:jc w:val="center"/>
              <w:rPr>
                <w:rFonts w:ascii="仿宋" w:hAnsi="仿宋" w:eastAsia="仿宋" w:cs="Arial"/>
                <w:sz w:val="28"/>
                <w:szCs w:val="28"/>
              </w:rPr>
            </w:pPr>
            <w:r>
              <w:rPr>
                <w:rFonts w:hint="eastAsia" w:ascii="仿宋" w:hAnsi="仿宋" w:eastAsia="仿宋" w:cs="Arial"/>
                <w:sz w:val="28"/>
                <w:szCs w:val="28"/>
              </w:rPr>
              <w:t>关于受领分配的银行账户信息的说明</w:t>
            </w:r>
          </w:p>
        </w:tc>
      </w:tr>
    </w:tbl>
    <w:p w14:paraId="0E7AF50C">
      <w:pPr>
        <w:widowControl/>
        <w:snapToGrid w:val="0"/>
        <w:spacing w:line="360" w:lineRule="auto"/>
        <w:jc w:val="center"/>
        <w:rPr>
          <w:rFonts w:ascii="仿宋" w:hAnsi="仿宋" w:eastAsia="仿宋"/>
          <w:b/>
          <w:sz w:val="36"/>
          <w:szCs w:val="36"/>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32513EFC">
      <w:pPr>
        <w:widowControl/>
        <w:snapToGrid w:val="0"/>
        <w:spacing w:line="360" w:lineRule="auto"/>
        <w:jc w:val="center"/>
        <w:rPr>
          <w:rFonts w:ascii="仿宋" w:hAnsi="仿宋" w:eastAsia="仿宋"/>
          <w:b/>
          <w:sz w:val="36"/>
          <w:szCs w:val="36"/>
        </w:rPr>
      </w:pPr>
      <w:r>
        <w:rPr>
          <w:rFonts w:hint="eastAsia" w:ascii="仿宋" w:hAnsi="仿宋" w:eastAsia="仿宋"/>
          <w:b/>
          <w:sz w:val="36"/>
          <w:szCs w:val="36"/>
        </w:rPr>
        <w:t>债 权 申 报 通 知 及 指 引</w:t>
      </w:r>
    </w:p>
    <w:p w14:paraId="71EA2542">
      <w:pPr>
        <w:snapToGrid w:val="0"/>
        <w:spacing w:line="360" w:lineRule="auto"/>
        <w:outlineLvl w:val="0"/>
        <w:rPr>
          <w:rFonts w:ascii="仿宋" w:hAnsi="仿宋" w:eastAsia="仿宋"/>
          <w:b/>
          <w:sz w:val="24"/>
          <w:szCs w:val="24"/>
        </w:rPr>
      </w:pPr>
      <w:r>
        <w:rPr>
          <w:rFonts w:hint="eastAsia" w:ascii="仿宋" w:hAnsi="仿宋" w:eastAsia="仿宋"/>
          <w:b/>
          <w:sz w:val="24"/>
          <w:szCs w:val="24"/>
        </w:rPr>
        <w:t>各位债权人：</w:t>
      </w:r>
    </w:p>
    <w:p w14:paraId="3EA43B67">
      <w:pPr>
        <w:snapToGrid w:val="0"/>
        <w:spacing w:line="360" w:lineRule="auto"/>
        <w:ind w:firstLine="480" w:firstLineChars="200"/>
        <w:outlineLvl w:val="0"/>
        <w:rPr>
          <w:rFonts w:ascii="仿宋" w:hAnsi="仿宋" w:eastAsia="仿宋" w:cs="Arial"/>
          <w:sz w:val="24"/>
          <w:szCs w:val="24"/>
        </w:rPr>
      </w:pPr>
      <w:r>
        <w:rPr>
          <w:rFonts w:hint="eastAsia" w:ascii="仿宋" w:hAnsi="仿宋" w:eastAsia="仿宋" w:cs="Arial"/>
          <w:sz w:val="24"/>
          <w:szCs w:val="24"/>
        </w:rPr>
        <w:t>2024年6月24日，上海市第三中级人民法院作出（2024）沪03破563号《民事裁定书》，裁定受理上海国美电器有限公司破产清算一案。2024年6月26日，上海市第三中级人民法院作出（2024）沪03破563号《决定书》，指定北京市通商律师事务所上海分所为上海国美电器有限公司管理人（下称“管理人”）。</w:t>
      </w:r>
    </w:p>
    <w:p w14:paraId="3D87C3F2">
      <w:pPr>
        <w:snapToGrid w:val="0"/>
        <w:spacing w:line="360" w:lineRule="auto"/>
        <w:ind w:firstLine="480" w:firstLineChars="200"/>
        <w:outlineLvl w:val="0"/>
        <w:rPr>
          <w:rFonts w:ascii="仿宋" w:hAnsi="仿宋" w:eastAsia="仿宋" w:cs="Arial"/>
          <w:sz w:val="24"/>
          <w:szCs w:val="24"/>
        </w:rPr>
      </w:pPr>
      <w:r>
        <w:rPr>
          <w:rFonts w:ascii="仿宋" w:hAnsi="仿宋" w:eastAsia="仿宋" w:cs="Arial"/>
          <w:sz w:val="24"/>
          <w:szCs w:val="24"/>
        </w:rPr>
        <w:t>为便于债权人的债权申报，管理人依据</w:t>
      </w:r>
      <w:r>
        <w:rPr>
          <w:rFonts w:hint="eastAsia" w:ascii="仿宋" w:hAnsi="仿宋" w:eastAsia="仿宋" w:cs="Arial"/>
          <w:sz w:val="24"/>
          <w:szCs w:val="24"/>
        </w:rPr>
        <w:t>《中华人民共和国公司法》</w:t>
      </w:r>
      <w:r>
        <w:rPr>
          <w:rFonts w:ascii="仿宋" w:hAnsi="仿宋" w:eastAsia="仿宋" w:cs="Arial"/>
          <w:sz w:val="24"/>
          <w:szCs w:val="24"/>
        </w:rPr>
        <w:t>《中华人民共和国企业破产法》（下称“《企业破产法》”）及相关法律、法规和司法解释的规定，就债权人在申报债权时的相关注意事项说明如下：</w:t>
      </w:r>
    </w:p>
    <w:p w14:paraId="1C74F97A">
      <w:pPr>
        <w:pStyle w:val="18"/>
        <w:numPr>
          <w:ilvl w:val="0"/>
          <w:numId w:val="2"/>
        </w:numPr>
        <w:snapToGrid w:val="0"/>
        <w:spacing w:line="360" w:lineRule="auto"/>
        <w:ind w:firstLineChars="0"/>
        <w:outlineLvl w:val="0"/>
        <w:rPr>
          <w:rFonts w:ascii="仿宋" w:hAnsi="仿宋" w:eastAsia="仿宋" w:cs="Arial"/>
          <w:b/>
          <w:sz w:val="24"/>
          <w:szCs w:val="24"/>
        </w:rPr>
      </w:pPr>
      <w:r>
        <w:rPr>
          <w:rFonts w:hint="eastAsia" w:ascii="仿宋" w:hAnsi="仿宋" w:eastAsia="仿宋" w:cs="Arial"/>
          <w:b/>
          <w:sz w:val="24"/>
          <w:szCs w:val="24"/>
        </w:rPr>
        <w:t>债权人会议及债权申报期限</w:t>
      </w:r>
    </w:p>
    <w:p w14:paraId="4E9379A3">
      <w:pPr>
        <w:snapToGrid w:val="0"/>
        <w:spacing w:line="360" w:lineRule="auto"/>
        <w:ind w:firstLine="480" w:firstLineChars="200"/>
        <w:outlineLvl w:val="0"/>
        <w:rPr>
          <w:rFonts w:ascii="仿宋" w:hAnsi="仿宋" w:eastAsia="仿宋" w:cs="Arial"/>
          <w:sz w:val="24"/>
          <w:szCs w:val="24"/>
        </w:rPr>
      </w:pPr>
      <w:r>
        <w:rPr>
          <w:rFonts w:hint="eastAsia" w:ascii="仿宋" w:hAnsi="仿宋" w:eastAsia="仿宋" w:cs="Arial"/>
          <w:sz w:val="24"/>
          <w:szCs w:val="24"/>
        </w:rPr>
        <w:t>上海市第三中级人民法院</w:t>
      </w:r>
      <w:r>
        <w:rPr>
          <w:rFonts w:ascii="仿宋" w:hAnsi="仿宋" w:eastAsia="仿宋" w:cs="Arial"/>
          <w:sz w:val="24"/>
          <w:szCs w:val="24"/>
        </w:rPr>
        <w:t>确定债权人</w:t>
      </w:r>
      <w:r>
        <w:rPr>
          <w:rFonts w:hint="eastAsia" w:ascii="仿宋" w:hAnsi="仿宋" w:eastAsia="仿宋" w:cs="Arial"/>
          <w:b/>
          <w:bCs/>
          <w:sz w:val="24"/>
          <w:szCs w:val="24"/>
        </w:rPr>
        <w:t>须</w:t>
      </w:r>
      <w:r>
        <w:rPr>
          <w:rFonts w:ascii="仿宋" w:hAnsi="仿宋" w:eastAsia="仿宋" w:cs="Arial"/>
          <w:b/>
          <w:bCs/>
          <w:sz w:val="24"/>
          <w:szCs w:val="24"/>
        </w:rPr>
        <w:t>在</w:t>
      </w:r>
      <w:r>
        <w:rPr>
          <w:rFonts w:ascii="仿宋" w:hAnsi="仿宋" w:eastAsia="仿宋" w:cs="Arial"/>
          <w:b/>
          <w:sz w:val="24"/>
          <w:szCs w:val="24"/>
          <w:u w:val="single"/>
        </w:rPr>
        <w:t>202</w:t>
      </w:r>
      <w:r>
        <w:rPr>
          <w:rFonts w:hint="eastAsia" w:ascii="仿宋" w:hAnsi="仿宋" w:eastAsia="仿宋" w:cs="Arial"/>
          <w:b/>
          <w:sz w:val="24"/>
          <w:szCs w:val="24"/>
          <w:u w:val="single"/>
        </w:rPr>
        <w:t>4年8</w:t>
      </w:r>
      <w:r>
        <w:rPr>
          <w:rFonts w:ascii="仿宋" w:hAnsi="仿宋" w:eastAsia="仿宋" w:cs="Arial"/>
          <w:b/>
          <w:sz w:val="24"/>
          <w:szCs w:val="24"/>
          <w:u w:val="single"/>
        </w:rPr>
        <w:t>月</w:t>
      </w:r>
      <w:r>
        <w:rPr>
          <w:rFonts w:hint="eastAsia" w:ascii="仿宋" w:hAnsi="仿宋" w:eastAsia="仿宋" w:cs="Arial"/>
          <w:b/>
          <w:sz w:val="24"/>
          <w:szCs w:val="24"/>
          <w:u w:val="single"/>
        </w:rPr>
        <w:t>14</w:t>
      </w:r>
      <w:r>
        <w:rPr>
          <w:rFonts w:ascii="仿宋" w:hAnsi="仿宋" w:eastAsia="仿宋" w:cs="Arial"/>
          <w:b/>
          <w:sz w:val="24"/>
          <w:szCs w:val="24"/>
          <w:u w:val="single"/>
        </w:rPr>
        <w:t>日</w:t>
      </w:r>
      <w:r>
        <w:rPr>
          <w:rFonts w:hint="eastAsia" w:ascii="仿宋" w:hAnsi="仿宋" w:eastAsia="仿宋" w:cs="Arial"/>
          <w:b/>
          <w:sz w:val="24"/>
          <w:szCs w:val="24"/>
        </w:rPr>
        <w:t>前</w:t>
      </w:r>
      <w:r>
        <w:rPr>
          <w:rFonts w:ascii="仿宋" w:hAnsi="仿宋" w:eastAsia="仿宋" w:cs="Arial"/>
          <w:b/>
          <w:sz w:val="24"/>
          <w:szCs w:val="24"/>
        </w:rPr>
        <w:t>向管理人申报债权</w:t>
      </w:r>
      <w:r>
        <w:rPr>
          <w:rFonts w:hint="eastAsia" w:ascii="仿宋" w:hAnsi="仿宋" w:eastAsia="仿宋" w:cs="Arial"/>
          <w:b/>
          <w:sz w:val="24"/>
          <w:szCs w:val="24"/>
        </w:rPr>
        <w:t>（管理人联系方式：</w:t>
      </w:r>
      <w:r>
        <w:rPr>
          <w:rFonts w:ascii="仿宋" w:hAnsi="仿宋" w:eastAsia="仿宋" w:cs="Arial"/>
          <w:b/>
          <w:sz w:val="24"/>
          <w:szCs w:val="24"/>
        </w:rPr>
        <w:t>131 2753 0017;131 2758 7827</w:t>
      </w:r>
      <w:r>
        <w:rPr>
          <w:rFonts w:hint="eastAsia" w:ascii="仿宋" w:hAnsi="仿宋" w:eastAsia="仿宋" w:cs="Arial"/>
          <w:b/>
          <w:sz w:val="24"/>
          <w:szCs w:val="24"/>
        </w:rPr>
        <w:t>；131 2758 6305）</w:t>
      </w:r>
      <w:r>
        <w:rPr>
          <w:rFonts w:hint="eastAsia" w:ascii="仿宋" w:hAnsi="仿宋" w:eastAsia="仿宋" w:cs="Arial"/>
          <w:sz w:val="24"/>
          <w:szCs w:val="24"/>
        </w:rPr>
        <w:t>。未在前述期限内申报的，可以在最后分配前补充申报。此前已进行的分配不再补充分配，同时仍需承担为审查和确认补充申报债权所产生的费用。未依法申报债权的，不得依照《企业破产法》规定的程序行使权利。</w:t>
      </w:r>
    </w:p>
    <w:p w14:paraId="0AAE4486">
      <w:pPr>
        <w:snapToGrid w:val="0"/>
        <w:spacing w:line="360" w:lineRule="auto"/>
        <w:ind w:firstLine="480" w:firstLineChars="200"/>
        <w:outlineLvl w:val="0"/>
        <w:rPr>
          <w:rFonts w:ascii="仿宋" w:hAnsi="仿宋" w:eastAsia="仿宋" w:cs="Arial"/>
          <w:sz w:val="24"/>
          <w:szCs w:val="24"/>
        </w:rPr>
      </w:pPr>
      <w:r>
        <w:rPr>
          <w:rFonts w:hint="eastAsia" w:ascii="仿宋" w:hAnsi="仿宋" w:eastAsia="仿宋" w:cs="Arial"/>
          <w:sz w:val="24"/>
          <w:szCs w:val="24"/>
        </w:rPr>
        <w:t>本案</w:t>
      </w:r>
      <w:r>
        <w:rPr>
          <w:rFonts w:hint="eastAsia" w:ascii="仿宋" w:hAnsi="仿宋" w:eastAsia="仿宋" w:cs="Arial"/>
          <w:b/>
          <w:bCs/>
          <w:sz w:val="24"/>
          <w:szCs w:val="24"/>
        </w:rPr>
        <w:t>第一次债权人会议将于2024年8月30日下午14时30分使用在线债权人会议系统</w:t>
      </w:r>
      <w:r>
        <w:rPr>
          <w:rFonts w:hint="eastAsia" w:ascii="仿宋" w:hAnsi="仿宋" w:eastAsia="仿宋" w:cs="Arial"/>
          <w:sz w:val="24"/>
          <w:szCs w:val="24"/>
        </w:rPr>
        <w:t>召开。依法申报债权的债权人为债权人会议的成员，有权参加债权人会议。</w:t>
      </w:r>
    </w:p>
    <w:p w14:paraId="5A878825">
      <w:pPr>
        <w:pStyle w:val="18"/>
        <w:numPr>
          <w:ilvl w:val="0"/>
          <w:numId w:val="2"/>
        </w:numPr>
        <w:snapToGrid w:val="0"/>
        <w:spacing w:line="360" w:lineRule="auto"/>
        <w:ind w:firstLineChars="0"/>
        <w:outlineLvl w:val="0"/>
        <w:rPr>
          <w:rFonts w:ascii="仿宋" w:hAnsi="仿宋" w:eastAsia="仿宋" w:cs="Arial"/>
          <w:b/>
          <w:sz w:val="24"/>
          <w:szCs w:val="24"/>
        </w:rPr>
      </w:pPr>
      <w:r>
        <w:rPr>
          <w:rFonts w:hint="eastAsia" w:ascii="仿宋" w:hAnsi="仿宋" w:eastAsia="仿宋" w:cs="Arial"/>
          <w:b/>
          <w:sz w:val="24"/>
          <w:szCs w:val="24"/>
        </w:rPr>
        <w:t>债权申报方式</w:t>
      </w:r>
    </w:p>
    <w:p w14:paraId="1C7EC783">
      <w:pPr>
        <w:snapToGrid w:val="0"/>
        <w:spacing w:line="360" w:lineRule="auto"/>
        <w:ind w:firstLine="480" w:firstLineChars="200"/>
        <w:outlineLvl w:val="0"/>
        <w:rPr>
          <w:rFonts w:ascii="仿宋" w:hAnsi="仿宋" w:eastAsia="仿宋" w:cs="Arial"/>
          <w:sz w:val="24"/>
          <w:szCs w:val="24"/>
        </w:rPr>
      </w:pPr>
      <w:r>
        <w:rPr>
          <w:rFonts w:hint="eastAsia" w:ascii="仿宋" w:hAnsi="仿宋" w:eastAsia="仿宋" w:cs="Arial"/>
          <w:sz w:val="24"/>
          <w:szCs w:val="24"/>
        </w:rPr>
        <w:t>债权人需通过</w:t>
      </w:r>
      <w:r>
        <w:rPr>
          <w:rFonts w:hint="eastAsia" w:ascii="仿宋" w:hAnsi="仿宋" w:eastAsia="仿宋" w:cs="Arial"/>
          <w:b/>
          <w:bCs/>
          <w:sz w:val="24"/>
          <w:szCs w:val="24"/>
        </w:rPr>
        <w:t>线上申报</w:t>
      </w:r>
      <w:r>
        <w:rPr>
          <w:rFonts w:hint="eastAsia" w:ascii="仿宋" w:hAnsi="仿宋" w:eastAsia="仿宋" w:cs="Arial"/>
          <w:sz w:val="24"/>
          <w:szCs w:val="24"/>
        </w:rPr>
        <w:t>的方式进行债权申报。具体方式如下：</w:t>
      </w:r>
    </w:p>
    <w:p w14:paraId="46B8BEC9">
      <w:pPr>
        <w:snapToGrid w:val="0"/>
        <w:spacing w:line="360" w:lineRule="auto"/>
        <w:ind w:firstLine="480" w:firstLineChars="200"/>
        <w:outlineLvl w:val="0"/>
        <w:rPr>
          <w:rFonts w:ascii="仿宋" w:hAnsi="仿宋" w:eastAsia="仿宋" w:cs="Arial"/>
          <w:sz w:val="24"/>
          <w:szCs w:val="24"/>
        </w:rPr>
      </w:pPr>
      <w:r>
        <w:rPr>
          <w:rFonts w:hint="eastAsia" w:ascii="仿宋" w:hAnsi="仿宋" w:eastAsia="仿宋" w:cs="Arial"/>
          <w:sz w:val="24"/>
          <w:szCs w:val="24"/>
        </w:rPr>
        <w:t>1、电脑浏览器访问破易云破产办案工作平台https://www.poyiyun.com/，点击“立即登录”,输入手机号、获取短信验证码、案件识别码申报债权，</w:t>
      </w:r>
      <w:r>
        <w:rPr>
          <w:rFonts w:hint="eastAsia" w:ascii="仿宋" w:hAnsi="仿宋" w:eastAsia="仿宋" w:cs="Arial"/>
          <w:b/>
          <w:bCs/>
          <w:sz w:val="24"/>
          <w:szCs w:val="24"/>
        </w:rPr>
        <w:t>本案件识别码</w:t>
      </w:r>
      <w:r>
        <w:rPr>
          <w:rFonts w:ascii="仿宋" w:hAnsi="仿宋" w:eastAsia="仿宋" w:cs="Arial"/>
          <w:b/>
          <w:bCs/>
          <w:sz w:val="24"/>
          <w:szCs w:val="24"/>
        </w:rPr>
        <w:t>11</w:t>
      </w:r>
      <w:r>
        <w:rPr>
          <w:rFonts w:hint="eastAsia" w:ascii="仿宋" w:hAnsi="仿宋" w:eastAsia="仿宋" w:cs="Arial"/>
          <w:b/>
          <w:bCs/>
          <w:sz w:val="24"/>
          <w:szCs w:val="24"/>
        </w:rPr>
        <w:t>3017</w:t>
      </w:r>
      <w:r>
        <w:rPr>
          <w:rFonts w:hint="eastAsia" w:ascii="仿宋" w:hAnsi="仿宋" w:eastAsia="仿宋" w:cs="Arial"/>
          <w:sz w:val="24"/>
          <w:szCs w:val="24"/>
        </w:rPr>
        <w:t>。</w:t>
      </w:r>
    </w:p>
    <w:p w14:paraId="387C08D3">
      <w:pPr>
        <w:snapToGrid w:val="0"/>
        <w:spacing w:line="360" w:lineRule="auto"/>
        <w:ind w:firstLine="480" w:firstLineChars="200"/>
        <w:outlineLvl w:val="0"/>
        <w:rPr>
          <w:rFonts w:ascii="仿宋" w:hAnsi="仿宋" w:eastAsia="仿宋" w:cs="Arial"/>
          <w:sz w:val="24"/>
          <w:szCs w:val="24"/>
        </w:rPr>
      </w:pPr>
      <w:r>
        <w:rPr>
          <w:rFonts w:ascii="仿宋" w:hAnsi="仿宋" w:eastAsia="仿宋" w:cs="Arial"/>
          <w:sz w:val="24"/>
          <w:szCs w:val="24"/>
        </w:rPr>
        <w:t>2</w:t>
      </w:r>
      <w:r>
        <w:rPr>
          <w:rFonts w:hint="eastAsia" w:ascii="仿宋" w:hAnsi="仿宋" w:eastAsia="仿宋" w:cs="Arial"/>
          <w:sz w:val="24"/>
          <w:szCs w:val="24"/>
        </w:rPr>
        <w:t>、或手机微信扫描以下自主申报二维码，债权人根据提示完成登录、债权申报，</w:t>
      </w:r>
      <w:r>
        <w:rPr>
          <w:rFonts w:hint="eastAsia" w:ascii="仿宋" w:hAnsi="仿宋" w:eastAsia="仿宋" w:cs="Arial"/>
          <w:b/>
          <w:bCs/>
          <w:sz w:val="24"/>
          <w:szCs w:val="24"/>
        </w:rPr>
        <w:t>本案件识别码113017</w:t>
      </w:r>
      <w:r>
        <w:rPr>
          <w:rFonts w:hint="eastAsia" w:ascii="仿宋" w:hAnsi="仿宋" w:eastAsia="仿宋" w:cs="Arial"/>
          <w:sz w:val="24"/>
          <w:szCs w:val="24"/>
        </w:rPr>
        <w:t>。</w:t>
      </w:r>
    </w:p>
    <w:p w14:paraId="096B5E66">
      <w:pPr>
        <w:snapToGrid w:val="0"/>
        <w:spacing w:line="360" w:lineRule="auto"/>
        <w:ind w:firstLine="480" w:firstLineChars="200"/>
        <w:jc w:val="center"/>
        <w:outlineLvl w:val="0"/>
        <w:rPr>
          <w:rFonts w:ascii="仿宋" w:hAnsi="仿宋" w:eastAsia="仿宋" w:cs="Arial"/>
          <w:sz w:val="24"/>
          <w:szCs w:val="24"/>
        </w:rPr>
      </w:pPr>
      <w:r>
        <w:rPr>
          <w:rFonts w:ascii="仿宋" w:hAnsi="仿宋" w:eastAsia="仿宋" w:cs="Arial"/>
          <w:sz w:val="24"/>
          <w:szCs w:val="24"/>
        </w:rPr>
        <w:drawing>
          <wp:inline distT="0" distB="0" distL="0" distR="0">
            <wp:extent cx="2820670" cy="3856990"/>
            <wp:effectExtent l="0" t="0" r="0" b="0"/>
            <wp:docPr id="943597733" name="图片 3"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597733" name="图片 3" descr="QR 代码&#10;&#10;描述已自动生成"/>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27893" cy="3866650"/>
                    </a:xfrm>
                    <a:prstGeom prst="rect">
                      <a:avLst/>
                    </a:prstGeom>
                  </pic:spPr>
                </pic:pic>
              </a:graphicData>
            </a:graphic>
          </wp:inline>
        </w:drawing>
      </w:r>
    </w:p>
    <w:p w14:paraId="77111710">
      <w:pPr>
        <w:snapToGrid w:val="0"/>
        <w:spacing w:line="360" w:lineRule="auto"/>
        <w:jc w:val="center"/>
        <w:outlineLvl w:val="0"/>
        <w:rPr>
          <w:rFonts w:ascii="仿宋" w:hAnsi="仿宋" w:eastAsia="仿宋" w:cs="Arial"/>
          <w:b/>
          <w:bCs/>
          <w:sz w:val="24"/>
          <w:szCs w:val="24"/>
        </w:rPr>
      </w:pPr>
      <w:r>
        <w:rPr>
          <w:rFonts w:hint="eastAsia" w:ascii="仿宋" w:hAnsi="仿宋" w:eastAsia="仿宋" w:cs="Arial"/>
          <w:b/>
          <w:bCs/>
          <w:sz w:val="24"/>
          <w:szCs w:val="24"/>
        </w:rPr>
        <w:t>（手机微信扫描上方二维码，完成债权申报）</w:t>
      </w:r>
    </w:p>
    <w:p w14:paraId="65AEC0DD">
      <w:pPr>
        <w:snapToGrid w:val="0"/>
        <w:spacing w:line="360" w:lineRule="auto"/>
        <w:ind w:firstLine="420"/>
        <w:outlineLvl w:val="0"/>
        <w:rPr>
          <w:rFonts w:ascii="仿宋" w:hAnsi="仿宋" w:eastAsia="仿宋" w:cs="Arial"/>
          <w:sz w:val="24"/>
          <w:szCs w:val="24"/>
        </w:rPr>
      </w:pPr>
      <w:r>
        <w:rPr>
          <w:rFonts w:ascii="仿宋" w:hAnsi="仿宋" w:eastAsia="仿宋" w:cs="Arial"/>
          <w:sz w:val="24"/>
          <w:szCs w:val="24"/>
        </w:rPr>
        <w:t>3</w:t>
      </w:r>
      <w:r>
        <w:rPr>
          <w:rFonts w:hint="eastAsia" w:ascii="仿宋" w:hAnsi="仿宋" w:eastAsia="仿宋" w:cs="Arial"/>
          <w:sz w:val="24"/>
          <w:szCs w:val="24"/>
        </w:rPr>
        <w:t>、如需了解债权申报详细步骤，可扫描以下二维码查阅</w:t>
      </w:r>
    </w:p>
    <w:p w14:paraId="7C29C875">
      <w:pPr>
        <w:snapToGrid w:val="0"/>
        <w:spacing w:line="360" w:lineRule="auto"/>
        <w:ind w:firstLine="420" w:firstLineChars="200"/>
        <w:jc w:val="center"/>
        <w:outlineLvl w:val="0"/>
        <w:rPr>
          <w:rFonts w:ascii="仿宋" w:hAnsi="仿宋" w:eastAsia="仿宋" w:cs="Arial"/>
          <w:sz w:val="24"/>
          <w:szCs w:val="24"/>
        </w:rPr>
      </w:pPr>
      <w:r>
        <w:rPr>
          <w:rFonts w:hint="eastAsia"/>
        </w:rPr>
        <w:drawing>
          <wp:inline distT="0" distB="0" distL="114300" distR="114300">
            <wp:extent cx="2139315" cy="2426970"/>
            <wp:effectExtent l="9525" t="9525" r="10160" b="14605"/>
            <wp:docPr id="5" name="图片 5" descr="债权人申报指引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债权人申报指引二维码"/>
                    <pic:cNvPicPr>
                      <a:picLocks noChangeAspect="1"/>
                    </pic:cNvPicPr>
                  </pic:nvPicPr>
                  <pic:blipFill>
                    <a:blip r:embed="rId9"/>
                    <a:stretch>
                      <a:fillRect/>
                    </a:stretch>
                  </pic:blipFill>
                  <pic:spPr>
                    <a:xfrm>
                      <a:off x="0" y="0"/>
                      <a:ext cx="2139315" cy="2426970"/>
                    </a:xfrm>
                    <a:prstGeom prst="rect">
                      <a:avLst/>
                    </a:prstGeom>
                    <a:ln>
                      <a:solidFill>
                        <a:schemeClr val="bg1">
                          <a:lumMod val="65000"/>
                        </a:schemeClr>
                      </a:solidFill>
                    </a:ln>
                  </pic:spPr>
                </pic:pic>
              </a:graphicData>
            </a:graphic>
          </wp:inline>
        </w:drawing>
      </w:r>
    </w:p>
    <w:p w14:paraId="69FC191A">
      <w:pPr>
        <w:snapToGrid w:val="0"/>
        <w:spacing w:line="360" w:lineRule="auto"/>
        <w:jc w:val="center"/>
        <w:outlineLvl w:val="0"/>
        <w:rPr>
          <w:rFonts w:ascii="仿宋" w:hAnsi="仿宋" w:eastAsia="仿宋" w:cs="Arial"/>
          <w:sz w:val="24"/>
          <w:szCs w:val="24"/>
        </w:rPr>
      </w:pPr>
      <w:r>
        <w:rPr>
          <w:rFonts w:hint="eastAsia" w:ascii="仿宋" w:hAnsi="仿宋" w:eastAsia="仿宋" w:cs="Arial"/>
          <w:sz w:val="24"/>
          <w:szCs w:val="24"/>
        </w:rPr>
        <w:t>（使用债权申报系统过程中遇到相关问题或需要帮助，可联系破易云平台工作人员：4</w:t>
      </w:r>
      <w:r>
        <w:rPr>
          <w:rFonts w:ascii="仿宋" w:hAnsi="仿宋" w:eastAsia="仿宋" w:cs="Arial"/>
          <w:sz w:val="24"/>
          <w:szCs w:val="24"/>
        </w:rPr>
        <w:t>00 999 3390</w:t>
      </w:r>
      <w:r>
        <w:rPr>
          <w:rFonts w:hint="eastAsia" w:ascii="仿宋" w:hAnsi="仿宋" w:eastAsia="仿宋" w:cs="Arial"/>
          <w:sz w:val="24"/>
          <w:szCs w:val="24"/>
        </w:rPr>
        <w:t>）</w:t>
      </w:r>
    </w:p>
    <w:p w14:paraId="075BEA2B">
      <w:pPr>
        <w:snapToGrid w:val="0"/>
        <w:spacing w:line="360" w:lineRule="auto"/>
        <w:ind w:firstLine="643" w:firstLineChars="200"/>
        <w:jc w:val="center"/>
        <w:outlineLvl w:val="0"/>
        <w:rPr>
          <w:rFonts w:ascii="仿宋" w:hAnsi="仿宋" w:eastAsia="仿宋" w:cs="Arial"/>
          <w:b/>
          <w:bCs/>
          <w:color w:val="FF0000"/>
          <w:sz w:val="32"/>
          <w:szCs w:val="32"/>
        </w:rPr>
      </w:pPr>
      <w:r>
        <w:rPr>
          <w:rFonts w:hint="eastAsia" w:ascii="仿宋" w:hAnsi="仿宋" w:eastAsia="仿宋" w:cs="Arial"/>
          <w:b/>
          <w:bCs/>
          <w:color w:val="FF0000"/>
          <w:sz w:val="32"/>
          <w:szCs w:val="32"/>
        </w:rPr>
        <w:t>*相关法律文书、申报表格模板、手机端及电脑端操作指引及演示视频均可登陆破易云后至“案件文件”下载</w:t>
      </w:r>
    </w:p>
    <w:p w14:paraId="6C33206D">
      <w:pPr>
        <w:pStyle w:val="18"/>
        <w:numPr>
          <w:ilvl w:val="0"/>
          <w:numId w:val="2"/>
        </w:numPr>
        <w:snapToGrid w:val="0"/>
        <w:spacing w:line="360" w:lineRule="auto"/>
        <w:ind w:firstLineChars="0"/>
        <w:outlineLvl w:val="0"/>
        <w:rPr>
          <w:rFonts w:ascii="仿宋" w:hAnsi="仿宋" w:eastAsia="仿宋" w:cs="Arial"/>
          <w:b/>
          <w:sz w:val="24"/>
          <w:szCs w:val="24"/>
        </w:rPr>
      </w:pPr>
      <w:r>
        <w:rPr>
          <w:rFonts w:ascii="仿宋" w:hAnsi="仿宋" w:eastAsia="仿宋" w:cs="Arial"/>
          <w:b/>
          <w:sz w:val="24"/>
          <w:szCs w:val="24"/>
        </w:rPr>
        <w:t>申报债权的范围</w:t>
      </w:r>
    </w:p>
    <w:p w14:paraId="006FE745">
      <w:pPr>
        <w:snapToGrid w:val="0"/>
        <w:spacing w:line="360" w:lineRule="auto"/>
        <w:ind w:firstLine="480" w:firstLineChars="200"/>
        <w:outlineLvl w:val="0"/>
        <w:rPr>
          <w:rFonts w:ascii="仿宋" w:hAnsi="仿宋" w:eastAsia="仿宋" w:cs="Arial"/>
          <w:sz w:val="24"/>
          <w:szCs w:val="24"/>
        </w:rPr>
      </w:pPr>
      <w:r>
        <w:rPr>
          <w:rFonts w:hint="eastAsia" w:ascii="仿宋" w:hAnsi="仿宋" w:eastAsia="仿宋" w:cs="Arial"/>
          <w:sz w:val="24"/>
          <w:szCs w:val="24"/>
        </w:rPr>
        <w:t>符合下列情形的债权人，均可向管理人申报债权：</w:t>
      </w:r>
    </w:p>
    <w:tbl>
      <w:tblPr>
        <w:tblStyle w:val="35"/>
        <w:tblW w:w="0" w:type="auto"/>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675"/>
        <w:gridCol w:w="7847"/>
      </w:tblGrid>
      <w:tr w14:paraId="72CDDE9F">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75" w:type="dxa"/>
            <w:vAlign w:val="center"/>
          </w:tcPr>
          <w:p w14:paraId="6007E44F">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1</w:t>
            </w:r>
          </w:p>
        </w:tc>
        <w:tc>
          <w:tcPr>
            <w:tcW w:w="7847" w:type="dxa"/>
          </w:tcPr>
          <w:p w14:paraId="29CE84EA">
            <w:pPr>
              <w:snapToGrid w:val="0"/>
              <w:spacing w:line="360" w:lineRule="auto"/>
              <w:outlineLvl w:val="0"/>
              <w:rPr>
                <w:rFonts w:ascii="仿宋" w:hAnsi="仿宋" w:eastAsia="仿宋" w:cs="Arial"/>
                <w:b/>
                <w:bCs w:val="0"/>
                <w:sz w:val="24"/>
                <w:szCs w:val="24"/>
              </w:rPr>
            </w:pPr>
            <w:r>
              <w:rPr>
                <w:rFonts w:hint="eastAsia" w:ascii="仿宋" w:hAnsi="仿宋" w:eastAsia="仿宋" w:cs="Arial"/>
                <w:b w:val="0"/>
                <w:bCs/>
                <w:sz w:val="24"/>
                <w:szCs w:val="24"/>
              </w:rPr>
              <w:t>法院受理本破产清算案件前对债务人享有债权的债权人，均可以向管理人申报债权。未到期债权，在破产清算申请受理时视为已到期；附利息的债权自破产清算申请受理时停止计息。</w:t>
            </w:r>
          </w:p>
        </w:tc>
      </w:tr>
      <w:tr w14:paraId="39450D1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75" w:type="dxa"/>
            <w:shd w:val="clear" w:color="auto" w:fill="F1F1F1" w:themeFill="background1" w:themeFillShade="F2"/>
            <w:vAlign w:val="center"/>
          </w:tcPr>
          <w:p w14:paraId="5EE25CE4">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2</w:t>
            </w:r>
          </w:p>
        </w:tc>
        <w:tc>
          <w:tcPr>
            <w:tcW w:w="7847" w:type="dxa"/>
            <w:shd w:val="clear" w:color="auto" w:fill="F1F1F1" w:themeFill="background1" w:themeFillShade="F2"/>
          </w:tcPr>
          <w:p w14:paraId="2D127CA8">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连带债权人可以由其中一人代表全体连带债权人申报债权，也可以共同申报债权。</w:t>
            </w:r>
          </w:p>
        </w:tc>
      </w:tr>
      <w:tr w14:paraId="6F1DB25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75" w:type="dxa"/>
            <w:vAlign w:val="center"/>
          </w:tcPr>
          <w:p w14:paraId="291470A5">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3</w:t>
            </w:r>
          </w:p>
        </w:tc>
        <w:tc>
          <w:tcPr>
            <w:tcW w:w="7847" w:type="dxa"/>
          </w:tcPr>
          <w:p w14:paraId="10322763">
            <w:pPr>
              <w:snapToGrid w:val="0"/>
              <w:spacing w:line="360" w:lineRule="auto"/>
              <w:outlineLvl w:val="0"/>
              <w:rPr>
                <w:rFonts w:ascii="仿宋" w:hAnsi="仿宋" w:eastAsia="仿宋" w:cs="Arial"/>
                <w:sz w:val="24"/>
                <w:szCs w:val="24"/>
              </w:rPr>
            </w:pPr>
            <w:r>
              <w:rPr>
                <w:rFonts w:ascii="仿宋" w:hAnsi="仿宋" w:eastAsia="仿宋" w:cs="Arial"/>
                <w:sz w:val="24"/>
                <w:szCs w:val="24"/>
              </w:rPr>
              <w:t>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管理人申报全部债权的除外。</w:t>
            </w:r>
          </w:p>
        </w:tc>
      </w:tr>
      <w:tr w14:paraId="5F8A03DF">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75" w:type="dxa"/>
            <w:shd w:val="clear" w:color="auto" w:fill="F1F1F1" w:themeFill="background1" w:themeFillShade="F2"/>
            <w:vAlign w:val="center"/>
          </w:tcPr>
          <w:p w14:paraId="614FA858">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4</w:t>
            </w:r>
          </w:p>
        </w:tc>
        <w:tc>
          <w:tcPr>
            <w:tcW w:w="7847" w:type="dxa"/>
            <w:shd w:val="clear" w:color="auto" w:fill="F1F1F1" w:themeFill="background1" w:themeFillShade="F2"/>
          </w:tcPr>
          <w:p w14:paraId="47FA11CF">
            <w:pPr>
              <w:snapToGrid w:val="0"/>
              <w:spacing w:line="360" w:lineRule="auto"/>
              <w:outlineLvl w:val="0"/>
              <w:rPr>
                <w:rFonts w:ascii="仿宋" w:hAnsi="仿宋" w:eastAsia="仿宋" w:cs="Arial"/>
                <w:sz w:val="24"/>
                <w:szCs w:val="24"/>
              </w:rPr>
            </w:pPr>
            <w:r>
              <w:rPr>
                <w:rFonts w:ascii="仿宋" w:hAnsi="仿宋" w:eastAsia="仿宋" w:cs="Arial"/>
                <w:sz w:val="24"/>
                <w:szCs w:val="24"/>
              </w:rPr>
              <w:t>管理人或者债务人依照规定解除合同的，对方当事人以因合同解除所产生的损害赔偿请求权申报债权。</w:t>
            </w:r>
          </w:p>
        </w:tc>
      </w:tr>
      <w:tr w14:paraId="0A0721B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75" w:type="dxa"/>
            <w:vAlign w:val="center"/>
          </w:tcPr>
          <w:p w14:paraId="4CC35B67">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5</w:t>
            </w:r>
          </w:p>
        </w:tc>
        <w:tc>
          <w:tcPr>
            <w:tcW w:w="7847" w:type="dxa"/>
          </w:tcPr>
          <w:p w14:paraId="7D964CA4">
            <w:pPr>
              <w:snapToGrid w:val="0"/>
              <w:spacing w:line="360" w:lineRule="auto"/>
              <w:outlineLvl w:val="0"/>
              <w:rPr>
                <w:rFonts w:ascii="仿宋" w:hAnsi="仿宋" w:eastAsia="仿宋" w:cs="Arial"/>
                <w:sz w:val="24"/>
                <w:szCs w:val="24"/>
              </w:rPr>
            </w:pPr>
            <w:r>
              <w:rPr>
                <w:rFonts w:ascii="仿宋" w:hAnsi="仿宋" w:eastAsia="仿宋" w:cs="Arial"/>
                <w:sz w:val="24"/>
                <w:szCs w:val="24"/>
              </w:rPr>
              <w:t>债务人是委托合同的委托人，被裁定适用</w:t>
            </w:r>
            <w:r>
              <w:rPr>
                <w:rFonts w:hint="eastAsia" w:ascii="仿宋" w:hAnsi="仿宋" w:eastAsia="仿宋" w:cs="Arial"/>
                <w:sz w:val="24"/>
                <w:szCs w:val="24"/>
              </w:rPr>
              <w:t>破产清算</w:t>
            </w:r>
            <w:r>
              <w:rPr>
                <w:rFonts w:ascii="仿宋" w:hAnsi="仿宋" w:eastAsia="仿宋" w:cs="Arial"/>
                <w:sz w:val="24"/>
                <w:szCs w:val="24"/>
              </w:rPr>
              <w:t>程序，受托人不知该事实，继续处理委托事务的，受托人以由此产生的请求权申报债权。</w:t>
            </w:r>
          </w:p>
        </w:tc>
      </w:tr>
      <w:tr w14:paraId="69B8EE4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75" w:type="dxa"/>
            <w:shd w:val="clear" w:color="auto" w:fill="F1F1F1" w:themeFill="background1" w:themeFillShade="F2"/>
            <w:vAlign w:val="center"/>
          </w:tcPr>
          <w:p w14:paraId="4EA475B7">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6</w:t>
            </w:r>
          </w:p>
        </w:tc>
        <w:tc>
          <w:tcPr>
            <w:tcW w:w="7847" w:type="dxa"/>
            <w:shd w:val="clear" w:color="auto" w:fill="F1F1F1" w:themeFill="background1" w:themeFillShade="F2"/>
          </w:tcPr>
          <w:p w14:paraId="1644D555">
            <w:pPr>
              <w:snapToGrid w:val="0"/>
              <w:spacing w:line="360" w:lineRule="auto"/>
              <w:outlineLvl w:val="0"/>
              <w:rPr>
                <w:rFonts w:ascii="仿宋" w:hAnsi="仿宋" w:eastAsia="仿宋" w:cs="Arial"/>
                <w:sz w:val="24"/>
                <w:szCs w:val="24"/>
              </w:rPr>
            </w:pPr>
            <w:r>
              <w:rPr>
                <w:rFonts w:ascii="仿宋" w:hAnsi="仿宋" w:eastAsia="仿宋" w:cs="Arial"/>
                <w:sz w:val="24"/>
                <w:szCs w:val="24"/>
              </w:rPr>
              <w:t>债务人是票据的出票人，被裁定适用</w:t>
            </w:r>
            <w:r>
              <w:rPr>
                <w:rFonts w:hint="eastAsia" w:ascii="仿宋" w:hAnsi="仿宋" w:eastAsia="仿宋" w:cs="Arial"/>
                <w:sz w:val="24"/>
                <w:szCs w:val="24"/>
              </w:rPr>
              <w:t>破产清算</w:t>
            </w:r>
            <w:r>
              <w:rPr>
                <w:rFonts w:ascii="仿宋" w:hAnsi="仿宋" w:eastAsia="仿宋" w:cs="Arial"/>
                <w:sz w:val="24"/>
                <w:szCs w:val="24"/>
              </w:rPr>
              <w:t>程序，该票据的付款人继续付款或者承兑的，付款人以由此产生的请求权申报债权。</w:t>
            </w:r>
          </w:p>
        </w:tc>
      </w:tr>
      <w:tr w14:paraId="156A58B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75" w:type="dxa"/>
            <w:vAlign w:val="center"/>
          </w:tcPr>
          <w:p w14:paraId="7699EFCF">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7</w:t>
            </w:r>
          </w:p>
        </w:tc>
        <w:tc>
          <w:tcPr>
            <w:tcW w:w="7847" w:type="dxa"/>
          </w:tcPr>
          <w:p w14:paraId="0A91C61F">
            <w:pPr>
              <w:snapToGrid w:val="0"/>
              <w:spacing w:line="360" w:lineRule="auto"/>
              <w:outlineLvl w:val="0"/>
              <w:rPr>
                <w:rFonts w:ascii="仿宋" w:hAnsi="仿宋" w:eastAsia="仿宋" w:cs="Arial"/>
                <w:sz w:val="24"/>
                <w:szCs w:val="24"/>
              </w:rPr>
            </w:pPr>
            <w:r>
              <w:rPr>
                <w:rFonts w:ascii="仿宋" w:hAnsi="仿宋" w:eastAsia="仿宋" w:cs="Arial"/>
                <w:sz w:val="24"/>
                <w:szCs w:val="24"/>
              </w:rPr>
              <w:t>附条件、附期限的债权和诉讼、仲裁未决的债权，债权人可以申报。</w:t>
            </w:r>
          </w:p>
        </w:tc>
      </w:tr>
    </w:tbl>
    <w:p w14:paraId="2BDA734C">
      <w:pPr>
        <w:pStyle w:val="18"/>
        <w:numPr>
          <w:ilvl w:val="0"/>
          <w:numId w:val="2"/>
        </w:numPr>
        <w:snapToGrid w:val="0"/>
        <w:spacing w:line="360" w:lineRule="auto"/>
        <w:ind w:firstLineChars="0"/>
        <w:outlineLvl w:val="0"/>
        <w:rPr>
          <w:rFonts w:ascii="仿宋" w:hAnsi="仿宋" w:eastAsia="仿宋" w:cs="Arial"/>
          <w:b/>
          <w:sz w:val="24"/>
          <w:szCs w:val="24"/>
        </w:rPr>
      </w:pPr>
      <w:r>
        <w:rPr>
          <w:rFonts w:ascii="仿宋" w:hAnsi="仿宋" w:eastAsia="仿宋" w:cs="Arial"/>
          <w:b/>
          <w:sz w:val="24"/>
          <w:szCs w:val="24"/>
        </w:rPr>
        <w:t>债权申报</w:t>
      </w:r>
      <w:r>
        <w:rPr>
          <w:rFonts w:hint="eastAsia" w:ascii="仿宋" w:hAnsi="仿宋" w:eastAsia="仿宋" w:cs="Arial"/>
          <w:b/>
          <w:sz w:val="24"/>
          <w:szCs w:val="24"/>
        </w:rPr>
        <w:t>应提交的资料</w:t>
      </w:r>
    </w:p>
    <w:p w14:paraId="7685E606">
      <w:pPr>
        <w:snapToGrid w:val="0"/>
        <w:spacing w:line="360" w:lineRule="auto"/>
        <w:ind w:firstLine="480" w:firstLineChars="200"/>
        <w:outlineLvl w:val="0"/>
        <w:rPr>
          <w:rFonts w:ascii="仿宋" w:hAnsi="仿宋" w:eastAsia="仿宋" w:cs="Arial"/>
          <w:b/>
          <w:bCs/>
          <w:sz w:val="24"/>
          <w:szCs w:val="24"/>
        </w:rPr>
      </w:pPr>
      <w:r>
        <w:rPr>
          <w:rFonts w:hint="eastAsia" w:ascii="仿宋" w:hAnsi="仿宋" w:eastAsia="仿宋" w:cs="Arial"/>
          <w:sz w:val="24"/>
          <w:szCs w:val="24"/>
        </w:rPr>
        <w:t>债权人申报债权时，</w:t>
      </w:r>
      <w:r>
        <w:rPr>
          <w:rFonts w:hint="eastAsia" w:ascii="仿宋" w:hAnsi="仿宋" w:eastAsia="仿宋" w:cs="Arial"/>
          <w:b/>
          <w:bCs/>
          <w:sz w:val="24"/>
          <w:szCs w:val="24"/>
        </w:rPr>
        <w:t>应通过彩色扫描提交如下四类申报材料电子档，同时留存原件备查</w:t>
      </w:r>
      <w:r>
        <w:rPr>
          <w:rFonts w:ascii="仿宋" w:hAnsi="仿宋" w:eastAsia="仿宋" w:cs="Arial"/>
          <w:b/>
          <w:bCs/>
          <w:sz w:val="24"/>
          <w:szCs w:val="24"/>
        </w:rPr>
        <w:t>。</w:t>
      </w:r>
    </w:p>
    <w:p w14:paraId="09D675F6">
      <w:pPr>
        <w:pStyle w:val="20"/>
        <w:numPr>
          <w:ilvl w:val="0"/>
          <w:numId w:val="3"/>
        </w:numPr>
        <w:adjustRightInd w:val="0"/>
        <w:snapToGrid w:val="0"/>
        <w:spacing w:line="360" w:lineRule="auto"/>
        <w:ind w:firstLineChars="0"/>
        <w:rPr>
          <w:rFonts w:ascii="仿宋" w:hAnsi="仿宋" w:eastAsia="仿宋" w:cs="Arial"/>
          <w:b/>
          <w:bCs/>
          <w:sz w:val="24"/>
          <w:szCs w:val="24"/>
        </w:rPr>
      </w:pPr>
      <w:r>
        <w:rPr>
          <w:rFonts w:hint="eastAsia" w:ascii="仿宋" w:hAnsi="仿宋" w:eastAsia="仿宋" w:cs="Arial"/>
          <w:b/>
          <w:bCs/>
          <w:sz w:val="24"/>
          <w:szCs w:val="24"/>
        </w:rPr>
        <w:t>《债权申报材料目录》</w:t>
      </w:r>
      <w:r>
        <w:rPr>
          <w:rFonts w:ascii="仿宋" w:hAnsi="仿宋" w:eastAsia="仿宋" w:cs="Arial"/>
          <w:b/>
          <w:bCs/>
          <w:sz w:val="24"/>
          <w:szCs w:val="24"/>
        </w:rPr>
        <w:t>《债权申报表》及《债权申报书》</w:t>
      </w:r>
      <w:r>
        <w:rPr>
          <w:rFonts w:hint="eastAsia" w:ascii="仿宋" w:hAnsi="仿宋" w:eastAsia="仿宋" w:cs="Arial"/>
          <w:b/>
          <w:bCs/>
          <w:sz w:val="24"/>
          <w:szCs w:val="24"/>
        </w:rPr>
        <w:t>（该部分请在证据材料端口上传）</w:t>
      </w:r>
    </w:p>
    <w:tbl>
      <w:tblPr>
        <w:tblStyle w:val="35"/>
        <w:tblW w:w="0" w:type="auto"/>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675"/>
        <w:gridCol w:w="7847"/>
      </w:tblGrid>
      <w:tr w14:paraId="5C52A5C5">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75" w:type="dxa"/>
            <w:vAlign w:val="center"/>
          </w:tcPr>
          <w:p w14:paraId="03780290">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1</w:t>
            </w:r>
          </w:p>
        </w:tc>
        <w:tc>
          <w:tcPr>
            <w:tcW w:w="7847" w:type="dxa"/>
          </w:tcPr>
          <w:p w14:paraId="2E06F786">
            <w:pPr>
              <w:snapToGrid w:val="0"/>
              <w:spacing w:line="360" w:lineRule="auto"/>
              <w:outlineLvl w:val="0"/>
              <w:rPr>
                <w:rFonts w:ascii="Arial" w:hAnsi="Arial" w:eastAsia="仿宋" w:cs="Arial"/>
                <w:b/>
                <w:bCs w:val="0"/>
                <w:sz w:val="24"/>
                <w:szCs w:val="24"/>
              </w:rPr>
            </w:pPr>
            <w:r>
              <w:rPr>
                <w:rFonts w:hint="eastAsia" w:ascii="Arial" w:hAnsi="Arial" w:eastAsia="仿宋" w:cs="Arial"/>
                <w:b w:val="0"/>
                <w:bCs/>
                <w:sz w:val="24"/>
                <w:szCs w:val="24"/>
              </w:rPr>
              <w:t>《债权申报材料目录》中按序填写提交的书面材料名称，并注明份数。</w:t>
            </w:r>
          </w:p>
        </w:tc>
      </w:tr>
      <w:tr w14:paraId="07F1C910">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75" w:type="dxa"/>
            <w:shd w:val="clear" w:color="auto" w:fill="F1F1F1" w:themeFill="background1" w:themeFillShade="F2"/>
            <w:vAlign w:val="center"/>
          </w:tcPr>
          <w:p w14:paraId="69AE6B74">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2</w:t>
            </w:r>
          </w:p>
        </w:tc>
        <w:tc>
          <w:tcPr>
            <w:tcW w:w="7847" w:type="dxa"/>
            <w:shd w:val="clear" w:color="auto" w:fill="F1F1F1" w:themeFill="background1" w:themeFillShade="F2"/>
          </w:tcPr>
          <w:p w14:paraId="635D28C4">
            <w:pPr>
              <w:snapToGrid w:val="0"/>
              <w:spacing w:line="360" w:lineRule="auto"/>
              <w:outlineLvl w:val="0"/>
              <w:rPr>
                <w:rFonts w:ascii="Arial" w:hAnsi="Arial" w:eastAsia="仿宋" w:cs="Arial"/>
                <w:sz w:val="24"/>
                <w:szCs w:val="24"/>
              </w:rPr>
            </w:pPr>
            <w:r>
              <w:rPr>
                <w:rFonts w:hint="eastAsia" w:ascii="Arial" w:hAnsi="Arial" w:eastAsia="仿宋" w:cs="Arial"/>
                <w:sz w:val="24"/>
                <w:szCs w:val="24"/>
              </w:rPr>
              <w:t>申报人应真实、准确、完整填写《债权申报表》，填写债权申报人的基本信息、联系方式、申报债权金额、是否存在担保以及诉讼、仲裁等信息。以上信息如有虚假填写，债权人将自行承担法律后果。</w:t>
            </w:r>
          </w:p>
        </w:tc>
      </w:tr>
      <w:tr w14:paraId="5DAD1E8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75" w:type="dxa"/>
            <w:vAlign w:val="center"/>
          </w:tcPr>
          <w:p w14:paraId="61BB26D4">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3</w:t>
            </w:r>
          </w:p>
        </w:tc>
        <w:tc>
          <w:tcPr>
            <w:tcW w:w="7847" w:type="dxa"/>
          </w:tcPr>
          <w:p w14:paraId="63CD7FCF">
            <w:pPr>
              <w:snapToGrid w:val="0"/>
              <w:spacing w:line="360" w:lineRule="auto"/>
              <w:outlineLvl w:val="0"/>
              <w:rPr>
                <w:rFonts w:ascii="Arial" w:hAnsi="Arial" w:eastAsia="仿宋" w:cs="Arial"/>
                <w:sz w:val="24"/>
                <w:szCs w:val="24"/>
              </w:rPr>
            </w:pPr>
            <w:r>
              <w:rPr>
                <w:rFonts w:hint="eastAsia" w:ascii="Arial" w:hAnsi="Arial" w:eastAsia="仿宋" w:cs="Arial"/>
                <w:sz w:val="24"/>
                <w:szCs w:val="24"/>
              </w:rPr>
              <w:t>《债权申报书》须写明申报的债权金额、币种、性质、形成原因、经过、有无财产担保、利息计算方式（如有）等相关事项</w:t>
            </w:r>
            <w:r>
              <w:rPr>
                <w:rFonts w:ascii="Arial" w:hAnsi="Arial" w:eastAsia="仿宋" w:cs="Arial"/>
                <w:sz w:val="24"/>
                <w:szCs w:val="24"/>
              </w:rPr>
              <w:t>。</w:t>
            </w:r>
          </w:p>
        </w:tc>
      </w:tr>
      <w:tr w14:paraId="5FAB22D8">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75" w:type="dxa"/>
            <w:shd w:val="clear" w:color="auto" w:fill="F1F1F1" w:themeFill="background1" w:themeFillShade="F2"/>
            <w:vAlign w:val="center"/>
          </w:tcPr>
          <w:p w14:paraId="55785A29">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4</w:t>
            </w:r>
          </w:p>
        </w:tc>
        <w:tc>
          <w:tcPr>
            <w:tcW w:w="7847" w:type="dxa"/>
            <w:shd w:val="clear" w:color="auto" w:fill="F1F1F1" w:themeFill="background1" w:themeFillShade="F2"/>
          </w:tcPr>
          <w:p w14:paraId="0527B72E">
            <w:pPr>
              <w:snapToGrid w:val="0"/>
              <w:spacing w:line="360" w:lineRule="auto"/>
              <w:outlineLvl w:val="0"/>
              <w:rPr>
                <w:rFonts w:ascii="Arial" w:hAnsi="Arial" w:eastAsia="仿宋" w:cs="Arial"/>
                <w:sz w:val="24"/>
                <w:szCs w:val="24"/>
              </w:rPr>
            </w:pPr>
            <w:r>
              <w:rPr>
                <w:rFonts w:hint="eastAsia" w:ascii="Arial" w:hAnsi="Arial" w:eastAsia="仿宋" w:cs="Arial"/>
                <w:sz w:val="24"/>
                <w:szCs w:val="24"/>
              </w:rPr>
              <w:t>机构债权人应在《债权申报表》及《债权申报书》上加盖债权人公章，个人债权人应由本人签字。委托代理人申报的，代理人应在《债权申报表》及《债权申报书》上签字</w:t>
            </w:r>
            <w:r>
              <w:rPr>
                <w:rFonts w:ascii="Arial" w:hAnsi="Arial" w:eastAsia="仿宋" w:cs="Arial"/>
                <w:sz w:val="24"/>
                <w:szCs w:val="24"/>
              </w:rPr>
              <w:t>。</w:t>
            </w:r>
          </w:p>
        </w:tc>
      </w:tr>
      <w:tr w14:paraId="1D5F95E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75" w:type="dxa"/>
            <w:vAlign w:val="center"/>
          </w:tcPr>
          <w:p w14:paraId="4364AF15">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5</w:t>
            </w:r>
          </w:p>
        </w:tc>
        <w:tc>
          <w:tcPr>
            <w:tcW w:w="7847" w:type="dxa"/>
          </w:tcPr>
          <w:p w14:paraId="089D80B7">
            <w:pPr>
              <w:snapToGrid w:val="0"/>
              <w:spacing w:line="360" w:lineRule="auto"/>
              <w:outlineLvl w:val="0"/>
              <w:rPr>
                <w:rFonts w:ascii="Arial" w:hAnsi="Arial" w:eastAsia="仿宋" w:cs="Arial"/>
                <w:sz w:val="24"/>
                <w:szCs w:val="24"/>
              </w:rPr>
            </w:pPr>
            <w:r>
              <w:rPr>
                <w:rFonts w:hint="eastAsia" w:ascii="Arial" w:hAnsi="Arial" w:eastAsia="仿宋" w:cs="Arial"/>
                <w:sz w:val="24"/>
                <w:szCs w:val="24"/>
              </w:rPr>
              <w:t>《债权申报表》和《债权申报书》记载的信息应当保持一致。</w:t>
            </w:r>
          </w:p>
        </w:tc>
      </w:tr>
    </w:tbl>
    <w:p w14:paraId="77071D01">
      <w:pPr>
        <w:pStyle w:val="20"/>
        <w:numPr>
          <w:ilvl w:val="0"/>
          <w:numId w:val="3"/>
        </w:numPr>
        <w:snapToGrid w:val="0"/>
        <w:spacing w:line="360" w:lineRule="auto"/>
        <w:ind w:firstLineChars="0"/>
        <w:rPr>
          <w:rFonts w:ascii="仿宋" w:hAnsi="仿宋" w:eastAsia="仿宋" w:cs="Arial"/>
          <w:b/>
          <w:bCs/>
          <w:sz w:val="24"/>
          <w:szCs w:val="24"/>
        </w:rPr>
      </w:pPr>
      <w:r>
        <w:rPr>
          <w:rFonts w:ascii="仿宋" w:hAnsi="仿宋" w:eastAsia="仿宋" w:cs="Arial"/>
          <w:b/>
          <w:bCs/>
          <w:sz w:val="24"/>
          <w:szCs w:val="24"/>
        </w:rPr>
        <w:t>申报人主体资格的材料</w:t>
      </w:r>
      <w:r>
        <w:rPr>
          <w:rFonts w:hint="eastAsia" w:ascii="仿宋" w:hAnsi="仿宋" w:eastAsia="仿宋" w:cs="Arial"/>
          <w:b/>
          <w:bCs/>
          <w:sz w:val="24"/>
          <w:szCs w:val="24"/>
        </w:rPr>
        <w:t>（该部分请在身份资料端口上传）</w:t>
      </w:r>
    </w:p>
    <w:p w14:paraId="66F097E3">
      <w:pPr>
        <w:pStyle w:val="20"/>
        <w:numPr>
          <w:ilvl w:val="0"/>
          <w:numId w:val="4"/>
        </w:numPr>
        <w:snapToGrid w:val="0"/>
        <w:spacing w:line="360" w:lineRule="auto"/>
        <w:ind w:firstLineChars="0"/>
        <w:rPr>
          <w:rFonts w:ascii="仿宋" w:hAnsi="仿宋" w:eastAsia="仿宋" w:cs="Arial"/>
          <w:b/>
          <w:sz w:val="24"/>
          <w:szCs w:val="24"/>
        </w:rPr>
      </w:pPr>
      <w:r>
        <w:rPr>
          <w:rFonts w:hint="eastAsia" w:ascii="仿宋" w:hAnsi="仿宋" w:eastAsia="仿宋" w:cs="Arial"/>
          <w:b/>
          <w:sz w:val="24"/>
          <w:szCs w:val="24"/>
        </w:rPr>
        <w:t>债权人为机构的，应当提交如下材料</w:t>
      </w:r>
      <w:r>
        <w:rPr>
          <w:rFonts w:ascii="仿宋" w:hAnsi="仿宋" w:eastAsia="仿宋" w:cs="Arial"/>
          <w:b/>
          <w:sz w:val="24"/>
          <w:szCs w:val="24"/>
        </w:rPr>
        <w:t>：</w:t>
      </w:r>
    </w:p>
    <w:p w14:paraId="36FFC84A">
      <w:pPr>
        <w:pStyle w:val="20"/>
        <w:numPr>
          <w:ilvl w:val="0"/>
          <w:numId w:val="5"/>
        </w:numPr>
        <w:snapToGrid w:val="0"/>
        <w:spacing w:line="360" w:lineRule="auto"/>
        <w:ind w:left="1134" w:firstLineChars="0"/>
        <w:rPr>
          <w:rFonts w:ascii="仿宋" w:hAnsi="仿宋" w:eastAsia="仿宋" w:cs="Arial"/>
          <w:sz w:val="24"/>
          <w:szCs w:val="24"/>
        </w:rPr>
      </w:pPr>
      <w:r>
        <w:rPr>
          <w:rFonts w:ascii="仿宋" w:hAnsi="仿宋" w:eastAsia="仿宋" w:cs="Arial"/>
          <w:sz w:val="24"/>
          <w:szCs w:val="24"/>
        </w:rPr>
        <w:t>有效的统一社会信用代码证或</w:t>
      </w:r>
      <w:r>
        <w:rPr>
          <w:rFonts w:hint="eastAsia" w:ascii="仿宋" w:hAnsi="仿宋" w:eastAsia="仿宋" w:cs="Arial"/>
          <w:sz w:val="24"/>
          <w:szCs w:val="24"/>
        </w:rPr>
        <w:t>事业单位、社会团体等非营利法人或非法人组织的登记证书或</w:t>
      </w:r>
      <w:r>
        <w:rPr>
          <w:rFonts w:ascii="仿宋" w:hAnsi="仿宋" w:eastAsia="仿宋" w:cs="Arial"/>
          <w:sz w:val="24"/>
          <w:szCs w:val="24"/>
        </w:rPr>
        <w:t>类似证明主体资格合法存续的文件的复印件（加盖单位公章）；</w:t>
      </w:r>
    </w:p>
    <w:p w14:paraId="0DB39D25">
      <w:pPr>
        <w:pStyle w:val="20"/>
        <w:numPr>
          <w:ilvl w:val="0"/>
          <w:numId w:val="5"/>
        </w:numPr>
        <w:snapToGrid w:val="0"/>
        <w:spacing w:line="360" w:lineRule="auto"/>
        <w:ind w:left="1134" w:firstLineChars="0"/>
        <w:rPr>
          <w:rFonts w:ascii="仿宋" w:hAnsi="仿宋" w:eastAsia="仿宋" w:cs="Arial"/>
          <w:sz w:val="24"/>
          <w:szCs w:val="24"/>
        </w:rPr>
      </w:pPr>
      <w:r>
        <w:rPr>
          <w:rFonts w:ascii="仿宋" w:hAnsi="仿宋" w:eastAsia="仿宋" w:cs="Arial"/>
          <w:sz w:val="24"/>
          <w:szCs w:val="24"/>
        </w:rPr>
        <w:t>法定代表人（负责人）身份证明书</w:t>
      </w:r>
      <w:r>
        <w:rPr>
          <w:rFonts w:hint="eastAsia" w:ascii="仿宋" w:hAnsi="仿宋" w:eastAsia="仿宋" w:cs="Arial"/>
          <w:sz w:val="24"/>
          <w:szCs w:val="24"/>
        </w:rPr>
        <w:t>（请按照附件所示范本填写，须提供原件）</w:t>
      </w:r>
      <w:r>
        <w:rPr>
          <w:rFonts w:ascii="仿宋" w:hAnsi="仿宋" w:eastAsia="仿宋" w:cs="Arial"/>
          <w:sz w:val="24"/>
          <w:szCs w:val="24"/>
        </w:rPr>
        <w:t>；</w:t>
      </w:r>
    </w:p>
    <w:p w14:paraId="3EA05B40">
      <w:pPr>
        <w:pStyle w:val="20"/>
        <w:numPr>
          <w:ilvl w:val="0"/>
          <w:numId w:val="5"/>
        </w:numPr>
        <w:snapToGrid w:val="0"/>
        <w:spacing w:line="360" w:lineRule="auto"/>
        <w:ind w:left="1134" w:firstLineChars="0"/>
        <w:rPr>
          <w:rFonts w:ascii="仿宋" w:hAnsi="仿宋" w:eastAsia="仿宋" w:cs="Arial"/>
          <w:sz w:val="24"/>
          <w:szCs w:val="24"/>
        </w:rPr>
      </w:pPr>
      <w:r>
        <w:rPr>
          <w:rFonts w:ascii="仿宋" w:hAnsi="仿宋" w:eastAsia="仿宋" w:cs="Arial"/>
          <w:sz w:val="24"/>
          <w:szCs w:val="24"/>
        </w:rPr>
        <w:t>法定代表人（负责人）身份证等个人有效证件的复印件（加盖单位公章）</w:t>
      </w:r>
      <w:r>
        <w:rPr>
          <w:rFonts w:hint="eastAsia" w:ascii="仿宋" w:hAnsi="仿宋" w:eastAsia="仿宋" w:cs="Arial"/>
          <w:sz w:val="24"/>
          <w:szCs w:val="24"/>
        </w:rPr>
        <w:t>；</w:t>
      </w:r>
    </w:p>
    <w:p w14:paraId="28D972AE">
      <w:pPr>
        <w:pStyle w:val="20"/>
        <w:numPr>
          <w:ilvl w:val="0"/>
          <w:numId w:val="5"/>
        </w:numPr>
        <w:snapToGrid w:val="0"/>
        <w:spacing w:line="360" w:lineRule="auto"/>
        <w:ind w:left="1134" w:firstLineChars="0"/>
        <w:rPr>
          <w:rFonts w:ascii="仿宋" w:hAnsi="仿宋" w:eastAsia="仿宋" w:cs="Arial"/>
          <w:sz w:val="24"/>
          <w:szCs w:val="24"/>
        </w:rPr>
      </w:pPr>
      <w:r>
        <w:rPr>
          <w:rFonts w:ascii="仿宋" w:hAnsi="仿宋" w:eastAsia="仿宋" w:cs="Arial"/>
          <w:sz w:val="24"/>
          <w:szCs w:val="24"/>
        </w:rPr>
        <w:t>如机构债权人与</w:t>
      </w:r>
      <w:r>
        <w:rPr>
          <w:rFonts w:hint="eastAsia" w:ascii="仿宋" w:hAnsi="仿宋" w:eastAsia="仿宋" w:cs="Arial"/>
          <w:sz w:val="24"/>
          <w:szCs w:val="24"/>
        </w:rPr>
        <w:t>上海国美电器有限公司</w:t>
      </w:r>
      <w:r>
        <w:rPr>
          <w:rFonts w:ascii="仿宋" w:hAnsi="仿宋" w:eastAsia="仿宋" w:cs="Arial"/>
          <w:sz w:val="24"/>
          <w:szCs w:val="24"/>
        </w:rPr>
        <w:t>发生债权债务后名称发生变更的，还应提交</w:t>
      </w:r>
      <w:r>
        <w:rPr>
          <w:rFonts w:hint="eastAsia" w:ascii="仿宋" w:hAnsi="仿宋" w:eastAsia="仿宋" w:cs="Arial"/>
          <w:sz w:val="24"/>
          <w:szCs w:val="24"/>
        </w:rPr>
        <w:t>市场监督管理机构</w:t>
      </w:r>
      <w:r>
        <w:rPr>
          <w:rFonts w:ascii="仿宋" w:hAnsi="仿宋" w:eastAsia="仿宋" w:cs="Arial"/>
          <w:sz w:val="24"/>
          <w:szCs w:val="24"/>
        </w:rPr>
        <w:t>出具的名称变更证明</w:t>
      </w:r>
      <w:r>
        <w:rPr>
          <w:rFonts w:hint="eastAsia" w:ascii="仿宋" w:hAnsi="仿宋" w:eastAsia="仿宋" w:cs="Arial"/>
          <w:sz w:val="24"/>
          <w:szCs w:val="24"/>
        </w:rPr>
        <w:t>文件原件。需要注意的是，注销/吊销后重新注册的机构债权人不视为名称变更，机构债权人应提交两家机构之间债权转让的相关证明资料。</w:t>
      </w:r>
    </w:p>
    <w:p w14:paraId="39113B2D">
      <w:pPr>
        <w:pStyle w:val="20"/>
        <w:numPr>
          <w:ilvl w:val="0"/>
          <w:numId w:val="4"/>
        </w:numPr>
        <w:snapToGrid w:val="0"/>
        <w:spacing w:line="360" w:lineRule="auto"/>
        <w:ind w:firstLineChars="0"/>
        <w:rPr>
          <w:rFonts w:ascii="仿宋" w:hAnsi="仿宋" w:eastAsia="仿宋" w:cs="Arial"/>
          <w:b/>
          <w:sz w:val="24"/>
          <w:szCs w:val="24"/>
        </w:rPr>
      </w:pPr>
      <w:r>
        <w:rPr>
          <w:rFonts w:ascii="仿宋" w:hAnsi="仿宋" w:eastAsia="仿宋" w:cs="Arial"/>
          <w:b/>
          <w:sz w:val="24"/>
          <w:szCs w:val="24"/>
        </w:rPr>
        <w:t>个人债权人须提交的材料：</w:t>
      </w:r>
    </w:p>
    <w:p w14:paraId="65180F80">
      <w:pPr>
        <w:pStyle w:val="20"/>
        <w:numPr>
          <w:ilvl w:val="0"/>
          <w:numId w:val="6"/>
        </w:numPr>
        <w:snapToGrid w:val="0"/>
        <w:spacing w:line="360" w:lineRule="auto"/>
        <w:ind w:left="1134" w:firstLineChars="0"/>
        <w:rPr>
          <w:rFonts w:ascii="仿宋" w:hAnsi="仿宋" w:eastAsia="仿宋" w:cs="Arial"/>
          <w:sz w:val="24"/>
          <w:szCs w:val="24"/>
        </w:rPr>
      </w:pPr>
      <w:r>
        <w:rPr>
          <w:rFonts w:ascii="仿宋" w:hAnsi="仿宋" w:eastAsia="仿宋" w:cs="Arial"/>
          <w:sz w:val="24"/>
          <w:szCs w:val="24"/>
        </w:rPr>
        <w:t>债权人身份证等个人有效证件复印件</w:t>
      </w:r>
      <w:r>
        <w:rPr>
          <w:rFonts w:hint="eastAsia" w:ascii="仿宋" w:hAnsi="仿宋" w:eastAsia="仿宋" w:cs="Arial"/>
          <w:sz w:val="24"/>
          <w:szCs w:val="24"/>
        </w:rPr>
        <w:t>，上面需要</w:t>
      </w:r>
      <w:r>
        <w:rPr>
          <w:rFonts w:ascii="仿宋" w:hAnsi="仿宋" w:eastAsia="仿宋" w:cs="Arial"/>
          <w:sz w:val="24"/>
          <w:szCs w:val="24"/>
        </w:rPr>
        <w:t>签字</w:t>
      </w:r>
      <w:r>
        <w:rPr>
          <w:rFonts w:hint="eastAsia" w:ascii="仿宋" w:hAnsi="仿宋" w:eastAsia="仿宋" w:cs="Arial"/>
          <w:sz w:val="24"/>
          <w:szCs w:val="24"/>
        </w:rPr>
        <w:t>并按捺手印；</w:t>
      </w:r>
    </w:p>
    <w:p w14:paraId="67179FC1">
      <w:pPr>
        <w:pStyle w:val="20"/>
        <w:numPr>
          <w:ilvl w:val="0"/>
          <w:numId w:val="6"/>
        </w:numPr>
        <w:snapToGrid w:val="0"/>
        <w:spacing w:line="360" w:lineRule="auto"/>
        <w:ind w:left="1134" w:firstLineChars="0"/>
        <w:rPr>
          <w:rFonts w:ascii="仿宋" w:hAnsi="仿宋" w:eastAsia="仿宋" w:cs="Arial"/>
          <w:sz w:val="24"/>
          <w:szCs w:val="24"/>
        </w:rPr>
      </w:pPr>
      <w:r>
        <w:rPr>
          <w:rFonts w:hint="eastAsia" w:ascii="仿宋" w:hAnsi="仿宋" w:eastAsia="仿宋" w:cs="Arial"/>
          <w:sz w:val="24"/>
          <w:szCs w:val="24"/>
        </w:rPr>
        <w:t>前述所指的个人有效证件，原则上为包括但不限于中华人民共和国居民身份证、临时身份证、军官证、武警警官证、士兵证、军队学员证、军队文职干部证、军队离退休干部证和军队职工证、护照、港澳同胞回乡证、港澳居民来往内地通行证、中华人民共和国来往港澳通行证、台湾居民来往大陆通行证、大陆居民往来台湾通行证、外国人居留证、外国人出入境证、外交官证、领事馆证、海员证等。</w:t>
      </w:r>
    </w:p>
    <w:p w14:paraId="10588B6E">
      <w:pPr>
        <w:pStyle w:val="20"/>
        <w:numPr>
          <w:ilvl w:val="0"/>
          <w:numId w:val="4"/>
        </w:numPr>
        <w:snapToGrid w:val="0"/>
        <w:spacing w:line="360" w:lineRule="auto"/>
        <w:ind w:firstLineChars="0"/>
        <w:rPr>
          <w:rFonts w:ascii="仿宋" w:hAnsi="仿宋" w:eastAsia="仿宋" w:cs="Arial"/>
          <w:b/>
          <w:sz w:val="24"/>
          <w:szCs w:val="24"/>
        </w:rPr>
      </w:pPr>
      <w:r>
        <w:rPr>
          <w:rFonts w:hint="eastAsia" w:ascii="仿宋" w:hAnsi="仿宋" w:eastAsia="仿宋" w:cs="Arial"/>
          <w:b/>
          <w:sz w:val="24"/>
          <w:szCs w:val="24"/>
        </w:rPr>
        <w:t>非法定代表人/本人申报债权或参与后续破产清算程序工作的</w:t>
      </w:r>
      <w:r>
        <w:rPr>
          <w:rFonts w:ascii="仿宋" w:hAnsi="仿宋" w:eastAsia="仿宋" w:cs="Arial"/>
          <w:b/>
          <w:sz w:val="24"/>
          <w:szCs w:val="24"/>
        </w:rPr>
        <w:t>，还需提交如下材料：</w:t>
      </w:r>
    </w:p>
    <w:p w14:paraId="2FE9A60C">
      <w:pPr>
        <w:pStyle w:val="20"/>
        <w:numPr>
          <w:ilvl w:val="0"/>
          <w:numId w:val="7"/>
        </w:numPr>
        <w:adjustRightInd w:val="0"/>
        <w:snapToGrid w:val="0"/>
        <w:spacing w:line="360" w:lineRule="auto"/>
        <w:ind w:left="1134" w:firstLineChars="0"/>
        <w:rPr>
          <w:rFonts w:ascii="仿宋" w:hAnsi="仿宋" w:eastAsia="仿宋" w:cs="Arial"/>
          <w:sz w:val="24"/>
          <w:szCs w:val="24"/>
        </w:rPr>
      </w:pPr>
      <w:r>
        <w:rPr>
          <w:rFonts w:ascii="仿宋" w:hAnsi="仿宋" w:eastAsia="仿宋" w:cs="Arial"/>
          <w:sz w:val="24"/>
          <w:szCs w:val="24"/>
        </w:rPr>
        <w:t>授权委托书原件</w:t>
      </w:r>
      <w:r>
        <w:rPr>
          <w:rFonts w:hint="eastAsia" w:ascii="仿宋" w:hAnsi="仿宋" w:eastAsia="仿宋" w:cs="Arial"/>
          <w:sz w:val="24"/>
          <w:szCs w:val="24"/>
        </w:rPr>
        <w:t>，如是机构债权人的，应由</w:t>
      </w:r>
      <w:r>
        <w:rPr>
          <w:rFonts w:ascii="仿宋" w:hAnsi="仿宋" w:eastAsia="仿宋" w:cs="Arial"/>
          <w:sz w:val="24"/>
          <w:szCs w:val="24"/>
        </w:rPr>
        <w:t>法定代表人或负责人签字并加盖公章</w:t>
      </w:r>
      <w:r>
        <w:rPr>
          <w:rFonts w:hint="eastAsia" w:ascii="仿宋" w:hAnsi="仿宋" w:eastAsia="仿宋" w:cs="Arial"/>
          <w:sz w:val="24"/>
          <w:szCs w:val="24"/>
        </w:rPr>
        <w:t>；如是个人债权人的，应签字并按捺手印；</w:t>
      </w:r>
    </w:p>
    <w:p w14:paraId="3193DED8">
      <w:pPr>
        <w:pStyle w:val="20"/>
        <w:numPr>
          <w:ilvl w:val="0"/>
          <w:numId w:val="7"/>
        </w:numPr>
        <w:adjustRightInd w:val="0"/>
        <w:snapToGrid w:val="0"/>
        <w:spacing w:line="360" w:lineRule="auto"/>
        <w:ind w:left="1134" w:firstLineChars="0"/>
        <w:rPr>
          <w:rFonts w:ascii="仿宋" w:hAnsi="仿宋" w:eastAsia="仿宋" w:cs="Arial"/>
          <w:sz w:val="24"/>
          <w:szCs w:val="24"/>
        </w:rPr>
      </w:pPr>
      <w:r>
        <w:rPr>
          <w:rFonts w:ascii="仿宋" w:hAnsi="仿宋" w:eastAsia="仿宋" w:cs="Arial"/>
          <w:sz w:val="24"/>
          <w:szCs w:val="24"/>
        </w:rPr>
        <w:t>代理人的</w:t>
      </w:r>
      <w:r>
        <w:rPr>
          <w:rFonts w:hint="eastAsia" w:ascii="仿宋" w:hAnsi="仿宋" w:eastAsia="仿宋" w:cs="Arial"/>
          <w:sz w:val="24"/>
          <w:szCs w:val="24"/>
        </w:rPr>
        <w:t>身份证等个人有效证件复印件（个人有效证件定义同上），如是机构债权人的，应由</w:t>
      </w:r>
      <w:r>
        <w:rPr>
          <w:rFonts w:ascii="仿宋" w:hAnsi="仿宋" w:eastAsia="仿宋" w:cs="Arial"/>
          <w:sz w:val="24"/>
          <w:szCs w:val="24"/>
        </w:rPr>
        <w:t>法定代表人或负责人签字并加盖公章</w:t>
      </w:r>
      <w:r>
        <w:rPr>
          <w:rFonts w:hint="eastAsia" w:ascii="仿宋" w:hAnsi="仿宋" w:eastAsia="仿宋" w:cs="Arial"/>
          <w:sz w:val="24"/>
          <w:szCs w:val="24"/>
        </w:rPr>
        <w:t>；如是个人债权人的，应签字并按捺手印。</w:t>
      </w:r>
      <w:r>
        <w:rPr>
          <w:rFonts w:ascii="仿宋" w:hAnsi="仿宋" w:eastAsia="仿宋" w:cs="Arial"/>
          <w:sz w:val="24"/>
          <w:szCs w:val="24"/>
        </w:rPr>
        <w:t>委托代理人是律师的还应提交</w:t>
      </w:r>
      <w:r>
        <w:rPr>
          <w:rFonts w:hint="eastAsia" w:ascii="仿宋" w:hAnsi="仿宋" w:eastAsia="仿宋" w:cs="Arial"/>
          <w:sz w:val="24"/>
          <w:szCs w:val="24"/>
        </w:rPr>
        <w:t>律师证复印件以及律师事务所指派函/公函原件；委托代理人是非律师的，除提供授权委托书原件、身份证件外，还应当提供与债权人之间签署的经双方签章的有效劳动合同书。</w:t>
      </w:r>
    </w:p>
    <w:p w14:paraId="10D8DF0F">
      <w:pPr>
        <w:pStyle w:val="20"/>
        <w:numPr>
          <w:ilvl w:val="0"/>
          <w:numId w:val="3"/>
        </w:numPr>
        <w:adjustRightInd w:val="0"/>
        <w:snapToGrid w:val="0"/>
        <w:spacing w:line="360" w:lineRule="auto"/>
        <w:ind w:firstLineChars="0"/>
        <w:rPr>
          <w:rFonts w:ascii="仿宋" w:hAnsi="仿宋" w:eastAsia="仿宋" w:cs="Arial"/>
          <w:b/>
          <w:bCs/>
          <w:sz w:val="24"/>
          <w:szCs w:val="24"/>
        </w:rPr>
      </w:pPr>
      <w:r>
        <w:rPr>
          <w:rFonts w:ascii="仿宋" w:hAnsi="仿宋" w:eastAsia="仿宋" w:cs="Arial"/>
          <w:b/>
          <w:bCs/>
          <w:sz w:val="24"/>
          <w:szCs w:val="24"/>
        </w:rPr>
        <w:t>证明债权发生事实及其数额的材料</w:t>
      </w:r>
      <w:r>
        <w:rPr>
          <w:rFonts w:hint="eastAsia" w:ascii="仿宋" w:hAnsi="仿宋" w:eastAsia="仿宋" w:cs="Arial"/>
          <w:b/>
          <w:bCs/>
          <w:sz w:val="24"/>
          <w:szCs w:val="24"/>
        </w:rPr>
        <w:t>（该部分请在证据材料端口上传）</w:t>
      </w:r>
    </w:p>
    <w:p w14:paraId="6AF20D13">
      <w:pPr>
        <w:snapToGrid w:val="0"/>
        <w:spacing w:line="360" w:lineRule="auto"/>
        <w:ind w:firstLine="480" w:firstLineChars="200"/>
        <w:outlineLvl w:val="0"/>
        <w:rPr>
          <w:rFonts w:ascii="仿宋" w:hAnsi="仿宋" w:eastAsia="仿宋" w:cs="Arial"/>
          <w:sz w:val="24"/>
          <w:szCs w:val="24"/>
        </w:rPr>
      </w:pPr>
      <w:r>
        <w:rPr>
          <w:rFonts w:hint="eastAsia" w:ascii="仿宋" w:hAnsi="仿宋" w:eastAsia="仿宋" w:cs="Arial"/>
          <w:sz w:val="24"/>
          <w:szCs w:val="24"/>
        </w:rPr>
        <w:t>债权人申报债权应提交能够证明债权成立的全部书面材料，包括但不限于：</w:t>
      </w:r>
    </w:p>
    <w:tbl>
      <w:tblPr>
        <w:tblStyle w:val="35"/>
        <w:tblW w:w="0" w:type="auto"/>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665"/>
        <w:gridCol w:w="7631"/>
      </w:tblGrid>
      <w:tr w14:paraId="3E7EDFC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vAlign w:val="center"/>
          </w:tcPr>
          <w:p w14:paraId="62EC8ECE">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1</w:t>
            </w:r>
          </w:p>
        </w:tc>
        <w:tc>
          <w:tcPr>
            <w:tcW w:w="7631" w:type="dxa"/>
          </w:tcPr>
          <w:p w14:paraId="282F6D3F">
            <w:pPr>
              <w:snapToGrid w:val="0"/>
              <w:spacing w:line="360" w:lineRule="auto"/>
              <w:outlineLvl w:val="0"/>
              <w:rPr>
                <w:rFonts w:ascii="仿宋" w:hAnsi="仿宋" w:eastAsia="仿宋" w:cs="Arial"/>
                <w:b/>
                <w:bCs w:val="0"/>
                <w:sz w:val="24"/>
                <w:szCs w:val="24"/>
              </w:rPr>
            </w:pPr>
            <w:r>
              <w:rPr>
                <w:rFonts w:hint="eastAsia" w:ascii="仿宋" w:hAnsi="仿宋" w:eastAsia="仿宋" w:cs="Arial"/>
                <w:b w:val="0"/>
                <w:bCs/>
                <w:sz w:val="24"/>
                <w:szCs w:val="24"/>
              </w:rPr>
              <w:t>各类合同书（如借、贷款合同，购、销货合同，租赁合同、服务合同）等债权形成的原始材料。</w:t>
            </w:r>
          </w:p>
        </w:tc>
      </w:tr>
      <w:tr w14:paraId="6C12637C">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shd w:val="clear" w:color="auto" w:fill="F1F1F1" w:themeFill="background1" w:themeFillShade="F2"/>
            <w:vAlign w:val="center"/>
          </w:tcPr>
          <w:p w14:paraId="245ACF19">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2</w:t>
            </w:r>
          </w:p>
        </w:tc>
        <w:tc>
          <w:tcPr>
            <w:tcW w:w="7631" w:type="dxa"/>
            <w:shd w:val="clear" w:color="auto" w:fill="F1F1F1" w:themeFill="background1" w:themeFillShade="F2"/>
          </w:tcPr>
          <w:p w14:paraId="4AC7BFB5">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票据、划账单、汇款单、对账单、提货单等合同履行凭证。</w:t>
            </w:r>
            <w:r>
              <w:rPr>
                <w:rFonts w:hint="eastAsia" w:ascii="仿宋" w:hAnsi="仿宋" w:eastAsia="仿宋" w:cs="Arial"/>
                <w:b/>
                <w:sz w:val="24"/>
                <w:szCs w:val="24"/>
              </w:rPr>
              <w:t>其中承兑汇票、支票、仓单、提单、栈单等可以流通转让的票据凭证，应提交原件</w:t>
            </w:r>
            <w:r>
              <w:rPr>
                <w:rFonts w:hint="eastAsia" w:ascii="仿宋" w:hAnsi="仿宋" w:eastAsia="仿宋" w:cs="Arial"/>
                <w:sz w:val="24"/>
                <w:szCs w:val="24"/>
              </w:rPr>
              <w:t>。</w:t>
            </w:r>
          </w:p>
        </w:tc>
      </w:tr>
      <w:tr w14:paraId="6B9A5CF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vAlign w:val="center"/>
          </w:tcPr>
          <w:p w14:paraId="187F78FF">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3</w:t>
            </w:r>
          </w:p>
        </w:tc>
        <w:tc>
          <w:tcPr>
            <w:tcW w:w="7631" w:type="dxa"/>
          </w:tcPr>
          <w:p w14:paraId="6D51864E">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债权如有担保的，还须提交抵押合同、质押合同、保证合同、担保物清单及相关的登记证件等担保材料</w:t>
            </w:r>
            <w:r>
              <w:rPr>
                <w:rFonts w:ascii="仿宋" w:hAnsi="仿宋" w:eastAsia="仿宋" w:cs="Arial"/>
                <w:sz w:val="24"/>
                <w:szCs w:val="24"/>
              </w:rPr>
              <w:t>。</w:t>
            </w:r>
            <w:r>
              <w:rPr>
                <w:rFonts w:hint="eastAsia" w:ascii="仿宋" w:hAnsi="仿宋" w:eastAsia="仿宋" w:cs="Arial"/>
                <w:b/>
                <w:sz w:val="24"/>
                <w:szCs w:val="24"/>
              </w:rPr>
              <w:t>如担保物的物权凭证（如房产证、土地证、行驶证等）由债权人一并保管的，应在申报债权时将原件一并予以交还至管理人处</w:t>
            </w:r>
            <w:r>
              <w:rPr>
                <w:rFonts w:hint="eastAsia" w:ascii="仿宋" w:hAnsi="仿宋" w:eastAsia="仿宋" w:cs="Arial"/>
                <w:sz w:val="24"/>
                <w:szCs w:val="24"/>
              </w:rPr>
              <w:t>。</w:t>
            </w:r>
          </w:p>
        </w:tc>
      </w:tr>
      <w:tr w14:paraId="051803B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shd w:val="clear" w:color="auto" w:fill="F1F1F1" w:themeFill="background1" w:themeFillShade="F2"/>
            <w:vAlign w:val="center"/>
          </w:tcPr>
          <w:p w14:paraId="1BED48AC">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4</w:t>
            </w:r>
          </w:p>
        </w:tc>
        <w:tc>
          <w:tcPr>
            <w:tcW w:w="7631" w:type="dxa"/>
            <w:shd w:val="clear" w:color="auto" w:fill="F1F1F1" w:themeFill="background1" w:themeFillShade="F2"/>
          </w:tcPr>
          <w:p w14:paraId="7909B956">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债权如涉及诉讼或仲裁，须提交诉讼、仲裁有关的文件。法院出具的生效法律文书应加盖法律文书生效章，如果经过两级法院审理，一、二审法院的法律文书皆需提供；仲裁机关出具的生效法律文书应附上仲裁机关关于法律文书已经生效的函件或双方当事人已签收的送达回执以及证据材料。如已申请人民法院强制执行的，还须提交人民法院执行立案通知书、中止执行裁定书等相关文件</w:t>
            </w:r>
            <w:r>
              <w:rPr>
                <w:rFonts w:ascii="仿宋" w:hAnsi="仿宋" w:eastAsia="仿宋" w:cs="Arial"/>
                <w:sz w:val="24"/>
                <w:szCs w:val="24"/>
              </w:rPr>
              <w:t>。</w:t>
            </w:r>
          </w:p>
        </w:tc>
      </w:tr>
      <w:tr w14:paraId="0BAED17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vAlign w:val="center"/>
          </w:tcPr>
          <w:p w14:paraId="05526310">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5</w:t>
            </w:r>
          </w:p>
        </w:tc>
        <w:tc>
          <w:tcPr>
            <w:tcW w:w="7631" w:type="dxa"/>
          </w:tcPr>
          <w:p w14:paraId="44AF1469">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申报人在诉讼或仲裁程序中申请财产保全的，须提交人民法院作出的保全裁定书等相关文件</w:t>
            </w:r>
            <w:r>
              <w:rPr>
                <w:rFonts w:ascii="仿宋" w:hAnsi="仿宋" w:eastAsia="仿宋" w:cs="Arial"/>
                <w:sz w:val="24"/>
                <w:szCs w:val="24"/>
              </w:rPr>
              <w:t>。</w:t>
            </w:r>
          </w:p>
        </w:tc>
      </w:tr>
      <w:tr w14:paraId="6DA8C15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shd w:val="clear" w:color="auto" w:fill="F1F1F1" w:themeFill="background1" w:themeFillShade="F2"/>
            <w:vAlign w:val="center"/>
          </w:tcPr>
          <w:p w14:paraId="4CA5B8F6">
            <w:pPr>
              <w:snapToGrid w:val="0"/>
              <w:spacing w:line="360" w:lineRule="auto"/>
              <w:jc w:val="center"/>
              <w:outlineLvl w:val="0"/>
              <w:rPr>
                <w:rFonts w:ascii="仿宋" w:hAnsi="仿宋" w:eastAsia="仿宋" w:cs="Arial"/>
                <w:b w:val="0"/>
                <w:bCs w:val="0"/>
                <w:sz w:val="24"/>
                <w:szCs w:val="24"/>
              </w:rPr>
            </w:pPr>
            <w:r>
              <w:rPr>
                <w:rFonts w:ascii="仿宋" w:hAnsi="仿宋" w:eastAsia="仿宋" w:cs="Arial"/>
                <w:b/>
                <w:bCs/>
                <w:sz w:val="24"/>
                <w:szCs w:val="24"/>
              </w:rPr>
              <w:t>6</w:t>
            </w:r>
          </w:p>
        </w:tc>
        <w:tc>
          <w:tcPr>
            <w:tcW w:w="7631" w:type="dxa"/>
            <w:shd w:val="clear" w:color="auto" w:fill="F1F1F1" w:themeFill="background1" w:themeFillShade="F2"/>
          </w:tcPr>
          <w:p w14:paraId="0CB59833">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债务如有清偿情形的，须提供清偿凭证、协议等。如该等债务清偿系由法院裁定认可的，须同时提交裁定书</w:t>
            </w:r>
            <w:r>
              <w:rPr>
                <w:rFonts w:ascii="仿宋" w:hAnsi="仿宋" w:eastAsia="仿宋" w:cs="Arial"/>
                <w:sz w:val="24"/>
                <w:szCs w:val="24"/>
              </w:rPr>
              <w:t>。</w:t>
            </w:r>
            <w:r>
              <w:rPr>
                <w:rFonts w:hint="eastAsia" w:ascii="仿宋" w:hAnsi="仿宋" w:eastAsia="仿宋" w:cs="Arial"/>
                <w:sz w:val="24"/>
                <w:szCs w:val="24"/>
              </w:rPr>
              <w:t>本项义务不随着债权申报工作的结束而终止，如前述情况一经发生，债权人即应及时通知管理人并补充提供前述资料。</w:t>
            </w:r>
          </w:p>
          <w:p w14:paraId="2D9CA668">
            <w:pPr>
              <w:snapToGrid w:val="0"/>
              <w:spacing w:line="360" w:lineRule="auto"/>
              <w:rPr>
                <w:rFonts w:ascii="仿宋" w:hAnsi="仿宋" w:eastAsia="仿宋" w:cs="Arial"/>
                <w:szCs w:val="21"/>
              </w:rPr>
            </w:pPr>
          </w:p>
        </w:tc>
      </w:tr>
      <w:tr w14:paraId="405394B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vAlign w:val="center"/>
          </w:tcPr>
          <w:p w14:paraId="7E0F07F7">
            <w:pPr>
              <w:snapToGrid w:val="0"/>
              <w:spacing w:line="360" w:lineRule="auto"/>
              <w:jc w:val="center"/>
              <w:outlineLvl w:val="0"/>
              <w:rPr>
                <w:rFonts w:ascii="仿宋" w:hAnsi="仿宋" w:eastAsia="仿宋" w:cs="Arial"/>
                <w:b w:val="0"/>
                <w:bCs w:val="0"/>
                <w:sz w:val="24"/>
                <w:szCs w:val="24"/>
              </w:rPr>
            </w:pPr>
            <w:r>
              <w:rPr>
                <w:rFonts w:ascii="仿宋" w:hAnsi="仿宋" w:eastAsia="仿宋" w:cs="Arial"/>
                <w:b/>
                <w:bCs/>
                <w:sz w:val="24"/>
                <w:szCs w:val="24"/>
              </w:rPr>
              <w:t>7</w:t>
            </w:r>
          </w:p>
        </w:tc>
        <w:tc>
          <w:tcPr>
            <w:tcW w:w="7631" w:type="dxa"/>
          </w:tcPr>
          <w:p w14:paraId="21B18040">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申报的债权涉及利息的，参照《企业破产法》第四十六条第二款之规定，利息计算至人民法院依法裁定的破产清算申请受理之日（含当日），</w:t>
            </w:r>
            <w:r>
              <w:rPr>
                <w:rFonts w:hint="eastAsia" w:ascii="仿宋" w:hAnsi="仿宋" w:eastAsia="仿宋" w:cs="Arial"/>
                <w:b/>
                <w:sz w:val="24"/>
                <w:szCs w:val="24"/>
              </w:rPr>
              <w:t>即2024年6月24日</w:t>
            </w:r>
            <w:r>
              <w:rPr>
                <w:rFonts w:hint="eastAsia" w:ascii="仿宋" w:hAnsi="仿宋" w:eastAsia="仿宋" w:cs="Arial"/>
                <w:sz w:val="24"/>
                <w:szCs w:val="24"/>
              </w:rPr>
              <w:t>。</w:t>
            </w:r>
          </w:p>
          <w:p w14:paraId="3191D1EC">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申报人提交的</w:t>
            </w:r>
            <w:r>
              <w:rPr>
                <w:rFonts w:hint="eastAsia" w:ascii="仿宋" w:hAnsi="仿宋" w:eastAsia="仿宋" w:cs="Arial"/>
                <w:b/>
                <w:bCs/>
                <w:sz w:val="24"/>
                <w:szCs w:val="24"/>
              </w:rPr>
              <w:t>《债权申报书》</w:t>
            </w:r>
            <w:r>
              <w:rPr>
                <w:rFonts w:hint="eastAsia" w:ascii="仿宋" w:hAnsi="仿宋" w:eastAsia="仿宋" w:cs="Arial"/>
                <w:sz w:val="24"/>
                <w:szCs w:val="24"/>
              </w:rPr>
              <w:t>应当载明利息计算标准或另行提供利息计算表，说明利息的计算依据（应当明确指出合同约定利息或违约金涉及到的具体条款或法律文书涉及到的具体判项）、计算方法和计算结果，同时将正常利息与罚息、迟延利息、滞纳金等分开计算。</w:t>
            </w:r>
          </w:p>
          <w:p w14:paraId="422F06D4">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如涉及因未履行生效法律文书所产生的迟延履行期间的债务利息计算，应根据《最高人民法院关于执行程序中计算迟延履行期间的债务利息适用法律若干问题的解释》进行计算。</w:t>
            </w:r>
          </w:p>
          <w:p w14:paraId="2125C06B">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如债权本币以外币进行结算/交易的，应以破产清算申请受理日中国人民银行公布的市场交易中间价换算成人民币后进行申报/计算。</w:t>
            </w:r>
          </w:p>
        </w:tc>
      </w:tr>
      <w:tr w14:paraId="2A31033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shd w:val="clear" w:color="auto" w:fill="F1F1F1" w:themeFill="background1" w:themeFillShade="F2"/>
            <w:vAlign w:val="center"/>
          </w:tcPr>
          <w:p w14:paraId="617C69F9">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8</w:t>
            </w:r>
          </w:p>
        </w:tc>
        <w:tc>
          <w:tcPr>
            <w:tcW w:w="7631" w:type="dxa"/>
            <w:shd w:val="clear" w:color="auto" w:fill="F1F1F1" w:themeFill="background1" w:themeFillShade="F2"/>
          </w:tcPr>
          <w:p w14:paraId="7CFA5237">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能够证明债权发生、变更、存续，诉讼时效中止、中断、延长的其他材料。</w:t>
            </w:r>
          </w:p>
        </w:tc>
      </w:tr>
    </w:tbl>
    <w:p w14:paraId="35560D5C">
      <w:pPr>
        <w:pStyle w:val="18"/>
        <w:numPr>
          <w:ilvl w:val="0"/>
          <w:numId w:val="2"/>
        </w:numPr>
        <w:snapToGrid w:val="0"/>
        <w:spacing w:line="360" w:lineRule="auto"/>
        <w:ind w:firstLineChars="0"/>
        <w:outlineLvl w:val="0"/>
        <w:rPr>
          <w:rFonts w:ascii="仿宋" w:hAnsi="仿宋" w:eastAsia="仿宋" w:cs="Arial"/>
          <w:b/>
          <w:sz w:val="24"/>
          <w:szCs w:val="24"/>
        </w:rPr>
      </w:pPr>
      <w:r>
        <w:rPr>
          <w:rFonts w:ascii="仿宋" w:hAnsi="仿宋" w:eastAsia="仿宋" w:cs="Arial"/>
          <w:b/>
          <w:sz w:val="24"/>
          <w:szCs w:val="24"/>
        </w:rPr>
        <w:t>债权人提交资料的要求</w:t>
      </w:r>
    </w:p>
    <w:p w14:paraId="414B3FDD">
      <w:pPr>
        <w:pStyle w:val="20"/>
        <w:numPr>
          <w:ilvl w:val="0"/>
          <w:numId w:val="8"/>
        </w:numPr>
        <w:snapToGrid w:val="0"/>
        <w:spacing w:line="360" w:lineRule="auto"/>
        <w:ind w:firstLineChars="0"/>
        <w:rPr>
          <w:rFonts w:ascii="仿宋" w:hAnsi="仿宋" w:eastAsia="仿宋" w:cs="Arial"/>
          <w:b/>
          <w:bCs/>
          <w:sz w:val="24"/>
          <w:szCs w:val="24"/>
        </w:rPr>
      </w:pPr>
      <w:r>
        <w:rPr>
          <w:rFonts w:hint="eastAsia" w:ascii="仿宋" w:hAnsi="仿宋" w:eastAsia="仿宋" w:cs="Arial"/>
          <w:b/>
          <w:bCs/>
          <w:sz w:val="24"/>
          <w:szCs w:val="24"/>
        </w:rPr>
        <w:t>应在确定的期限内申报债权</w:t>
      </w:r>
    </w:p>
    <w:tbl>
      <w:tblPr>
        <w:tblStyle w:val="35"/>
        <w:tblW w:w="0" w:type="auto"/>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675"/>
        <w:gridCol w:w="7847"/>
      </w:tblGrid>
      <w:tr w14:paraId="62C07D4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Ex>
        <w:tc>
          <w:tcPr>
            <w:tcW w:w="675" w:type="dxa"/>
            <w:vAlign w:val="center"/>
          </w:tcPr>
          <w:p w14:paraId="7EDDD906">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1</w:t>
            </w:r>
          </w:p>
        </w:tc>
        <w:tc>
          <w:tcPr>
            <w:tcW w:w="7847" w:type="dxa"/>
          </w:tcPr>
          <w:p w14:paraId="1FDBAFEC">
            <w:pPr>
              <w:snapToGrid w:val="0"/>
              <w:spacing w:line="360" w:lineRule="auto"/>
              <w:outlineLvl w:val="0"/>
              <w:rPr>
                <w:rFonts w:ascii="仿宋" w:hAnsi="仿宋" w:eastAsia="仿宋" w:cs="Arial"/>
                <w:b w:val="0"/>
                <w:bCs w:val="0"/>
                <w:sz w:val="24"/>
                <w:szCs w:val="24"/>
              </w:rPr>
            </w:pPr>
            <w:r>
              <w:rPr>
                <w:rFonts w:hint="eastAsia" w:ascii="仿宋" w:hAnsi="仿宋" w:eastAsia="仿宋" w:cs="Arial"/>
                <w:b w:val="0"/>
                <w:bCs/>
                <w:sz w:val="24"/>
                <w:szCs w:val="24"/>
              </w:rPr>
              <w:t>债权人应当在人民法院确定的债权申报期限内向管理人申报债权。如未申报债权的，债权人可以在最后分配前补充申报；但是，此前已进行的分配，不再对其补充分配。</w:t>
            </w:r>
          </w:p>
          <w:p w14:paraId="49F8A436">
            <w:pPr>
              <w:snapToGrid w:val="0"/>
              <w:spacing w:line="360" w:lineRule="auto"/>
              <w:outlineLvl w:val="0"/>
              <w:rPr>
                <w:rFonts w:ascii="仿宋" w:hAnsi="仿宋" w:eastAsia="仿宋" w:cs="Arial"/>
                <w:b/>
                <w:bCs w:val="0"/>
                <w:sz w:val="24"/>
                <w:szCs w:val="24"/>
              </w:rPr>
            </w:pPr>
            <w:r>
              <w:rPr>
                <w:rFonts w:hint="eastAsia" w:ascii="仿宋" w:hAnsi="仿宋" w:eastAsia="仿宋" w:cs="Arial"/>
                <w:b w:val="0"/>
                <w:bCs/>
                <w:sz w:val="24"/>
                <w:szCs w:val="24"/>
              </w:rPr>
              <w:t>为审查和确认补充申报债权的费用，由补充申报人承担，具体补充申报债权所产生的费用及缴纳方式以管理人出具的《关于审查和确认补充申报债权的收费办法》为准。</w:t>
            </w:r>
          </w:p>
        </w:tc>
      </w:tr>
      <w:tr w14:paraId="402418C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912" w:hRule="atLeast"/>
        </w:trPr>
        <w:tc>
          <w:tcPr>
            <w:tcW w:w="675" w:type="dxa"/>
            <w:shd w:val="clear" w:color="auto" w:fill="F1F1F1" w:themeFill="background1" w:themeFillShade="F2"/>
            <w:vAlign w:val="center"/>
          </w:tcPr>
          <w:p w14:paraId="0D935947">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2</w:t>
            </w:r>
          </w:p>
        </w:tc>
        <w:tc>
          <w:tcPr>
            <w:tcW w:w="7847" w:type="dxa"/>
            <w:shd w:val="clear" w:color="auto" w:fill="F1F1F1" w:themeFill="background1" w:themeFillShade="F2"/>
            <w:vAlign w:val="center"/>
          </w:tcPr>
          <w:p w14:paraId="68D4A0A7">
            <w:pPr>
              <w:snapToGrid w:val="0"/>
              <w:spacing w:line="360" w:lineRule="auto"/>
              <w:outlineLvl w:val="0"/>
              <w:rPr>
                <w:rFonts w:ascii="仿宋" w:hAnsi="仿宋" w:eastAsia="仿宋" w:cs="Arial"/>
                <w:bCs/>
                <w:sz w:val="24"/>
                <w:szCs w:val="24"/>
              </w:rPr>
            </w:pPr>
            <w:r>
              <w:rPr>
                <w:rFonts w:hint="eastAsia" w:ascii="仿宋" w:hAnsi="仿宋" w:eastAsia="仿宋" w:cs="Arial"/>
                <w:bCs/>
                <w:sz w:val="24"/>
                <w:szCs w:val="24"/>
              </w:rPr>
              <w:t>债权人未申报债权的，不得依照该法规定的程序行使权利。</w:t>
            </w:r>
          </w:p>
        </w:tc>
      </w:tr>
      <w:tr w14:paraId="67024FD5">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75" w:type="dxa"/>
            <w:vAlign w:val="center"/>
          </w:tcPr>
          <w:p w14:paraId="43D7A2FF">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3</w:t>
            </w:r>
          </w:p>
        </w:tc>
        <w:tc>
          <w:tcPr>
            <w:tcW w:w="7847" w:type="dxa"/>
          </w:tcPr>
          <w:p w14:paraId="4294F185">
            <w:pPr>
              <w:snapToGrid w:val="0"/>
              <w:spacing w:line="360" w:lineRule="auto"/>
              <w:outlineLvl w:val="0"/>
              <w:rPr>
                <w:rFonts w:ascii="仿宋" w:hAnsi="仿宋" w:eastAsia="仿宋" w:cs="Arial"/>
                <w:bCs/>
                <w:sz w:val="24"/>
                <w:szCs w:val="24"/>
              </w:rPr>
            </w:pPr>
            <w:r>
              <w:rPr>
                <w:rFonts w:hint="eastAsia" w:ascii="仿宋" w:hAnsi="仿宋" w:eastAsia="仿宋" w:cs="Arial"/>
                <w:bCs/>
                <w:sz w:val="24"/>
                <w:szCs w:val="24"/>
              </w:rPr>
              <w:t>债权人申报债权时应提交相关文件材料以证明债权存在以及金额，管理人如认为其提交文件材料不完整，可要求债权人补充提交文件材料</w:t>
            </w:r>
            <w:r>
              <w:rPr>
                <w:rFonts w:ascii="仿宋" w:hAnsi="仿宋" w:eastAsia="仿宋" w:cs="Arial"/>
                <w:bCs/>
                <w:sz w:val="24"/>
                <w:szCs w:val="24"/>
              </w:rPr>
              <w:t>。</w:t>
            </w:r>
            <w:r>
              <w:rPr>
                <w:rFonts w:hint="eastAsia" w:ascii="仿宋" w:hAnsi="仿宋" w:eastAsia="仿宋" w:cs="Arial"/>
                <w:bCs/>
                <w:sz w:val="24"/>
                <w:szCs w:val="24"/>
              </w:rPr>
              <w:t>如债权人未按照要求补充资料，或未补充资料的，视为撤回债权申报处理。</w:t>
            </w:r>
          </w:p>
        </w:tc>
      </w:tr>
      <w:tr w14:paraId="65E19CA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75" w:type="dxa"/>
            <w:shd w:val="clear" w:color="auto" w:fill="F1F1F1" w:themeFill="background1" w:themeFillShade="F2"/>
            <w:vAlign w:val="center"/>
          </w:tcPr>
          <w:p w14:paraId="5EBD9A62">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4</w:t>
            </w:r>
          </w:p>
        </w:tc>
        <w:tc>
          <w:tcPr>
            <w:tcW w:w="7847" w:type="dxa"/>
            <w:shd w:val="clear" w:color="auto" w:fill="F1F1F1" w:themeFill="background1" w:themeFillShade="F2"/>
          </w:tcPr>
          <w:p w14:paraId="2AD8930B">
            <w:pPr>
              <w:snapToGrid w:val="0"/>
              <w:spacing w:line="360" w:lineRule="auto"/>
              <w:outlineLvl w:val="0"/>
              <w:rPr>
                <w:rFonts w:ascii="仿宋" w:hAnsi="仿宋" w:eastAsia="仿宋" w:cs="Arial"/>
                <w:bCs/>
                <w:sz w:val="24"/>
                <w:szCs w:val="24"/>
              </w:rPr>
            </w:pPr>
            <w:r>
              <w:rPr>
                <w:rFonts w:hint="eastAsia" w:ascii="仿宋" w:hAnsi="仿宋" w:eastAsia="仿宋" w:cs="Arial"/>
                <w:bCs/>
                <w:sz w:val="24"/>
                <w:szCs w:val="24"/>
              </w:rPr>
              <w:t>债权人有义务保证其提交的文件资料与原件相一致，并长期、持续保管相关债权申报资料中复印件所对应的原件，本项承诺在债权人提交复印件资料的同时生效。</w:t>
            </w:r>
          </w:p>
          <w:p w14:paraId="518DE6FC">
            <w:pPr>
              <w:snapToGrid w:val="0"/>
              <w:spacing w:line="360" w:lineRule="auto"/>
              <w:outlineLvl w:val="0"/>
              <w:rPr>
                <w:rFonts w:ascii="仿宋" w:hAnsi="仿宋" w:eastAsia="仿宋" w:cs="Arial"/>
                <w:bCs/>
                <w:sz w:val="24"/>
                <w:szCs w:val="24"/>
              </w:rPr>
            </w:pPr>
            <w:r>
              <w:rPr>
                <w:rFonts w:hint="eastAsia" w:ascii="仿宋" w:hAnsi="仿宋" w:eastAsia="仿宋" w:cs="Arial"/>
                <w:bCs/>
                <w:sz w:val="24"/>
                <w:szCs w:val="24"/>
              </w:rPr>
              <w:t>在管理人、其他债权人、债务人、债务人职工或其他利害关系人依据《最高人民法院关于适用&lt;中华人民共和国企业破产法&gt;若干问题的规定（三）》第六条之规定要求核对债权人的债权申报资料时，债权人有义务予以配合</w:t>
            </w:r>
            <w:r>
              <w:rPr>
                <w:rFonts w:ascii="仿宋" w:hAnsi="仿宋" w:eastAsia="仿宋" w:cs="Arial"/>
                <w:bCs/>
                <w:sz w:val="24"/>
                <w:szCs w:val="24"/>
              </w:rPr>
              <w:t>。</w:t>
            </w:r>
          </w:p>
          <w:p w14:paraId="4BE33128">
            <w:pPr>
              <w:snapToGrid w:val="0"/>
              <w:spacing w:line="360" w:lineRule="auto"/>
              <w:outlineLvl w:val="0"/>
              <w:rPr>
                <w:rFonts w:ascii="仿宋" w:hAnsi="仿宋" w:eastAsia="仿宋" w:cs="Arial"/>
                <w:bCs/>
                <w:sz w:val="24"/>
                <w:szCs w:val="24"/>
              </w:rPr>
            </w:pPr>
            <w:r>
              <w:rPr>
                <w:rFonts w:hint="eastAsia" w:ascii="仿宋" w:hAnsi="仿宋" w:eastAsia="仿宋" w:cs="Arial"/>
                <w:bCs/>
                <w:sz w:val="24"/>
                <w:szCs w:val="24"/>
              </w:rPr>
              <w:t>如债权人无法提供原件或提供的原件与复印件不一致的，所产生的不利法律后果（如债权无法确认等）由债权人自行承担。</w:t>
            </w:r>
          </w:p>
        </w:tc>
      </w:tr>
    </w:tbl>
    <w:p w14:paraId="1B448E30">
      <w:pPr>
        <w:pStyle w:val="20"/>
        <w:numPr>
          <w:ilvl w:val="0"/>
          <w:numId w:val="8"/>
        </w:numPr>
        <w:snapToGrid w:val="0"/>
        <w:spacing w:line="360" w:lineRule="auto"/>
        <w:ind w:firstLineChars="0"/>
        <w:rPr>
          <w:rFonts w:ascii="仿宋" w:hAnsi="仿宋" w:eastAsia="仿宋" w:cs="Arial"/>
          <w:b/>
          <w:bCs/>
          <w:sz w:val="24"/>
          <w:szCs w:val="24"/>
        </w:rPr>
      </w:pPr>
      <w:r>
        <w:rPr>
          <w:rFonts w:hint="eastAsia" w:ascii="仿宋" w:hAnsi="仿宋" w:eastAsia="仿宋" w:cs="Arial"/>
          <w:b/>
          <w:bCs/>
          <w:sz w:val="24"/>
          <w:szCs w:val="24"/>
        </w:rPr>
        <w:t>提交资料的公证与认证</w:t>
      </w:r>
    </w:p>
    <w:p w14:paraId="300F8C26">
      <w:pPr>
        <w:snapToGrid w:val="0"/>
        <w:spacing w:line="360" w:lineRule="auto"/>
        <w:ind w:firstLine="480" w:firstLineChars="200"/>
        <w:outlineLvl w:val="0"/>
        <w:rPr>
          <w:rFonts w:ascii="仿宋" w:hAnsi="仿宋" w:eastAsia="仿宋" w:cs="Arial"/>
          <w:sz w:val="24"/>
          <w:szCs w:val="24"/>
        </w:rPr>
      </w:pPr>
      <w:r>
        <w:rPr>
          <w:rFonts w:ascii="仿宋" w:hAnsi="仿宋" w:eastAsia="仿宋" w:cs="Arial"/>
          <w:sz w:val="24"/>
          <w:szCs w:val="24"/>
        </w:rPr>
        <w:t>如债权人为境外或属境外企业，债权人提交的所有材料均需经过有公证资质的公证机构公证，以下为各地区公证认证程序，</w:t>
      </w:r>
      <w:r>
        <w:rPr>
          <w:rFonts w:ascii="仿宋" w:hAnsi="仿宋" w:eastAsia="仿宋" w:cs="Arial"/>
          <w:b/>
          <w:sz w:val="24"/>
          <w:szCs w:val="24"/>
          <w:u w:val="single"/>
        </w:rPr>
        <w:t>仅供参考</w:t>
      </w:r>
      <w:r>
        <w:rPr>
          <w:rFonts w:ascii="仿宋" w:hAnsi="仿宋" w:eastAsia="仿宋" w:cs="Arial"/>
          <w:sz w:val="24"/>
          <w:szCs w:val="24"/>
        </w:rPr>
        <w:t>：</w:t>
      </w:r>
    </w:p>
    <w:p w14:paraId="5F8056EF">
      <w:pPr>
        <w:pStyle w:val="20"/>
        <w:numPr>
          <w:ilvl w:val="0"/>
          <w:numId w:val="9"/>
        </w:numPr>
        <w:snapToGrid w:val="0"/>
        <w:spacing w:line="360" w:lineRule="auto"/>
        <w:ind w:firstLineChars="0"/>
        <w:rPr>
          <w:rFonts w:ascii="仿宋" w:hAnsi="仿宋" w:eastAsia="仿宋" w:cs="Arial"/>
          <w:b/>
          <w:sz w:val="24"/>
          <w:szCs w:val="24"/>
        </w:rPr>
      </w:pPr>
      <w:r>
        <w:rPr>
          <w:rFonts w:ascii="仿宋" w:hAnsi="仿宋" w:eastAsia="仿宋" w:cs="Arial"/>
          <w:b/>
          <w:sz w:val="24"/>
          <w:szCs w:val="24"/>
        </w:rPr>
        <w:t>香港</w:t>
      </w:r>
      <w:r>
        <w:rPr>
          <w:rFonts w:hint="eastAsia" w:ascii="仿宋" w:hAnsi="仿宋" w:eastAsia="仿宋" w:cs="Arial"/>
          <w:b/>
          <w:sz w:val="24"/>
          <w:szCs w:val="24"/>
        </w:rPr>
        <w:t>特别行政</w:t>
      </w:r>
      <w:r>
        <w:rPr>
          <w:rFonts w:ascii="仿宋" w:hAnsi="仿宋" w:eastAsia="仿宋" w:cs="Arial"/>
          <w:b/>
          <w:sz w:val="24"/>
          <w:szCs w:val="24"/>
        </w:rPr>
        <w:t>区的公证认证程序</w:t>
      </w:r>
    </w:p>
    <w:p w14:paraId="5993F374">
      <w:pPr>
        <w:pStyle w:val="20"/>
        <w:numPr>
          <w:ilvl w:val="0"/>
          <w:numId w:val="10"/>
        </w:numPr>
        <w:snapToGrid w:val="0"/>
        <w:spacing w:line="360" w:lineRule="auto"/>
        <w:ind w:left="1134" w:hanging="405" w:firstLineChars="0"/>
        <w:jc w:val="left"/>
        <w:rPr>
          <w:rFonts w:ascii="仿宋" w:hAnsi="仿宋" w:eastAsia="仿宋" w:cs="Arial"/>
          <w:sz w:val="24"/>
          <w:szCs w:val="24"/>
        </w:rPr>
      </w:pPr>
      <w:r>
        <w:rPr>
          <w:rFonts w:ascii="仿宋" w:hAnsi="仿宋" w:eastAsia="仿宋" w:cs="Arial"/>
          <w:sz w:val="24"/>
          <w:szCs w:val="24"/>
        </w:rPr>
        <w:t>委托中国司法部指定的香港公证机构做公证（包括查核和公证）；</w:t>
      </w:r>
    </w:p>
    <w:p w14:paraId="1BEF80CF">
      <w:pPr>
        <w:pStyle w:val="20"/>
        <w:numPr>
          <w:ilvl w:val="0"/>
          <w:numId w:val="10"/>
        </w:numPr>
        <w:snapToGrid w:val="0"/>
        <w:spacing w:line="360" w:lineRule="auto"/>
        <w:ind w:left="1134" w:firstLineChars="0"/>
        <w:rPr>
          <w:rFonts w:ascii="仿宋" w:hAnsi="仿宋" w:eastAsia="仿宋" w:cs="Arial"/>
          <w:sz w:val="24"/>
          <w:szCs w:val="24"/>
        </w:rPr>
      </w:pPr>
      <w:r>
        <w:rPr>
          <w:rFonts w:ascii="仿宋" w:hAnsi="仿宋" w:eastAsia="仿宋" w:cs="Arial"/>
          <w:sz w:val="24"/>
          <w:szCs w:val="24"/>
        </w:rPr>
        <w:t>委托香港律师到中国法律服务（香港）有限公司加盖转递章；</w:t>
      </w:r>
    </w:p>
    <w:p w14:paraId="4E2D4C9B">
      <w:pPr>
        <w:pStyle w:val="20"/>
        <w:numPr>
          <w:ilvl w:val="0"/>
          <w:numId w:val="10"/>
        </w:numPr>
        <w:snapToGrid w:val="0"/>
        <w:spacing w:line="360" w:lineRule="auto"/>
        <w:ind w:left="1134" w:firstLineChars="0"/>
        <w:rPr>
          <w:rFonts w:ascii="仿宋" w:hAnsi="仿宋" w:eastAsia="仿宋" w:cs="Arial"/>
          <w:sz w:val="24"/>
          <w:szCs w:val="24"/>
        </w:rPr>
      </w:pPr>
      <w:r>
        <w:rPr>
          <w:rFonts w:ascii="仿宋" w:hAnsi="仿宋" w:eastAsia="仿宋" w:cs="Arial"/>
          <w:sz w:val="24"/>
          <w:szCs w:val="24"/>
        </w:rPr>
        <w:t>将该份文件拿回内地使用。</w:t>
      </w:r>
    </w:p>
    <w:p w14:paraId="3AE0B41F">
      <w:pPr>
        <w:pStyle w:val="20"/>
        <w:numPr>
          <w:ilvl w:val="0"/>
          <w:numId w:val="9"/>
        </w:numPr>
        <w:snapToGrid w:val="0"/>
        <w:spacing w:line="360" w:lineRule="auto"/>
        <w:ind w:firstLineChars="0"/>
        <w:rPr>
          <w:rFonts w:ascii="仿宋" w:hAnsi="仿宋" w:eastAsia="仿宋" w:cs="Arial"/>
          <w:b/>
          <w:sz w:val="24"/>
          <w:szCs w:val="24"/>
        </w:rPr>
      </w:pPr>
      <w:r>
        <w:rPr>
          <w:rFonts w:ascii="仿宋" w:hAnsi="仿宋" w:eastAsia="仿宋" w:cs="Arial"/>
          <w:b/>
          <w:sz w:val="24"/>
          <w:szCs w:val="24"/>
        </w:rPr>
        <w:t>台湾地区的公证认证程序</w:t>
      </w:r>
    </w:p>
    <w:p w14:paraId="596ACC9F">
      <w:pPr>
        <w:pStyle w:val="20"/>
        <w:numPr>
          <w:ilvl w:val="0"/>
          <w:numId w:val="11"/>
        </w:numPr>
        <w:snapToGrid w:val="0"/>
        <w:spacing w:line="360" w:lineRule="auto"/>
        <w:ind w:left="1072" w:leftChars="338" w:hanging="362" w:hangingChars="151"/>
        <w:jc w:val="left"/>
        <w:rPr>
          <w:rFonts w:ascii="仿宋" w:hAnsi="仿宋" w:eastAsia="仿宋" w:cs="Arial"/>
          <w:sz w:val="24"/>
          <w:szCs w:val="24"/>
        </w:rPr>
      </w:pPr>
      <w:r>
        <w:rPr>
          <w:rFonts w:ascii="仿宋" w:hAnsi="仿宋" w:eastAsia="仿宋" w:cs="Arial"/>
          <w:sz w:val="24"/>
          <w:szCs w:val="24"/>
        </w:rPr>
        <w:t>到台湾公证机关公证；</w:t>
      </w:r>
    </w:p>
    <w:p w14:paraId="7138D4EA">
      <w:pPr>
        <w:pStyle w:val="20"/>
        <w:numPr>
          <w:ilvl w:val="0"/>
          <w:numId w:val="11"/>
        </w:numPr>
        <w:snapToGrid w:val="0"/>
        <w:spacing w:line="360" w:lineRule="auto"/>
        <w:ind w:left="1134" w:firstLineChars="0"/>
        <w:rPr>
          <w:rFonts w:ascii="仿宋" w:hAnsi="仿宋" w:eastAsia="仿宋" w:cs="Arial"/>
          <w:sz w:val="24"/>
          <w:szCs w:val="24"/>
        </w:rPr>
      </w:pPr>
      <w:r>
        <w:rPr>
          <w:rFonts w:ascii="仿宋" w:hAnsi="仿宋" w:eastAsia="仿宋" w:cs="Arial"/>
          <w:sz w:val="24"/>
          <w:szCs w:val="24"/>
        </w:rPr>
        <w:t>台湾公证机关将公证文书副本寄交</w:t>
      </w:r>
      <w:r>
        <w:rPr>
          <w:rFonts w:hint="eastAsia" w:ascii="仿宋" w:hAnsi="仿宋" w:eastAsia="仿宋" w:cs="Arial"/>
          <w:sz w:val="24"/>
          <w:szCs w:val="24"/>
        </w:rPr>
        <w:t>大陆</w:t>
      </w:r>
      <w:r>
        <w:rPr>
          <w:rFonts w:ascii="仿宋" w:hAnsi="仿宋" w:eastAsia="仿宋" w:cs="Arial"/>
          <w:sz w:val="24"/>
          <w:szCs w:val="24"/>
        </w:rPr>
        <w:t>公证员协会；</w:t>
      </w:r>
    </w:p>
    <w:p w14:paraId="2C4CF717">
      <w:pPr>
        <w:pStyle w:val="20"/>
        <w:numPr>
          <w:ilvl w:val="0"/>
          <w:numId w:val="11"/>
        </w:numPr>
        <w:snapToGrid w:val="0"/>
        <w:spacing w:line="360" w:lineRule="auto"/>
        <w:ind w:left="1134" w:firstLineChars="0"/>
        <w:rPr>
          <w:rFonts w:ascii="仿宋" w:hAnsi="仿宋" w:eastAsia="仿宋" w:cs="Arial"/>
          <w:sz w:val="24"/>
          <w:szCs w:val="24"/>
        </w:rPr>
      </w:pPr>
      <w:r>
        <w:rPr>
          <w:rFonts w:hint="eastAsia" w:ascii="仿宋" w:hAnsi="仿宋" w:eastAsia="仿宋" w:cs="Arial"/>
          <w:sz w:val="24"/>
          <w:szCs w:val="24"/>
        </w:rPr>
        <w:t>大陆</w:t>
      </w:r>
      <w:r>
        <w:rPr>
          <w:rFonts w:ascii="仿宋" w:hAnsi="仿宋" w:eastAsia="仿宋" w:cs="Arial"/>
          <w:sz w:val="24"/>
          <w:szCs w:val="24"/>
        </w:rPr>
        <w:t>一方将公证文书拿到公证员协会做核证，核证后即可使用。</w:t>
      </w:r>
    </w:p>
    <w:p w14:paraId="1FAFFE5B">
      <w:pPr>
        <w:pStyle w:val="20"/>
        <w:numPr>
          <w:ilvl w:val="0"/>
          <w:numId w:val="9"/>
        </w:numPr>
        <w:snapToGrid w:val="0"/>
        <w:spacing w:line="360" w:lineRule="auto"/>
        <w:ind w:firstLineChars="0"/>
        <w:rPr>
          <w:rFonts w:ascii="仿宋" w:hAnsi="仿宋" w:eastAsia="仿宋" w:cs="Arial"/>
          <w:b/>
          <w:sz w:val="24"/>
          <w:szCs w:val="24"/>
        </w:rPr>
      </w:pPr>
      <w:r>
        <w:rPr>
          <w:rFonts w:ascii="仿宋" w:hAnsi="仿宋" w:eastAsia="仿宋" w:cs="Arial"/>
          <w:b/>
          <w:sz w:val="24"/>
          <w:szCs w:val="24"/>
        </w:rPr>
        <w:t>国外的公证认证程序</w:t>
      </w:r>
    </w:p>
    <w:p w14:paraId="3DBDAA19">
      <w:pPr>
        <w:pStyle w:val="20"/>
        <w:numPr>
          <w:ilvl w:val="0"/>
          <w:numId w:val="12"/>
        </w:numPr>
        <w:snapToGrid w:val="0"/>
        <w:spacing w:line="360" w:lineRule="auto"/>
        <w:ind w:left="1134" w:hanging="425" w:firstLineChars="0"/>
        <w:rPr>
          <w:rFonts w:ascii="仿宋" w:hAnsi="仿宋" w:eastAsia="仿宋" w:cs="Arial"/>
          <w:sz w:val="24"/>
          <w:szCs w:val="24"/>
        </w:rPr>
      </w:pPr>
      <w:r>
        <w:rPr>
          <w:rFonts w:ascii="仿宋" w:hAnsi="仿宋" w:eastAsia="仿宋" w:cs="Arial"/>
          <w:sz w:val="24"/>
          <w:szCs w:val="24"/>
        </w:rPr>
        <w:t>需将进行公正的材料送该国外交部门进行认证；</w:t>
      </w:r>
    </w:p>
    <w:p w14:paraId="30334E09">
      <w:pPr>
        <w:pStyle w:val="20"/>
        <w:numPr>
          <w:ilvl w:val="0"/>
          <w:numId w:val="12"/>
        </w:numPr>
        <w:snapToGrid w:val="0"/>
        <w:spacing w:line="360" w:lineRule="auto"/>
        <w:ind w:left="1134" w:firstLineChars="0"/>
        <w:rPr>
          <w:rFonts w:ascii="仿宋" w:hAnsi="仿宋" w:eastAsia="仿宋" w:cs="Arial"/>
          <w:sz w:val="24"/>
          <w:szCs w:val="24"/>
        </w:rPr>
      </w:pPr>
      <w:r>
        <w:rPr>
          <w:rFonts w:ascii="仿宋" w:hAnsi="仿宋" w:eastAsia="仿宋" w:cs="Arial"/>
          <w:sz w:val="24"/>
          <w:szCs w:val="24"/>
        </w:rPr>
        <w:t>将经过该国外交部门认证的材料送中国驻该国使领馆进行认证；</w:t>
      </w:r>
    </w:p>
    <w:p w14:paraId="3B4577A7">
      <w:pPr>
        <w:pStyle w:val="20"/>
        <w:numPr>
          <w:ilvl w:val="0"/>
          <w:numId w:val="12"/>
        </w:numPr>
        <w:snapToGrid w:val="0"/>
        <w:spacing w:line="360" w:lineRule="auto"/>
        <w:ind w:left="1134" w:firstLineChars="0"/>
        <w:rPr>
          <w:rFonts w:ascii="仿宋" w:hAnsi="仿宋" w:eastAsia="仿宋" w:cs="Arial"/>
          <w:sz w:val="24"/>
          <w:szCs w:val="24"/>
        </w:rPr>
      </w:pPr>
      <w:r>
        <w:rPr>
          <w:rFonts w:ascii="仿宋" w:hAnsi="仿宋" w:eastAsia="仿宋" w:cs="Arial"/>
          <w:sz w:val="24"/>
          <w:szCs w:val="24"/>
        </w:rPr>
        <w:t>将经过认证的法律文书拿回中国大陆使用。</w:t>
      </w:r>
    </w:p>
    <w:p w14:paraId="730C06F9">
      <w:pPr>
        <w:pStyle w:val="18"/>
        <w:numPr>
          <w:ilvl w:val="0"/>
          <w:numId w:val="2"/>
        </w:numPr>
        <w:snapToGrid w:val="0"/>
        <w:spacing w:line="360" w:lineRule="auto"/>
        <w:ind w:firstLineChars="0"/>
        <w:outlineLvl w:val="0"/>
        <w:rPr>
          <w:rFonts w:ascii="仿宋" w:hAnsi="仿宋" w:eastAsia="仿宋" w:cs="Arial"/>
          <w:b/>
          <w:sz w:val="24"/>
          <w:szCs w:val="24"/>
        </w:rPr>
      </w:pPr>
      <w:r>
        <w:rPr>
          <w:rFonts w:ascii="仿宋" w:hAnsi="仿宋" w:eastAsia="仿宋" w:cs="Arial"/>
          <w:b/>
          <w:sz w:val="24"/>
          <w:szCs w:val="24"/>
        </w:rPr>
        <w:t>特别提示</w:t>
      </w:r>
    </w:p>
    <w:tbl>
      <w:tblPr>
        <w:tblStyle w:val="35"/>
        <w:tblW w:w="0" w:type="auto"/>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665"/>
        <w:gridCol w:w="7631"/>
      </w:tblGrid>
      <w:tr w14:paraId="475F7D95">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vAlign w:val="center"/>
          </w:tcPr>
          <w:p w14:paraId="2F747F56">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1</w:t>
            </w:r>
          </w:p>
        </w:tc>
        <w:tc>
          <w:tcPr>
            <w:tcW w:w="7631" w:type="dxa"/>
          </w:tcPr>
          <w:p w14:paraId="2345C9E8">
            <w:pPr>
              <w:snapToGrid w:val="0"/>
              <w:spacing w:line="360" w:lineRule="auto"/>
              <w:outlineLvl w:val="0"/>
              <w:rPr>
                <w:rFonts w:ascii="仿宋" w:hAnsi="仿宋" w:eastAsia="仿宋" w:cs="Arial"/>
                <w:b/>
                <w:bCs w:val="0"/>
                <w:sz w:val="24"/>
                <w:szCs w:val="24"/>
              </w:rPr>
            </w:pPr>
            <w:r>
              <w:rPr>
                <w:rFonts w:hint="eastAsia" w:ascii="仿宋" w:hAnsi="仿宋" w:eastAsia="仿宋" w:cs="Arial"/>
                <w:b w:val="0"/>
                <w:bCs/>
                <w:sz w:val="24"/>
                <w:szCs w:val="24"/>
              </w:rPr>
              <w:t>本《债权申报指引》只是针对债权人申报债权时注意事项及风险告知的特别提示，文本中加粗字体请债权人予以合理关注。本指引不视为管理人出具给债权人的法律意见，亦不视为管理人代表债务人向债权人作出任何形式的承诺和/或确认。</w:t>
            </w:r>
          </w:p>
        </w:tc>
      </w:tr>
      <w:tr w14:paraId="64AFAD9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shd w:val="clear" w:color="auto" w:fill="F1F1F1" w:themeFill="background1" w:themeFillShade="F2"/>
            <w:vAlign w:val="center"/>
          </w:tcPr>
          <w:p w14:paraId="35618EBA">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2</w:t>
            </w:r>
          </w:p>
        </w:tc>
        <w:tc>
          <w:tcPr>
            <w:tcW w:w="7631" w:type="dxa"/>
            <w:shd w:val="clear" w:color="auto" w:fill="F1F1F1" w:themeFill="background1" w:themeFillShade="F2"/>
          </w:tcPr>
          <w:p w14:paraId="7AAD47FD">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债权人及其委托代理人务必在债权申报材料中注明有效的联系方式，包括但不限于固定电话、移动电话、邮寄地址及电子邮件等。管理人/债务人将相关文件或信息邮寄到指定地址、通过短信或以电子邮件方式发送至指定手机或邮箱均视为有效送达。如前述联系方式发生变化，债权人或其委托代理人请及时向管理人提交书面变更申请。</w:t>
            </w:r>
          </w:p>
        </w:tc>
      </w:tr>
      <w:tr w14:paraId="5A7882C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vAlign w:val="center"/>
          </w:tcPr>
          <w:p w14:paraId="42A47837">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3</w:t>
            </w:r>
          </w:p>
        </w:tc>
        <w:tc>
          <w:tcPr>
            <w:tcW w:w="7631" w:type="dxa"/>
          </w:tcPr>
          <w:p w14:paraId="3AA4AC73">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本《债权申报指引》以及债权人申报债权资料中所须申报人或代理人签字、盖章或按捺手印之处，签字和手印应为本人签字或按捺，他人代签或代按无效。所须申报人盖章之处，应以申报人在公安机关备案登记且现行有效的机构公章为准，其他任何印鉴章均不视为有效申报。</w:t>
            </w:r>
          </w:p>
        </w:tc>
      </w:tr>
      <w:tr w14:paraId="2C7F7B8A">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shd w:val="clear" w:color="auto" w:fill="F1F1F1" w:themeFill="background1" w:themeFillShade="F2"/>
            <w:vAlign w:val="center"/>
          </w:tcPr>
          <w:p w14:paraId="5C3E05AD">
            <w:pPr>
              <w:snapToGrid w:val="0"/>
              <w:spacing w:line="360" w:lineRule="auto"/>
              <w:jc w:val="center"/>
              <w:outlineLvl w:val="0"/>
              <w:rPr>
                <w:rFonts w:ascii="仿宋" w:hAnsi="仿宋" w:eastAsia="仿宋" w:cs="Arial"/>
                <w:b w:val="0"/>
                <w:bCs w:val="0"/>
                <w:sz w:val="24"/>
                <w:szCs w:val="24"/>
              </w:rPr>
            </w:pPr>
            <w:r>
              <w:rPr>
                <w:rFonts w:ascii="仿宋" w:hAnsi="仿宋" w:eastAsia="仿宋" w:cs="Arial"/>
                <w:b/>
                <w:bCs/>
                <w:sz w:val="24"/>
                <w:szCs w:val="24"/>
              </w:rPr>
              <w:t>4</w:t>
            </w:r>
          </w:p>
        </w:tc>
        <w:tc>
          <w:tcPr>
            <w:tcW w:w="7631" w:type="dxa"/>
            <w:shd w:val="clear" w:color="auto" w:fill="F1F1F1" w:themeFill="background1" w:themeFillShade="F2"/>
          </w:tcPr>
          <w:p w14:paraId="526CA194">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鉴于破产清算程序较为复杂，且持续时间较长，故债权人应考虑必要时</w:t>
            </w:r>
            <w:r>
              <w:rPr>
                <w:rFonts w:hint="eastAsia" w:ascii="仿宋" w:hAnsi="仿宋" w:eastAsia="仿宋" w:cs="Arial"/>
                <w:b/>
                <w:bCs/>
                <w:sz w:val="24"/>
                <w:szCs w:val="24"/>
              </w:rPr>
              <w:t>在法律专业人士的协助下</w:t>
            </w:r>
            <w:r>
              <w:rPr>
                <w:rFonts w:hint="eastAsia" w:ascii="仿宋" w:hAnsi="仿宋" w:eastAsia="仿宋" w:cs="Arial"/>
                <w:sz w:val="24"/>
                <w:szCs w:val="24"/>
              </w:rPr>
              <w:t>申报债权、参与程序和/或寻求法律帮助。</w:t>
            </w:r>
          </w:p>
        </w:tc>
      </w:tr>
      <w:tr w14:paraId="54F3021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vAlign w:val="center"/>
          </w:tcPr>
          <w:p w14:paraId="31B32FA1">
            <w:pPr>
              <w:snapToGrid w:val="0"/>
              <w:spacing w:line="360" w:lineRule="auto"/>
              <w:jc w:val="center"/>
              <w:outlineLvl w:val="0"/>
              <w:rPr>
                <w:rFonts w:ascii="仿宋" w:hAnsi="仿宋" w:eastAsia="仿宋" w:cs="Arial"/>
                <w:b w:val="0"/>
                <w:bCs w:val="0"/>
                <w:sz w:val="24"/>
                <w:szCs w:val="24"/>
              </w:rPr>
            </w:pPr>
            <w:r>
              <w:rPr>
                <w:rFonts w:ascii="仿宋" w:hAnsi="仿宋" w:eastAsia="仿宋" w:cs="Arial"/>
                <w:b/>
                <w:bCs/>
                <w:sz w:val="24"/>
                <w:szCs w:val="24"/>
              </w:rPr>
              <w:t>5</w:t>
            </w:r>
          </w:p>
        </w:tc>
        <w:tc>
          <w:tcPr>
            <w:tcW w:w="7631" w:type="dxa"/>
          </w:tcPr>
          <w:p w14:paraId="42370CCE">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如债权本币以外币进行结算/交易的，或债权人以外币申报债权的，应以破产清算申请受理日中国人民银行公布的市场交易中间价换算成人民币后进行申报/计算。债权人未折算为人民币的，管理人有权不接受其申报。债权人申报利息的，应以折算为人民币后的本金数额作为计息基数。</w:t>
            </w:r>
          </w:p>
        </w:tc>
      </w:tr>
      <w:tr w14:paraId="0069276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shd w:val="clear" w:color="auto" w:fill="F1F1F1" w:themeFill="background1" w:themeFillShade="F2"/>
            <w:vAlign w:val="center"/>
          </w:tcPr>
          <w:p w14:paraId="09A42299">
            <w:pPr>
              <w:snapToGrid w:val="0"/>
              <w:spacing w:line="360" w:lineRule="auto"/>
              <w:jc w:val="center"/>
              <w:outlineLvl w:val="0"/>
              <w:rPr>
                <w:rFonts w:ascii="仿宋" w:hAnsi="仿宋" w:eastAsia="仿宋" w:cs="Arial"/>
                <w:b w:val="0"/>
                <w:bCs w:val="0"/>
                <w:sz w:val="24"/>
                <w:szCs w:val="24"/>
              </w:rPr>
            </w:pPr>
            <w:r>
              <w:rPr>
                <w:rFonts w:ascii="仿宋" w:hAnsi="仿宋" w:eastAsia="仿宋" w:cs="Arial"/>
                <w:b/>
                <w:bCs/>
                <w:sz w:val="24"/>
                <w:szCs w:val="24"/>
              </w:rPr>
              <w:t>6</w:t>
            </w:r>
          </w:p>
        </w:tc>
        <w:tc>
          <w:tcPr>
            <w:tcW w:w="7631" w:type="dxa"/>
            <w:shd w:val="clear" w:color="auto" w:fill="F1F1F1" w:themeFill="background1" w:themeFillShade="F2"/>
          </w:tcPr>
          <w:p w14:paraId="78CFECD1">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如存在分公司或其他不具有法定独立地位的分支机构，应当以总公司名义合并申报债权，不得分开单独申报，否则管理人将视除总公司之外的分公司或其他不具有法定独立地位的其他分支机构没有申报。</w:t>
            </w:r>
          </w:p>
          <w:p w14:paraId="5BBD18B1">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如存在关联企业、子公司或其他具有法定独立地位分支机构，且前述机构未纳入本次破产清算程序的，债权人向管理人申报对前述机构的债权，因主体错误，管理人将不予受理。</w:t>
            </w:r>
          </w:p>
        </w:tc>
      </w:tr>
      <w:tr w14:paraId="2992CC0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665" w:type="dxa"/>
          </w:tcPr>
          <w:p w14:paraId="5D1A545E">
            <w:pPr>
              <w:snapToGrid w:val="0"/>
              <w:spacing w:line="360" w:lineRule="auto"/>
              <w:jc w:val="center"/>
              <w:outlineLvl w:val="0"/>
              <w:rPr>
                <w:rFonts w:ascii="仿宋" w:hAnsi="仿宋" w:eastAsia="仿宋" w:cs="Arial"/>
                <w:b w:val="0"/>
                <w:bCs w:val="0"/>
                <w:sz w:val="24"/>
                <w:szCs w:val="24"/>
              </w:rPr>
            </w:pPr>
            <w:r>
              <w:rPr>
                <w:rFonts w:hint="eastAsia" w:ascii="仿宋" w:hAnsi="仿宋" w:eastAsia="仿宋" w:cs="Arial"/>
                <w:b/>
                <w:bCs/>
                <w:sz w:val="24"/>
                <w:szCs w:val="24"/>
              </w:rPr>
              <w:t>7</w:t>
            </w:r>
          </w:p>
        </w:tc>
        <w:tc>
          <w:tcPr>
            <w:tcW w:w="7631" w:type="dxa"/>
          </w:tcPr>
          <w:p w14:paraId="562376D6">
            <w:pPr>
              <w:snapToGrid w:val="0"/>
              <w:spacing w:line="360" w:lineRule="auto"/>
              <w:outlineLvl w:val="0"/>
              <w:rPr>
                <w:rFonts w:ascii="仿宋" w:hAnsi="仿宋" w:eastAsia="仿宋" w:cs="Arial"/>
                <w:sz w:val="24"/>
                <w:szCs w:val="24"/>
              </w:rPr>
            </w:pPr>
            <w:r>
              <w:rPr>
                <w:rFonts w:hint="eastAsia" w:ascii="仿宋" w:hAnsi="仿宋" w:eastAsia="仿宋" w:cs="Arial"/>
                <w:sz w:val="24"/>
                <w:szCs w:val="24"/>
              </w:rPr>
              <w:t>本指引及风险告知书内容与现行法律、法规、司法解释及人民法院司法文件不一致的，以后者为准。</w:t>
            </w:r>
          </w:p>
        </w:tc>
      </w:tr>
    </w:tbl>
    <w:p w14:paraId="7FAB0688">
      <w:pPr>
        <w:widowControl/>
        <w:snapToGrid w:val="0"/>
        <w:spacing w:line="360" w:lineRule="auto"/>
        <w:jc w:val="left"/>
        <w:rPr>
          <w:rFonts w:ascii="仿宋" w:hAnsi="仿宋" w:eastAsia="仿宋" w:cs="Arial"/>
          <w:b/>
          <w:sz w:val="24"/>
          <w:szCs w:val="24"/>
        </w:rPr>
      </w:pPr>
    </w:p>
    <w:p w14:paraId="5F267A41">
      <w:pPr>
        <w:adjustRightInd w:val="0"/>
        <w:snapToGrid w:val="0"/>
        <w:spacing w:line="360" w:lineRule="auto"/>
        <w:ind w:firstLine="472" w:firstLineChars="196"/>
        <w:outlineLvl w:val="0"/>
        <w:rPr>
          <w:rFonts w:ascii="仿宋" w:hAnsi="仿宋" w:eastAsia="仿宋" w:cs="Arial"/>
          <w:b/>
          <w:sz w:val="24"/>
          <w:szCs w:val="24"/>
        </w:rPr>
      </w:pPr>
      <w:r>
        <w:rPr>
          <w:rFonts w:hint="eastAsia" w:ascii="仿宋" w:hAnsi="仿宋" w:eastAsia="仿宋" w:cs="Arial"/>
          <w:b/>
          <w:sz w:val="24"/>
          <w:szCs w:val="24"/>
        </w:rPr>
        <w:t>本指引对债权申报程序进行了详细的说明，而申报债权是各位债权人得以行使各项权利的前提及基础，故请仔细阅读本指引并严格按照要求进行债权申报工作。</w:t>
      </w:r>
    </w:p>
    <w:p w14:paraId="622CEA5A">
      <w:pPr>
        <w:widowControl/>
        <w:adjustRightInd w:val="0"/>
        <w:snapToGrid w:val="0"/>
        <w:spacing w:line="360" w:lineRule="auto"/>
        <w:jc w:val="right"/>
        <w:rPr>
          <w:rFonts w:ascii="Times New Roman" w:hAnsi="Times New Roman" w:eastAsia="仿宋"/>
          <w:b/>
          <w:sz w:val="24"/>
          <w:szCs w:val="24"/>
        </w:rPr>
      </w:pPr>
      <w:bookmarkStart w:id="0" w:name="_Hlk60838275"/>
      <w:r>
        <w:rPr>
          <w:rFonts w:hint="eastAsia" w:ascii="Times New Roman" w:hAnsi="Times New Roman" w:eastAsia="仿宋"/>
          <w:b/>
          <w:sz w:val="24"/>
          <w:szCs w:val="24"/>
        </w:rPr>
        <w:t>上海国美电器有限公司管理人</w:t>
      </w:r>
    </w:p>
    <w:bookmarkEnd w:id="0"/>
    <w:p w14:paraId="70275742">
      <w:pPr>
        <w:widowControl/>
        <w:adjustRightInd w:val="0"/>
        <w:snapToGrid w:val="0"/>
        <w:spacing w:line="360" w:lineRule="auto"/>
        <w:jc w:val="right"/>
        <w:rPr>
          <w:rFonts w:ascii="Times New Roman" w:hAnsi="Times New Roman" w:eastAsia="仿宋"/>
          <w:b/>
          <w:sz w:val="24"/>
          <w:szCs w:val="24"/>
        </w:rPr>
      </w:pPr>
      <w:r>
        <w:rPr>
          <w:rFonts w:hint="eastAsia" w:ascii="Times New Roman" w:hAnsi="Times New Roman" w:eastAsia="仿宋"/>
          <w:b/>
          <w:sz w:val="24"/>
          <w:szCs w:val="24"/>
        </w:rPr>
        <w:t>2024年6月2</w:t>
      </w:r>
      <w:r>
        <w:rPr>
          <w:rFonts w:ascii="Times New Roman" w:hAnsi="Times New Roman" w:eastAsia="仿宋"/>
          <w:b/>
          <w:sz w:val="24"/>
          <w:szCs w:val="24"/>
        </w:rPr>
        <w:t>6</w:t>
      </w:r>
      <w:r>
        <w:rPr>
          <w:rFonts w:hint="eastAsia" w:ascii="Times New Roman" w:hAnsi="Times New Roman" w:eastAsia="仿宋"/>
          <w:b/>
          <w:sz w:val="24"/>
          <w:szCs w:val="24"/>
        </w:rPr>
        <w:t>日</w:t>
      </w:r>
    </w:p>
    <w:p w14:paraId="304B73A4">
      <w:pPr>
        <w:widowControl/>
        <w:adjustRightInd w:val="0"/>
        <w:snapToGrid w:val="0"/>
        <w:spacing w:line="360" w:lineRule="auto"/>
        <w:jc w:val="center"/>
        <w:rPr>
          <w:rFonts w:ascii="Times New Roman" w:hAnsi="Times New Roman" w:eastAsia="仿宋"/>
          <w:bCs/>
          <w:sz w:val="24"/>
          <w:szCs w:val="24"/>
        </w:rPr>
      </w:pPr>
    </w:p>
    <w:p w14:paraId="59A02D5F">
      <w:pPr>
        <w:widowControl/>
        <w:adjustRightInd w:val="0"/>
        <w:snapToGrid w:val="0"/>
        <w:spacing w:line="360" w:lineRule="auto"/>
        <w:rPr>
          <w:rFonts w:ascii="Times New Roman" w:hAnsi="Times New Roman" w:eastAsia="仿宋"/>
          <w:bCs/>
          <w:sz w:val="24"/>
          <w:szCs w:val="24"/>
        </w:rPr>
      </w:pPr>
    </w:p>
    <w:p w14:paraId="207AA3F3">
      <w:pPr>
        <w:widowControl/>
        <w:adjustRightInd w:val="0"/>
        <w:snapToGrid w:val="0"/>
        <w:spacing w:line="360" w:lineRule="auto"/>
        <w:jc w:val="center"/>
        <w:rPr>
          <w:rFonts w:ascii="仿宋" w:hAnsi="仿宋" w:eastAsia="仿宋" w:cs="Arial"/>
          <w:sz w:val="24"/>
          <w:szCs w:val="24"/>
        </w:rPr>
      </w:pPr>
      <w:r>
        <w:rPr>
          <w:rFonts w:hint="eastAsia" w:ascii="Times New Roman" w:hAnsi="Times New Roman" w:eastAsia="仿宋"/>
          <w:bCs/>
          <w:sz w:val="24"/>
          <w:szCs w:val="24"/>
        </w:rPr>
        <w:t>（以下页码均为债权申报表等附件，请债权人自行登陆破易云后台下载）</w:t>
      </w:r>
      <w:bookmarkStart w:id="1" w:name="_GoBack"/>
      <w:bookmarkEnd w:id="1"/>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39461859"/>
    </w:sdtPr>
    <w:sdtContent>
      <w:sdt>
        <w:sdtPr>
          <w:id w:val="1728636285"/>
        </w:sdtPr>
        <w:sdtContent>
          <w:p w14:paraId="6CF4AAC1">
            <w:pPr>
              <w:pStyle w:val="6"/>
              <w:jc w:val="center"/>
            </w:pPr>
          </w:p>
        </w:sdtContent>
      </w:sdt>
    </w:sdtContent>
  </w:sdt>
  <w:p w14:paraId="0147AF4B">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2404971"/>
    </w:sdtPr>
    <w:sdtContent>
      <w:sdt>
        <w:sdtPr>
          <w:id w:val="-1"/>
        </w:sdtPr>
        <w:sdtContent>
          <w:p w14:paraId="7FD0980C">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14</w:t>
            </w:r>
            <w:r>
              <w:rPr>
                <w:b/>
                <w:bCs/>
                <w:sz w:val="24"/>
                <w:szCs w:val="24"/>
              </w:rPr>
              <w:fldChar w:fldCharType="end"/>
            </w:r>
            <w:r>
              <w:rPr>
                <w:lang w:val="zh-CN"/>
              </w:rPr>
              <w:t xml:space="preserve"> / </w:t>
            </w:r>
            <w:r>
              <w:rPr>
                <w:b/>
                <w:bCs/>
              </w:rPr>
              <w:t>17</w:t>
            </w:r>
          </w:p>
        </w:sdtContent>
      </w:sdt>
    </w:sdtContent>
  </w:sdt>
  <w:p w14:paraId="00660949">
    <w:pPr>
      <w:pStyle w:val="6"/>
    </w:pPr>
  </w:p>
  <w:p w14:paraId="657EF1FC"/>
  <w:p w14:paraId="521640CA"/>
  <w:p w14:paraId="3AC0715B"/>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0A8A0">
    <w:pPr>
      <w:pStyle w:val="7"/>
      <w:jc w:val="both"/>
      <w:rPr>
        <w:rFonts w:ascii="仿宋" w:hAnsi="仿宋" w:eastAsia="仿宋"/>
        <w:b/>
        <w:sz w:val="20"/>
        <w:szCs w:val="20"/>
      </w:rPr>
    </w:pPr>
    <w:r>
      <w:rPr>
        <w:rFonts w:hint="eastAsia" w:ascii="仿宋" w:hAnsi="仿宋" w:eastAsia="仿宋"/>
        <w:b/>
        <w:sz w:val="20"/>
        <w:szCs w:val="20"/>
      </w:rPr>
      <w:t>上海国美电器有限公司破产清算案</w:t>
    </w:r>
    <w:r>
      <w:rPr>
        <w:rFonts w:ascii="仿宋" w:hAnsi="仿宋" w:eastAsia="仿宋"/>
        <w:b/>
        <w:sz w:val="20"/>
        <w:szCs w:val="20"/>
      </w:rPr>
      <w:t xml:space="preserve">               </w:t>
    </w:r>
    <w:r>
      <w:rPr>
        <w:rFonts w:hint="eastAsia" w:ascii="仿宋" w:hAnsi="仿宋" w:eastAsia="仿宋"/>
        <w:b/>
        <w:sz w:val="20"/>
        <w:szCs w:val="20"/>
      </w:rPr>
      <w:t xml:space="preserve">    </w:t>
    </w:r>
    <w:r>
      <w:rPr>
        <w:rFonts w:ascii="仿宋" w:hAnsi="仿宋" w:eastAsia="仿宋"/>
        <w:b/>
        <w:sz w:val="20"/>
        <w:szCs w:val="20"/>
      </w:rPr>
      <w:t xml:space="preserve"> </w:t>
    </w:r>
    <w:r>
      <w:rPr>
        <w:rFonts w:hint="eastAsia" w:ascii="仿宋" w:hAnsi="仿宋" w:eastAsia="仿宋"/>
        <w:b/>
        <w:sz w:val="20"/>
        <w:szCs w:val="20"/>
      </w:rPr>
      <w:t xml:space="preserve">       </w:t>
    </w:r>
    <w:r>
      <w:rPr>
        <w:rFonts w:ascii="仿宋" w:hAnsi="仿宋" w:eastAsia="仿宋"/>
        <w:b/>
        <w:sz w:val="20"/>
        <w:szCs w:val="20"/>
      </w:rPr>
      <w:t xml:space="preserve">（2024）沪03破563号                </w:t>
    </w:r>
    <w:r>
      <w:rPr>
        <w:rFonts w:hint="eastAsia" w:ascii="仿宋" w:hAnsi="仿宋" w:eastAsia="仿宋"/>
        <w:b/>
        <w:sz w:val="20"/>
        <w:szCs w:val="2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C61F8C"/>
    <w:multiLevelType w:val="multilevel"/>
    <w:tmpl w:val="05C61F8C"/>
    <w:lvl w:ilvl="0" w:tentative="0">
      <w:start w:val="1"/>
      <w:numFmt w:val="decimal"/>
      <w:lvlText w:val="%1)"/>
      <w:lvlJc w:val="left"/>
      <w:pPr>
        <w:ind w:left="154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7C66D1F"/>
    <w:multiLevelType w:val="multilevel"/>
    <w:tmpl w:val="07C66D1F"/>
    <w:lvl w:ilvl="0" w:tentative="0">
      <w:start w:val="1"/>
      <w:numFmt w:val="chineseCountingThousand"/>
      <w:lvlText w:val="(%1)"/>
      <w:lvlJc w:val="left"/>
      <w:pPr>
        <w:ind w:left="840" w:hanging="420"/>
      </w:pPr>
      <w:rPr>
        <w:rFonts w:ascii="仿宋" w:hAnsi="仿宋" w:eastAsia="仿宋"/>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0BB3063F"/>
    <w:multiLevelType w:val="multilevel"/>
    <w:tmpl w:val="0BB3063F"/>
    <w:lvl w:ilvl="0" w:tentative="0">
      <w:start w:val="1"/>
      <w:numFmt w:val="decimal"/>
      <w:lvlText w:val="%1)"/>
      <w:lvlJc w:val="left"/>
      <w:pPr>
        <w:ind w:left="154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E726773"/>
    <w:multiLevelType w:val="multilevel"/>
    <w:tmpl w:val="0E72677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84B525C"/>
    <w:multiLevelType w:val="multilevel"/>
    <w:tmpl w:val="384B525C"/>
    <w:lvl w:ilvl="0" w:tentative="0">
      <w:start w:val="1"/>
      <w:numFmt w:val="decimal"/>
      <w:lvlText w:val="%1)"/>
      <w:lvlJc w:val="left"/>
      <w:pPr>
        <w:ind w:left="154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8E11F2E"/>
    <w:multiLevelType w:val="multilevel"/>
    <w:tmpl w:val="38E11F2E"/>
    <w:lvl w:ilvl="0" w:tentative="0">
      <w:start w:val="1"/>
      <w:numFmt w:val="chineseCountingThousand"/>
      <w:suff w:val="nothing"/>
      <w:lvlText w:val="(%1)"/>
      <w:lvlJc w:val="left"/>
      <w:pPr>
        <w:ind w:left="840" w:hanging="420"/>
      </w:pPr>
      <w:rPr>
        <w:rFonts w:hint="eastAsia" w:ascii="仿宋" w:hAnsi="仿宋" w:eastAsia="仿宋"/>
      </w:rPr>
    </w:lvl>
    <w:lvl w:ilvl="1" w:tentative="0">
      <w:start w:val="1"/>
      <w:numFmt w:val="lowerLetter"/>
      <w:lvlText w:val="%2)"/>
      <w:lvlJc w:val="left"/>
      <w:pPr>
        <w:ind w:left="1260" w:hanging="420"/>
      </w:pPr>
      <w:rPr>
        <w:rFonts w:hint="eastAsia"/>
      </w:rPr>
    </w:lvl>
    <w:lvl w:ilvl="2" w:tentative="0">
      <w:start w:val="1"/>
      <w:numFmt w:val="lowerRoman"/>
      <w:lvlText w:val="%3."/>
      <w:lvlJc w:val="right"/>
      <w:pPr>
        <w:ind w:left="1680" w:hanging="420"/>
      </w:pPr>
      <w:rPr>
        <w:rFonts w:hint="eastAsia"/>
      </w:rPr>
    </w:lvl>
    <w:lvl w:ilvl="3" w:tentative="0">
      <w:start w:val="1"/>
      <w:numFmt w:val="decimal"/>
      <w:lvlText w:val="%4."/>
      <w:lvlJc w:val="left"/>
      <w:pPr>
        <w:ind w:left="2100" w:hanging="420"/>
      </w:pPr>
      <w:rPr>
        <w:rFonts w:hint="eastAsia"/>
      </w:rPr>
    </w:lvl>
    <w:lvl w:ilvl="4" w:tentative="0">
      <w:start w:val="1"/>
      <w:numFmt w:val="lowerLetter"/>
      <w:lvlText w:val="%5)"/>
      <w:lvlJc w:val="left"/>
      <w:pPr>
        <w:ind w:left="2520" w:hanging="420"/>
      </w:pPr>
      <w:rPr>
        <w:rFonts w:hint="eastAsia"/>
      </w:rPr>
    </w:lvl>
    <w:lvl w:ilvl="5" w:tentative="0">
      <w:start w:val="1"/>
      <w:numFmt w:val="lowerRoman"/>
      <w:lvlText w:val="%6."/>
      <w:lvlJc w:val="right"/>
      <w:pPr>
        <w:ind w:left="2940" w:hanging="420"/>
      </w:pPr>
      <w:rPr>
        <w:rFonts w:hint="eastAsia"/>
      </w:rPr>
    </w:lvl>
    <w:lvl w:ilvl="6" w:tentative="0">
      <w:start w:val="1"/>
      <w:numFmt w:val="decimal"/>
      <w:lvlText w:val="%7."/>
      <w:lvlJc w:val="left"/>
      <w:pPr>
        <w:ind w:left="3360" w:hanging="420"/>
      </w:pPr>
      <w:rPr>
        <w:rFonts w:hint="eastAsia"/>
      </w:rPr>
    </w:lvl>
    <w:lvl w:ilvl="7" w:tentative="0">
      <w:start w:val="1"/>
      <w:numFmt w:val="lowerLetter"/>
      <w:lvlText w:val="%8)"/>
      <w:lvlJc w:val="left"/>
      <w:pPr>
        <w:ind w:left="3780" w:hanging="420"/>
      </w:pPr>
      <w:rPr>
        <w:rFonts w:hint="eastAsia"/>
      </w:rPr>
    </w:lvl>
    <w:lvl w:ilvl="8" w:tentative="0">
      <w:start w:val="1"/>
      <w:numFmt w:val="lowerRoman"/>
      <w:lvlText w:val="%9."/>
      <w:lvlJc w:val="right"/>
      <w:pPr>
        <w:ind w:left="4200" w:hanging="420"/>
      </w:pPr>
      <w:rPr>
        <w:rFonts w:hint="eastAsia"/>
      </w:rPr>
    </w:lvl>
  </w:abstractNum>
  <w:abstractNum w:abstractNumId="6">
    <w:nsid w:val="3938499C"/>
    <w:multiLevelType w:val="multilevel"/>
    <w:tmpl w:val="3938499C"/>
    <w:lvl w:ilvl="0" w:tentative="0">
      <w:start w:val="1"/>
      <w:numFmt w:val="decimal"/>
      <w:lvlText w:val="%1)"/>
      <w:lvlJc w:val="left"/>
      <w:pPr>
        <w:ind w:left="154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ED128B4"/>
    <w:multiLevelType w:val="multilevel"/>
    <w:tmpl w:val="3ED128B4"/>
    <w:lvl w:ilvl="0" w:tentative="0">
      <w:start w:val="1"/>
      <w:numFmt w:val="decimal"/>
      <w:lvlText w:val="%1)"/>
      <w:lvlJc w:val="left"/>
      <w:pPr>
        <w:ind w:left="154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2722155"/>
    <w:multiLevelType w:val="multilevel"/>
    <w:tmpl w:val="52722155"/>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9">
    <w:nsid w:val="5A74B389"/>
    <w:multiLevelType w:val="multilevel"/>
    <w:tmpl w:val="5A74B389"/>
    <w:lvl w:ilvl="0" w:tentative="0">
      <w:start w:val="1"/>
      <w:numFmt w:val="japaneseCounting"/>
      <w:suff w:val="nothing"/>
      <w:lvlText w:val="%1、"/>
      <w:lvlJc w:val="left"/>
      <w:pPr>
        <w:ind w:left="1282" w:hanging="720"/>
      </w:pPr>
      <w:rPr>
        <w:rFonts w:hint="eastAsia"/>
      </w:rPr>
    </w:lvl>
    <w:lvl w:ilvl="1" w:tentative="0">
      <w:start w:val="1"/>
      <w:numFmt w:val="lowerLetter"/>
      <w:lvlText w:val="%2)"/>
      <w:lvlJc w:val="left"/>
      <w:pPr>
        <w:ind w:left="1402" w:hanging="420"/>
      </w:pPr>
      <w:rPr>
        <w:rFonts w:hint="eastAsia"/>
      </w:rPr>
    </w:lvl>
    <w:lvl w:ilvl="2" w:tentative="0">
      <w:start w:val="1"/>
      <w:numFmt w:val="lowerRoman"/>
      <w:lvlText w:val="%3."/>
      <w:lvlJc w:val="right"/>
      <w:pPr>
        <w:ind w:left="1822" w:hanging="420"/>
      </w:pPr>
      <w:rPr>
        <w:rFonts w:hint="eastAsia"/>
      </w:rPr>
    </w:lvl>
    <w:lvl w:ilvl="3" w:tentative="0">
      <w:start w:val="1"/>
      <w:numFmt w:val="decimal"/>
      <w:lvlText w:val="%4."/>
      <w:lvlJc w:val="left"/>
      <w:pPr>
        <w:ind w:left="2242" w:hanging="420"/>
      </w:pPr>
      <w:rPr>
        <w:rFonts w:hint="eastAsia"/>
      </w:rPr>
    </w:lvl>
    <w:lvl w:ilvl="4" w:tentative="0">
      <w:start w:val="1"/>
      <w:numFmt w:val="lowerLetter"/>
      <w:lvlText w:val="%5)"/>
      <w:lvlJc w:val="left"/>
      <w:pPr>
        <w:ind w:left="2662" w:hanging="420"/>
      </w:pPr>
      <w:rPr>
        <w:rFonts w:hint="eastAsia"/>
      </w:rPr>
    </w:lvl>
    <w:lvl w:ilvl="5" w:tentative="0">
      <w:start w:val="1"/>
      <w:numFmt w:val="lowerRoman"/>
      <w:lvlText w:val="%6."/>
      <w:lvlJc w:val="right"/>
      <w:pPr>
        <w:ind w:left="3082" w:hanging="420"/>
      </w:pPr>
      <w:rPr>
        <w:rFonts w:hint="eastAsia"/>
      </w:rPr>
    </w:lvl>
    <w:lvl w:ilvl="6" w:tentative="0">
      <w:start w:val="1"/>
      <w:numFmt w:val="decimal"/>
      <w:lvlText w:val="%7."/>
      <w:lvlJc w:val="left"/>
      <w:pPr>
        <w:ind w:left="3502" w:hanging="420"/>
      </w:pPr>
      <w:rPr>
        <w:rFonts w:hint="eastAsia"/>
      </w:rPr>
    </w:lvl>
    <w:lvl w:ilvl="7" w:tentative="0">
      <w:start w:val="1"/>
      <w:numFmt w:val="lowerLetter"/>
      <w:lvlText w:val="%8)"/>
      <w:lvlJc w:val="left"/>
      <w:pPr>
        <w:ind w:left="3922" w:hanging="420"/>
      </w:pPr>
      <w:rPr>
        <w:rFonts w:hint="eastAsia"/>
      </w:rPr>
    </w:lvl>
    <w:lvl w:ilvl="8" w:tentative="0">
      <w:start w:val="1"/>
      <w:numFmt w:val="lowerRoman"/>
      <w:lvlText w:val="%9."/>
      <w:lvlJc w:val="right"/>
      <w:pPr>
        <w:ind w:left="4342" w:hanging="420"/>
      </w:pPr>
      <w:rPr>
        <w:rFonts w:hint="eastAsia"/>
      </w:rPr>
    </w:lvl>
  </w:abstractNum>
  <w:abstractNum w:abstractNumId="10">
    <w:nsid w:val="5FEC1DE3"/>
    <w:multiLevelType w:val="multilevel"/>
    <w:tmpl w:val="5FEC1DE3"/>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1">
    <w:nsid w:val="7B843C74"/>
    <w:multiLevelType w:val="multilevel"/>
    <w:tmpl w:val="7B843C74"/>
    <w:lvl w:ilvl="0" w:tentative="0">
      <w:start w:val="1"/>
      <w:numFmt w:val="decimal"/>
      <w:lvlText w:val="%1)"/>
      <w:lvlJc w:val="left"/>
      <w:pPr>
        <w:ind w:left="154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9"/>
  </w:num>
  <w:num w:numId="3">
    <w:abstractNumId w:val="5"/>
  </w:num>
  <w:num w:numId="4">
    <w:abstractNumId w:val="10"/>
  </w:num>
  <w:num w:numId="5">
    <w:abstractNumId w:val="2"/>
  </w:num>
  <w:num w:numId="6">
    <w:abstractNumId w:val="11"/>
  </w:num>
  <w:num w:numId="7">
    <w:abstractNumId w:val="4"/>
  </w:num>
  <w:num w:numId="8">
    <w:abstractNumId w:val="1"/>
  </w:num>
  <w:num w:numId="9">
    <w:abstractNumId w:val="8"/>
  </w:num>
  <w:num w:numId="10">
    <w:abstractNumId w:val="7"/>
  </w:num>
  <w:num w:numId="11">
    <w:abstractNumId w:val="6"/>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M5MmZiMjEyNzFlNmU5ODQyNjlkMzc0ZTZkNmUxYjAifQ=="/>
  </w:docVars>
  <w:rsids>
    <w:rsidRoot w:val="000443FD"/>
    <w:rsid w:val="00007EEB"/>
    <w:rsid w:val="00011305"/>
    <w:rsid w:val="00021C77"/>
    <w:rsid w:val="00024BA4"/>
    <w:rsid w:val="000269EF"/>
    <w:rsid w:val="00030E11"/>
    <w:rsid w:val="000368D5"/>
    <w:rsid w:val="00037B23"/>
    <w:rsid w:val="00040843"/>
    <w:rsid w:val="000443FD"/>
    <w:rsid w:val="000576EA"/>
    <w:rsid w:val="0006774F"/>
    <w:rsid w:val="000759D7"/>
    <w:rsid w:val="00085E31"/>
    <w:rsid w:val="00090439"/>
    <w:rsid w:val="00091C05"/>
    <w:rsid w:val="00093225"/>
    <w:rsid w:val="000A2365"/>
    <w:rsid w:val="000A4FDA"/>
    <w:rsid w:val="000A5C58"/>
    <w:rsid w:val="000B055F"/>
    <w:rsid w:val="000C143D"/>
    <w:rsid w:val="000C768D"/>
    <w:rsid w:val="000D45B9"/>
    <w:rsid w:val="000D765A"/>
    <w:rsid w:val="000E75CD"/>
    <w:rsid w:val="000F5122"/>
    <w:rsid w:val="000F52AD"/>
    <w:rsid w:val="000F5710"/>
    <w:rsid w:val="000F5DDD"/>
    <w:rsid w:val="000F7000"/>
    <w:rsid w:val="000F7F53"/>
    <w:rsid w:val="0010099A"/>
    <w:rsid w:val="00101112"/>
    <w:rsid w:val="001012ED"/>
    <w:rsid w:val="001070F2"/>
    <w:rsid w:val="001105A2"/>
    <w:rsid w:val="00122116"/>
    <w:rsid w:val="00123FB7"/>
    <w:rsid w:val="001258ED"/>
    <w:rsid w:val="00130F3F"/>
    <w:rsid w:val="00135FD4"/>
    <w:rsid w:val="00136BC0"/>
    <w:rsid w:val="001459D8"/>
    <w:rsid w:val="00153378"/>
    <w:rsid w:val="001625AC"/>
    <w:rsid w:val="00165E76"/>
    <w:rsid w:val="00166378"/>
    <w:rsid w:val="00172120"/>
    <w:rsid w:val="00172C46"/>
    <w:rsid w:val="00180800"/>
    <w:rsid w:val="00183074"/>
    <w:rsid w:val="001839AE"/>
    <w:rsid w:val="001A37FC"/>
    <w:rsid w:val="001A526E"/>
    <w:rsid w:val="001A5973"/>
    <w:rsid w:val="001B48BE"/>
    <w:rsid w:val="001B701E"/>
    <w:rsid w:val="001C6199"/>
    <w:rsid w:val="001D01FB"/>
    <w:rsid w:val="001D2BD4"/>
    <w:rsid w:val="001F22D8"/>
    <w:rsid w:val="001F3804"/>
    <w:rsid w:val="002008FC"/>
    <w:rsid w:val="002102AB"/>
    <w:rsid w:val="0021690C"/>
    <w:rsid w:val="002219D7"/>
    <w:rsid w:val="00230509"/>
    <w:rsid w:val="002511F5"/>
    <w:rsid w:val="00251EA4"/>
    <w:rsid w:val="00264BD1"/>
    <w:rsid w:val="002704C5"/>
    <w:rsid w:val="002760BF"/>
    <w:rsid w:val="002763FF"/>
    <w:rsid w:val="00281584"/>
    <w:rsid w:val="002827B9"/>
    <w:rsid w:val="00283BDC"/>
    <w:rsid w:val="0028442B"/>
    <w:rsid w:val="002851BB"/>
    <w:rsid w:val="00286BFC"/>
    <w:rsid w:val="002A67D0"/>
    <w:rsid w:val="002A7BCB"/>
    <w:rsid w:val="002B16D7"/>
    <w:rsid w:val="002B44E5"/>
    <w:rsid w:val="002B6BEE"/>
    <w:rsid w:val="002C55F8"/>
    <w:rsid w:val="002D4B9B"/>
    <w:rsid w:val="002F04B5"/>
    <w:rsid w:val="002F081D"/>
    <w:rsid w:val="002F12E0"/>
    <w:rsid w:val="002F1A9D"/>
    <w:rsid w:val="00300EF7"/>
    <w:rsid w:val="0030171C"/>
    <w:rsid w:val="00307B19"/>
    <w:rsid w:val="00310C77"/>
    <w:rsid w:val="003113F4"/>
    <w:rsid w:val="00316B0E"/>
    <w:rsid w:val="00326F4A"/>
    <w:rsid w:val="00334DDA"/>
    <w:rsid w:val="00335E70"/>
    <w:rsid w:val="00336B51"/>
    <w:rsid w:val="00340182"/>
    <w:rsid w:val="00343168"/>
    <w:rsid w:val="00350FAD"/>
    <w:rsid w:val="00363F84"/>
    <w:rsid w:val="003811C6"/>
    <w:rsid w:val="00387F31"/>
    <w:rsid w:val="00390229"/>
    <w:rsid w:val="003A29EF"/>
    <w:rsid w:val="003A3B63"/>
    <w:rsid w:val="003A6DA0"/>
    <w:rsid w:val="003B068C"/>
    <w:rsid w:val="003B0FFA"/>
    <w:rsid w:val="003B5D9D"/>
    <w:rsid w:val="003C2E39"/>
    <w:rsid w:val="003D1D6F"/>
    <w:rsid w:val="003D7FF2"/>
    <w:rsid w:val="003E4A25"/>
    <w:rsid w:val="003E56AB"/>
    <w:rsid w:val="003E738F"/>
    <w:rsid w:val="00400D76"/>
    <w:rsid w:val="004011C4"/>
    <w:rsid w:val="00401AD7"/>
    <w:rsid w:val="00407078"/>
    <w:rsid w:val="00411520"/>
    <w:rsid w:val="0041696C"/>
    <w:rsid w:val="004169A1"/>
    <w:rsid w:val="0042341C"/>
    <w:rsid w:val="00423E9D"/>
    <w:rsid w:val="00424C9B"/>
    <w:rsid w:val="00427D1A"/>
    <w:rsid w:val="00427EF4"/>
    <w:rsid w:val="004314D5"/>
    <w:rsid w:val="00434A19"/>
    <w:rsid w:val="00442CD1"/>
    <w:rsid w:val="004575CC"/>
    <w:rsid w:val="00457C95"/>
    <w:rsid w:val="00463373"/>
    <w:rsid w:val="00464D00"/>
    <w:rsid w:val="00466BCA"/>
    <w:rsid w:val="00470DCB"/>
    <w:rsid w:val="00475DAD"/>
    <w:rsid w:val="004768A9"/>
    <w:rsid w:val="00477F4E"/>
    <w:rsid w:val="0048049B"/>
    <w:rsid w:val="004807B8"/>
    <w:rsid w:val="004854CD"/>
    <w:rsid w:val="00495DF3"/>
    <w:rsid w:val="004B23D6"/>
    <w:rsid w:val="004B36CD"/>
    <w:rsid w:val="004B3AFC"/>
    <w:rsid w:val="004B75F6"/>
    <w:rsid w:val="004C158E"/>
    <w:rsid w:val="004C2475"/>
    <w:rsid w:val="004C2D91"/>
    <w:rsid w:val="004C3078"/>
    <w:rsid w:val="004C4155"/>
    <w:rsid w:val="004C622A"/>
    <w:rsid w:val="004D2169"/>
    <w:rsid w:val="004D2EFD"/>
    <w:rsid w:val="004F3015"/>
    <w:rsid w:val="004F74D0"/>
    <w:rsid w:val="00501BEE"/>
    <w:rsid w:val="0052204A"/>
    <w:rsid w:val="00527655"/>
    <w:rsid w:val="0053039F"/>
    <w:rsid w:val="00533AD0"/>
    <w:rsid w:val="00541B24"/>
    <w:rsid w:val="00556D76"/>
    <w:rsid w:val="00562713"/>
    <w:rsid w:val="00565078"/>
    <w:rsid w:val="005762B8"/>
    <w:rsid w:val="00581A8B"/>
    <w:rsid w:val="00590B58"/>
    <w:rsid w:val="005954CC"/>
    <w:rsid w:val="005A2013"/>
    <w:rsid w:val="005B2056"/>
    <w:rsid w:val="005D2314"/>
    <w:rsid w:val="005E6FC7"/>
    <w:rsid w:val="005F1A2B"/>
    <w:rsid w:val="005F60BC"/>
    <w:rsid w:val="006018AB"/>
    <w:rsid w:val="0063348C"/>
    <w:rsid w:val="00635782"/>
    <w:rsid w:val="00672774"/>
    <w:rsid w:val="006755AE"/>
    <w:rsid w:val="006916D1"/>
    <w:rsid w:val="00696E71"/>
    <w:rsid w:val="00697496"/>
    <w:rsid w:val="006A5227"/>
    <w:rsid w:val="006A708D"/>
    <w:rsid w:val="006A7DA4"/>
    <w:rsid w:val="006B4394"/>
    <w:rsid w:val="006D612F"/>
    <w:rsid w:val="006E2950"/>
    <w:rsid w:val="006F1473"/>
    <w:rsid w:val="00706461"/>
    <w:rsid w:val="00714721"/>
    <w:rsid w:val="00717F1D"/>
    <w:rsid w:val="00726C29"/>
    <w:rsid w:val="007346DA"/>
    <w:rsid w:val="00734D86"/>
    <w:rsid w:val="00740903"/>
    <w:rsid w:val="00740B0C"/>
    <w:rsid w:val="00741E7D"/>
    <w:rsid w:val="00762983"/>
    <w:rsid w:val="007638D1"/>
    <w:rsid w:val="00765E9A"/>
    <w:rsid w:val="007664DE"/>
    <w:rsid w:val="00766D09"/>
    <w:rsid w:val="007800F1"/>
    <w:rsid w:val="00780801"/>
    <w:rsid w:val="00781367"/>
    <w:rsid w:val="007825EB"/>
    <w:rsid w:val="00785369"/>
    <w:rsid w:val="00792F31"/>
    <w:rsid w:val="007938A5"/>
    <w:rsid w:val="00793D70"/>
    <w:rsid w:val="007958F3"/>
    <w:rsid w:val="007A1EDE"/>
    <w:rsid w:val="007A38C6"/>
    <w:rsid w:val="007A3B96"/>
    <w:rsid w:val="007A5711"/>
    <w:rsid w:val="007B0017"/>
    <w:rsid w:val="007B2609"/>
    <w:rsid w:val="007C160C"/>
    <w:rsid w:val="007C7404"/>
    <w:rsid w:val="007D424A"/>
    <w:rsid w:val="007D5320"/>
    <w:rsid w:val="007D5DA9"/>
    <w:rsid w:val="007D629C"/>
    <w:rsid w:val="007D6FDF"/>
    <w:rsid w:val="007D72A0"/>
    <w:rsid w:val="007E35FD"/>
    <w:rsid w:val="007E4365"/>
    <w:rsid w:val="007E4F48"/>
    <w:rsid w:val="007E7ECB"/>
    <w:rsid w:val="007F4CD0"/>
    <w:rsid w:val="007F61C4"/>
    <w:rsid w:val="007F65A0"/>
    <w:rsid w:val="0080710E"/>
    <w:rsid w:val="00811422"/>
    <w:rsid w:val="0081512F"/>
    <w:rsid w:val="0081531E"/>
    <w:rsid w:val="008158B4"/>
    <w:rsid w:val="0082707F"/>
    <w:rsid w:val="00833743"/>
    <w:rsid w:val="00836B28"/>
    <w:rsid w:val="00836F28"/>
    <w:rsid w:val="00837184"/>
    <w:rsid w:val="00843731"/>
    <w:rsid w:val="0084426D"/>
    <w:rsid w:val="008443F9"/>
    <w:rsid w:val="0084637D"/>
    <w:rsid w:val="0084799F"/>
    <w:rsid w:val="00850DEE"/>
    <w:rsid w:val="00870BCF"/>
    <w:rsid w:val="00877E5E"/>
    <w:rsid w:val="0088300F"/>
    <w:rsid w:val="008874BE"/>
    <w:rsid w:val="008942E8"/>
    <w:rsid w:val="008952D2"/>
    <w:rsid w:val="00895C7B"/>
    <w:rsid w:val="0089643B"/>
    <w:rsid w:val="008972EA"/>
    <w:rsid w:val="008A3C08"/>
    <w:rsid w:val="008B36C7"/>
    <w:rsid w:val="008C0B61"/>
    <w:rsid w:val="008C50D0"/>
    <w:rsid w:val="008C5385"/>
    <w:rsid w:val="008C7789"/>
    <w:rsid w:val="008D2224"/>
    <w:rsid w:val="008D3928"/>
    <w:rsid w:val="008D5010"/>
    <w:rsid w:val="008D6C59"/>
    <w:rsid w:val="008E198F"/>
    <w:rsid w:val="008E2913"/>
    <w:rsid w:val="008E2B2F"/>
    <w:rsid w:val="008E44BB"/>
    <w:rsid w:val="008E44EB"/>
    <w:rsid w:val="008E62E8"/>
    <w:rsid w:val="008E6438"/>
    <w:rsid w:val="008E6B36"/>
    <w:rsid w:val="008F0880"/>
    <w:rsid w:val="008F2410"/>
    <w:rsid w:val="008F721A"/>
    <w:rsid w:val="00904445"/>
    <w:rsid w:val="009074AB"/>
    <w:rsid w:val="0091790E"/>
    <w:rsid w:val="00921124"/>
    <w:rsid w:val="00922B0A"/>
    <w:rsid w:val="009303D9"/>
    <w:rsid w:val="00932F6C"/>
    <w:rsid w:val="00945EFC"/>
    <w:rsid w:val="009601C8"/>
    <w:rsid w:val="00964772"/>
    <w:rsid w:val="00971F60"/>
    <w:rsid w:val="00973D16"/>
    <w:rsid w:val="0097612C"/>
    <w:rsid w:val="00976787"/>
    <w:rsid w:val="0097719E"/>
    <w:rsid w:val="009825A4"/>
    <w:rsid w:val="0098592F"/>
    <w:rsid w:val="009A0547"/>
    <w:rsid w:val="009B00A2"/>
    <w:rsid w:val="009B50D1"/>
    <w:rsid w:val="009C0FD6"/>
    <w:rsid w:val="009C1212"/>
    <w:rsid w:val="009C1941"/>
    <w:rsid w:val="009C7A17"/>
    <w:rsid w:val="009D1BCA"/>
    <w:rsid w:val="009D6686"/>
    <w:rsid w:val="009E0972"/>
    <w:rsid w:val="009F1252"/>
    <w:rsid w:val="009F60E8"/>
    <w:rsid w:val="009F7547"/>
    <w:rsid w:val="00A0132F"/>
    <w:rsid w:val="00A03D8E"/>
    <w:rsid w:val="00A07760"/>
    <w:rsid w:val="00A2390F"/>
    <w:rsid w:val="00A23E24"/>
    <w:rsid w:val="00A3178D"/>
    <w:rsid w:val="00A34C75"/>
    <w:rsid w:val="00A4310D"/>
    <w:rsid w:val="00A431DE"/>
    <w:rsid w:val="00A47C33"/>
    <w:rsid w:val="00A6588A"/>
    <w:rsid w:val="00A83C06"/>
    <w:rsid w:val="00A86171"/>
    <w:rsid w:val="00A8685C"/>
    <w:rsid w:val="00A87AD0"/>
    <w:rsid w:val="00A91301"/>
    <w:rsid w:val="00AA4F36"/>
    <w:rsid w:val="00AA502C"/>
    <w:rsid w:val="00AB021A"/>
    <w:rsid w:val="00AB388E"/>
    <w:rsid w:val="00AB5AB3"/>
    <w:rsid w:val="00AD3788"/>
    <w:rsid w:val="00AE2319"/>
    <w:rsid w:val="00AE5734"/>
    <w:rsid w:val="00AE76E3"/>
    <w:rsid w:val="00AF142D"/>
    <w:rsid w:val="00AF50D1"/>
    <w:rsid w:val="00AF67B7"/>
    <w:rsid w:val="00B11822"/>
    <w:rsid w:val="00B23A33"/>
    <w:rsid w:val="00B32535"/>
    <w:rsid w:val="00B351BD"/>
    <w:rsid w:val="00B35A9C"/>
    <w:rsid w:val="00B35C1D"/>
    <w:rsid w:val="00B509CB"/>
    <w:rsid w:val="00B51DFA"/>
    <w:rsid w:val="00B56233"/>
    <w:rsid w:val="00B578DF"/>
    <w:rsid w:val="00B6125E"/>
    <w:rsid w:val="00B73659"/>
    <w:rsid w:val="00B87EDB"/>
    <w:rsid w:val="00B94DBC"/>
    <w:rsid w:val="00BA1BB4"/>
    <w:rsid w:val="00BB1B76"/>
    <w:rsid w:val="00BB6E42"/>
    <w:rsid w:val="00BC0137"/>
    <w:rsid w:val="00BC0D82"/>
    <w:rsid w:val="00BC4A14"/>
    <w:rsid w:val="00BD47EE"/>
    <w:rsid w:val="00BD530B"/>
    <w:rsid w:val="00BD5DAE"/>
    <w:rsid w:val="00BE7E2F"/>
    <w:rsid w:val="00BF02B0"/>
    <w:rsid w:val="00BF482F"/>
    <w:rsid w:val="00BF4952"/>
    <w:rsid w:val="00C070B1"/>
    <w:rsid w:val="00C13E9E"/>
    <w:rsid w:val="00C16653"/>
    <w:rsid w:val="00C25146"/>
    <w:rsid w:val="00C25500"/>
    <w:rsid w:val="00C41A9E"/>
    <w:rsid w:val="00C41F1D"/>
    <w:rsid w:val="00C42A0B"/>
    <w:rsid w:val="00C46ECF"/>
    <w:rsid w:val="00C504A3"/>
    <w:rsid w:val="00C54701"/>
    <w:rsid w:val="00C74AA4"/>
    <w:rsid w:val="00C8084C"/>
    <w:rsid w:val="00C87E09"/>
    <w:rsid w:val="00C90243"/>
    <w:rsid w:val="00C913E7"/>
    <w:rsid w:val="00C91826"/>
    <w:rsid w:val="00C92A37"/>
    <w:rsid w:val="00C95CD5"/>
    <w:rsid w:val="00C97913"/>
    <w:rsid w:val="00CA03EB"/>
    <w:rsid w:val="00CA344A"/>
    <w:rsid w:val="00CA7931"/>
    <w:rsid w:val="00CB4CE5"/>
    <w:rsid w:val="00CB7A1C"/>
    <w:rsid w:val="00CC10F4"/>
    <w:rsid w:val="00CC7DA2"/>
    <w:rsid w:val="00CD39D5"/>
    <w:rsid w:val="00CD3DE4"/>
    <w:rsid w:val="00CD5B2D"/>
    <w:rsid w:val="00CE4374"/>
    <w:rsid w:val="00CF2300"/>
    <w:rsid w:val="00CF280F"/>
    <w:rsid w:val="00D038BB"/>
    <w:rsid w:val="00D05E2E"/>
    <w:rsid w:val="00D067DB"/>
    <w:rsid w:val="00D10F55"/>
    <w:rsid w:val="00D27ACD"/>
    <w:rsid w:val="00D36A48"/>
    <w:rsid w:val="00D3773D"/>
    <w:rsid w:val="00D44403"/>
    <w:rsid w:val="00D46746"/>
    <w:rsid w:val="00D52C28"/>
    <w:rsid w:val="00D5344B"/>
    <w:rsid w:val="00D609AC"/>
    <w:rsid w:val="00D669A7"/>
    <w:rsid w:val="00D73588"/>
    <w:rsid w:val="00D748E4"/>
    <w:rsid w:val="00D7755A"/>
    <w:rsid w:val="00D80C90"/>
    <w:rsid w:val="00D81FA5"/>
    <w:rsid w:val="00D83C5A"/>
    <w:rsid w:val="00D9143E"/>
    <w:rsid w:val="00D9303D"/>
    <w:rsid w:val="00DA14EA"/>
    <w:rsid w:val="00DA2C11"/>
    <w:rsid w:val="00DA3978"/>
    <w:rsid w:val="00DB10A5"/>
    <w:rsid w:val="00DB3396"/>
    <w:rsid w:val="00DB3E97"/>
    <w:rsid w:val="00DC0297"/>
    <w:rsid w:val="00DD0CCD"/>
    <w:rsid w:val="00DD7A66"/>
    <w:rsid w:val="00DE143B"/>
    <w:rsid w:val="00DE6447"/>
    <w:rsid w:val="00DF7C3D"/>
    <w:rsid w:val="00E05D6C"/>
    <w:rsid w:val="00E11F66"/>
    <w:rsid w:val="00E13829"/>
    <w:rsid w:val="00E13DD2"/>
    <w:rsid w:val="00E14A28"/>
    <w:rsid w:val="00E15DAF"/>
    <w:rsid w:val="00E17F3E"/>
    <w:rsid w:val="00E21E07"/>
    <w:rsid w:val="00E25FBD"/>
    <w:rsid w:val="00E26D3D"/>
    <w:rsid w:val="00E33508"/>
    <w:rsid w:val="00E515F5"/>
    <w:rsid w:val="00E54906"/>
    <w:rsid w:val="00E609EA"/>
    <w:rsid w:val="00E61117"/>
    <w:rsid w:val="00E66FFD"/>
    <w:rsid w:val="00E77341"/>
    <w:rsid w:val="00E87362"/>
    <w:rsid w:val="00EA1130"/>
    <w:rsid w:val="00EA28B6"/>
    <w:rsid w:val="00EA67C8"/>
    <w:rsid w:val="00EB39BE"/>
    <w:rsid w:val="00EB436B"/>
    <w:rsid w:val="00EC40A9"/>
    <w:rsid w:val="00EC464B"/>
    <w:rsid w:val="00ED03C4"/>
    <w:rsid w:val="00ED2DE1"/>
    <w:rsid w:val="00ED67C0"/>
    <w:rsid w:val="00ED6D70"/>
    <w:rsid w:val="00EF0508"/>
    <w:rsid w:val="00EF25B1"/>
    <w:rsid w:val="00EF6822"/>
    <w:rsid w:val="00F07165"/>
    <w:rsid w:val="00F10369"/>
    <w:rsid w:val="00F151E6"/>
    <w:rsid w:val="00F23197"/>
    <w:rsid w:val="00F23B94"/>
    <w:rsid w:val="00F2510B"/>
    <w:rsid w:val="00F31857"/>
    <w:rsid w:val="00F32F43"/>
    <w:rsid w:val="00F37C2C"/>
    <w:rsid w:val="00F42515"/>
    <w:rsid w:val="00F42EE2"/>
    <w:rsid w:val="00F44656"/>
    <w:rsid w:val="00F50503"/>
    <w:rsid w:val="00F50A59"/>
    <w:rsid w:val="00F577BE"/>
    <w:rsid w:val="00F60930"/>
    <w:rsid w:val="00F66F23"/>
    <w:rsid w:val="00F70779"/>
    <w:rsid w:val="00F72594"/>
    <w:rsid w:val="00F767DD"/>
    <w:rsid w:val="00F949D2"/>
    <w:rsid w:val="00FA5D5C"/>
    <w:rsid w:val="00FA6C73"/>
    <w:rsid w:val="00FA6EF9"/>
    <w:rsid w:val="00FC3066"/>
    <w:rsid w:val="00FD48EF"/>
    <w:rsid w:val="00FE0AD8"/>
    <w:rsid w:val="00FE3B45"/>
    <w:rsid w:val="00FE4A55"/>
    <w:rsid w:val="00FF2A57"/>
    <w:rsid w:val="00FF5877"/>
    <w:rsid w:val="07F87B62"/>
    <w:rsid w:val="71754744"/>
    <w:rsid w:val="7E7A712F"/>
    <w:rsid w:val="DFEF65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weight="5pt" color="#FFFFFF" linestyle="thickThin"/>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26"/>
    <w:semiHidden/>
    <w:unhideWhenUsed/>
    <w:uiPriority w:val="99"/>
    <w:pPr>
      <w:jc w:val="left"/>
    </w:pPr>
  </w:style>
  <w:style w:type="paragraph" w:styleId="3">
    <w:name w:val="Body Text"/>
    <w:basedOn w:val="1"/>
    <w:link w:val="39"/>
    <w:qFormat/>
    <w:uiPriority w:val="1"/>
    <w:pPr>
      <w:autoSpaceDE w:val="0"/>
      <w:autoSpaceDN w:val="0"/>
      <w:ind w:left="120"/>
      <w:jc w:val="left"/>
    </w:pPr>
    <w:rPr>
      <w:rFonts w:ascii="仿宋" w:hAnsi="仿宋" w:eastAsia="仿宋" w:cs="仿宋"/>
      <w:kern w:val="0"/>
      <w:sz w:val="28"/>
      <w:szCs w:val="28"/>
    </w:rPr>
  </w:style>
  <w:style w:type="paragraph" w:styleId="4">
    <w:name w:val="Date"/>
    <w:basedOn w:val="1"/>
    <w:next w:val="1"/>
    <w:link w:val="37"/>
    <w:semiHidden/>
    <w:unhideWhenUsed/>
    <w:qFormat/>
    <w:uiPriority w:val="99"/>
    <w:pPr>
      <w:ind w:left="100" w:leftChars="2500"/>
    </w:pPr>
  </w:style>
  <w:style w:type="paragraph" w:styleId="5">
    <w:name w:val="Balloon Text"/>
    <w:basedOn w:val="1"/>
    <w:link w:val="28"/>
    <w:semiHidden/>
    <w:unhideWhenUsed/>
    <w:uiPriority w:val="99"/>
    <w:rPr>
      <w:sz w:val="18"/>
      <w:szCs w:val="18"/>
    </w:rPr>
  </w:style>
  <w:style w:type="paragraph" w:styleId="6">
    <w:name w:val="footer"/>
    <w:basedOn w:val="1"/>
    <w:link w:val="17"/>
    <w:unhideWhenUsed/>
    <w:uiPriority w:val="99"/>
    <w:pPr>
      <w:tabs>
        <w:tab w:val="center" w:pos="4153"/>
        <w:tab w:val="right" w:pos="8306"/>
      </w:tabs>
      <w:snapToGrid w:val="0"/>
      <w:jc w:val="left"/>
    </w:pPr>
    <w:rPr>
      <w:sz w:val="18"/>
      <w:szCs w:val="18"/>
    </w:rPr>
  </w:style>
  <w:style w:type="paragraph" w:styleId="7">
    <w:name w:val="header"/>
    <w:basedOn w:val="1"/>
    <w:link w:val="16"/>
    <w:unhideWhenUsed/>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1"/>
    <w:link w:val="38"/>
    <w:qFormat/>
    <w:uiPriority w:val="10"/>
    <w:pPr>
      <w:autoSpaceDE w:val="0"/>
      <w:autoSpaceDN w:val="0"/>
      <w:spacing w:before="39"/>
      <w:ind w:left="835"/>
      <w:jc w:val="left"/>
    </w:pPr>
    <w:rPr>
      <w:rFonts w:ascii="仿宋" w:hAnsi="仿宋" w:eastAsia="仿宋" w:cs="仿宋"/>
      <w:b/>
      <w:bCs/>
      <w:kern w:val="0"/>
      <w:sz w:val="36"/>
      <w:szCs w:val="36"/>
    </w:rPr>
  </w:style>
  <w:style w:type="paragraph" w:styleId="9">
    <w:name w:val="annotation subject"/>
    <w:basedOn w:val="2"/>
    <w:next w:val="2"/>
    <w:link w:val="27"/>
    <w:semiHidden/>
    <w:unhideWhenUsed/>
    <w:uiPriority w:val="99"/>
    <w:rPr>
      <w:b/>
      <w:bCs/>
    </w:rPr>
  </w:style>
  <w:style w:type="table" w:styleId="11">
    <w:name w:val="Table Grid"/>
    <w:basedOn w:val="10"/>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FollowedHyperlink"/>
    <w:basedOn w:val="12"/>
    <w:semiHidden/>
    <w:unhideWhenUsed/>
    <w:uiPriority w:val="99"/>
    <w:rPr>
      <w:color w:val="800080" w:themeColor="followedHyperlink"/>
      <w:u w:val="single"/>
      <w14:textFill>
        <w14:solidFill>
          <w14:schemeClr w14:val="folHlink"/>
        </w14:solidFill>
      </w14:textFill>
    </w:rPr>
  </w:style>
  <w:style w:type="character" w:styleId="14">
    <w:name w:val="Hyperlink"/>
    <w:uiPriority w:val="0"/>
    <w:rPr>
      <w:color w:val="0000FF"/>
      <w:u w:val="single"/>
    </w:rPr>
  </w:style>
  <w:style w:type="character" w:styleId="15">
    <w:name w:val="annotation reference"/>
    <w:basedOn w:val="12"/>
    <w:semiHidden/>
    <w:unhideWhenUsed/>
    <w:qFormat/>
    <w:uiPriority w:val="99"/>
    <w:rPr>
      <w:sz w:val="21"/>
      <w:szCs w:val="21"/>
    </w:rPr>
  </w:style>
  <w:style w:type="character" w:customStyle="1" w:styleId="16">
    <w:name w:val="页眉 字符"/>
    <w:basedOn w:val="12"/>
    <w:link w:val="7"/>
    <w:qFormat/>
    <w:uiPriority w:val="99"/>
    <w:rPr>
      <w:sz w:val="18"/>
      <w:szCs w:val="18"/>
    </w:rPr>
  </w:style>
  <w:style w:type="character" w:customStyle="1" w:styleId="17">
    <w:name w:val="页脚 字符"/>
    <w:basedOn w:val="12"/>
    <w:link w:val="6"/>
    <w:uiPriority w:val="99"/>
    <w:rPr>
      <w:sz w:val="18"/>
      <w:szCs w:val="18"/>
    </w:rPr>
  </w:style>
  <w:style w:type="paragraph" w:styleId="18">
    <w:name w:val="List Paragraph"/>
    <w:basedOn w:val="1"/>
    <w:qFormat/>
    <w:uiPriority w:val="34"/>
    <w:pPr>
      <w:ind w:firstLine="420" w:firstLineChars="200"/>
    </w:pPr>
  </w:style>
  <w:style w:type="table" w:customStyle="1" w:styleId="19">
    <w:name w:val="网格表 4 - 着色 11"/>
    <w:basedOn w:val="10"/>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paragraph" w:customStyle="1" w:styleId="20">
    <w:name w:val="列出段落1"/>
    <w:basedOn w:val="1"/>
    <w:uiPriority w:val="0"/>
    <w:pPr>
      <w:ind w:firstLine="420" w:firstLineChars="200"/>
    </w:pPr>
    <w:rPr>
      <w:rFonts w:ascii="Calibri" w:hAnsi="Calibri" w:eastAsia="宋体" w:cs="黑体"/>
    </w:rPr>
  </w:style>
  <w:style w:type="table" w:customStyle="1" w:styleId="21">
    <w:name w:val="网格表 6 彩色 - 着色 51"/>
    <w:basedOn w:val="10"/>
    <w:uiPriority w:val="51"/>
    <w:rPr>
      <w:color w:val="31859C" w:themeColor="accent5" w:themeShade="BF"/>
    </w:rPr>
    <w:tblPr>
      <w:tblBorders>
        <w:top w:val="single" w:color="92CDDC" w:themeColor="accent5" w:themeTint="99" w:sz="4" w:space="0"/>
        <w:left w:val="single" w:color="92CDDC" w:themeColor="accent5" w:themeTint="99" w:sz="4" w:space="0"/>
        <w:bottom w:val="single" w:color="92CDDC" w:themeColor="accent5" w:themeTint="99" w:sz="4" w:space="0"/>
        <w:right w:val="single" w:color="92CDDC" w:themeColor="accent5" w:themeTint="99" w:sz="4" w:space="0"/>
        <w:insideH w:val="single" w:color="92CDDC" w:themeColor="accent5" w:themeTint="99" w:sz="4" w:space="0"/>
        <w:insideV w:val="single" w:color="92CDDC" w:themeColor="accent5" w:themeTint="99" w:sz="4" w:space="0"/>
      </w:tblBorders>
    </w:tbl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4" w:space="0"/>
        </w:tcBorders>
      </w:tcPr>
    </w:tblStylePr>
    <w:tblStylePr w:type="firstCol">
      <w:rPr>
        <w:b/>
        <w:bCs/>
      </w:rPr>
    </w:tblStylePr>
    <w:tblStylePr w:type="lastCol">
      <w:rPr>
        <w:b/>
        <w:bCs/>
      </w:rPr>
    </w:tblStylePr>
    <w:tblStylePr w:type="band1Vert">
      <w:tcPr>
        <w:shd w:val="clear" w:color="auto" w:fill="DAEEF3" w:themeFill="accent5" w:themeFillTint="33"/>
      </w:tcPr>
    </w:tblStylePr>
    <w:tblStylePr w:type="band1Horz">
      <w:tcPr>
        <w:shd w:val="clear" w:color="auto" w:fill="DAEEF3" w:themeFill="accent5" w:themeFillTint="33"/>
      </w:tcPr>
    </w:tblStylePr>
  </w:style>
  <w:style w:type="table" w:customStyle="1" w:styleId="22">
    <w:name w:val="网格表 6 彩色 - 着色 11"/>
    <w:basedOn w:val="10"/>
    <w:qFormat/>
    <w:uiPriority w:val="51"/>
    <w:rPr>
      <w:color w:val="376092" w:themeColor="accent1" w:themeShade="BF"/>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cPr>
        <w:tcBorders>
          <w:bottom w:val="single" w:color="95B3D7" w:themeColor="accent1" w:themeTint="99" w:sz="12" w:space="0"/>
        </w:tcBorders>
      </w:tcPr>
    </w:tblStylePr>
    <w:tblStylePr w:type="lastRow">
      <w:rPr>
        <w:b/>
        <w:bCs/>
      </w:rPr>
      <w:tcPr>
        <w:tcBorders>
          <w:top w:val="double" w:color="95B3D7" w:themeColor="accent1" w:themeTint="99"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table" w:customStyle="1" w:styleId="23">
    <w:name w:val="网格表 3 - 着色 11"/>
    <w:basedOn w:val="10"/>
    <w:qFormat/>
    <w:uiPriority w:val="48"/>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BE5F1" w:themeFill="accent1" w:themeFillTint="33"/>
      </w:tcPr>
    </w:tblStylePr>
    <w:tblStylePr w:type="band1Horz">
      <w:tcPr>
        <w:shd w:val="clear" w:color="auto" w:fill="DBE5F1" w:themeFill="accent1" w:themeFillTint="33"/>
      </w:tcPr>
    </w:tblStylePr>
    <w:tblStylePr w:type="neCell">
      <w:tcPr>
        <w:tcBorders>
          <w:bottom w:val="single" w:color="95B3D7" w:themeColor="accent1" w:themeTint="99" w:sz="4" w:space="0"/>
        </w:tcBorders>
      </w:tcPr>
    </w:tblStylePr>
    <w:tblStylePr w:type="nwCell">
      <w:tcPr>
        <w:tcBorders>
          <w:bottom w:val="single" w:color="95B3D7" w:themeColor="accent1" w:themeTint="99" w:sz="4" w:space="0"/>
        </w:tcBorders>
      </w:tcPr>
    </w:tblStylePr>
    <w:tblStylePr w:type="seCell">
      <w:tcPr>
        <w:tcBorders>
          <w:top w:val="single" w:color="95B3D7" w:themeColor="accent1" w:themeTint="99" w:sz="4" w:space="0"/>
        </w:tcBorders>
      </w:tcPr>
    </w:tblStylePr>
    <w:tblStylePr w:type="swCell">
      <w:tcPr>
        <w:tcBorders>
          <w:top w:val="single" w:color="95B3D7" w:themeColor="accent1" w:themeTint="99" w:sz="4" w:space="0"/>
        </w:tcBorders>
      </w:tcPr>
    </w:tblStylePr>
  </w:style>
  <w:style w:type="paragraph" w:customStyle="1" w:styleId="24">
    <w:name w:val="K&amp;W Body text"/>
    <w:basedOn w:val="1"/>
    <w:qFormat/>
    <w:uiPriority w:val="0"/>
    <w:pPr>
      <w:widowControl/>
      <w:spacing w:after="280" w:line="240" w:lineRule="atLeast"/>
    </w:pPr>
    <w:rPr>
      <w:rFonts w:ascii="Arial" w:hAnsi="Arial" w:eastAsia="楷体_GB2312" w:cs="Times New Roman"/>
      <w:kern w:val="0"/>
      <w:sz w:val="20"/>
      <w:szCs w:val="20"/>
      <w:lang w:eastAsia="en-US"/>
    </w:rPr>
  </w:style>
  <w:style w:type="paragraph" w:customStyle="1" w:styleId="25">
    <w:name w:val="正常"/>
    <w:uiPriority w:val="99"/>
    <w:pPr>
      <w:widowControl w:val="0"/>
      <w:jc w:val="both"/>
    </w:pPr>
    <w:rPr>
      <w:rFonts w:ascii="宋体" w:hAnsi="宋体" w:eastAsia="宋体" w:cs="Times New Roman"/>
      <w:sz w:val="24"/>
      <w:lang w:val="en-US" w:eastAsia="zh-CN" w:bidi="ar-SA"/>
    </w:rPr>
  </w:style>
  <w:style w:type="character" w:customStyle="1" w:styleId="26">
    <w:name w:val="批注文字 字符"/>
    <w:basedOn w:val="12"/>
    <w:link w:val="2"/>
    <w:semiHidden/>
    <w:qFormat/>
    <w:uiPriority w:val="99"/>
  </w:style>
  <w:style w:type="character" w:customStyle="1" w:styleId="27">
    <w:name w:val="批注主题 字符"/>
    <w:basedOn w:val="26"/>
    <w:link w:val="9"/>
    <w:semiHidden/>
    <w:qFormat/>
    <w:uiPriority w:val="99"/>
    <w:rPr>
      <w:b/>
      <w:bCs/>
    </w:rPr>
  </w:style>
  <w:style w:type="character" w:customStyle="1" w:styleId="28">
    <w:name w:val="批注框文本 字符"/>
    <w:basedOn w:val="12"/>
    <w:link w:val="5"/>
    <w:semiHidden/>
    <w:uiPriority w:val="99"/>
    <w:rPr>
      <w:sz w:val="18"/>
      <w:szCs w:val="18"/>
    </w:rPr>
  </w:style>
  <w:style w:type="table" w:customStyle="1" w:styleId="29">
    <w:name w:val="网格表 3 - 着色 51"/>
    <w:basedOn w:val="10"/>
    <w:uiPriority w:val="48"/>
    <w:tblPr>
      <w:tblBorders>
        <w:top w:val="single" w:color="92CDDC" w:themeColor="accent5" w:themeTint="99" w:sz="4" w:space="0"/>
        <w:left w:val="single" w:color="92CDDC" w:themeColor="accent5" w:themeTint="99" w:sz="4" w:space="0"/>
        <w:bottom w:val="single" w:color="92CDDC" w:themeColor="accent5" w:themeTint="99" w:sz="4" w:space="0"/>
        <w:right w:val="single" w:color="92CDDC" w:themeColor="accent5" w:themeTint="99" w:sz="4" w:space="0"/>
        <w:insideH w:val="single" w:color="92CDDC" w:themeColor="accent5" w:themeTint="99" w:sz="4" w:space="0"/>
        <w:insideV w:val="single" w:color="92CDDC"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AEEF3" w:themeFill="accent5" w:themeFillTint="33"/>
      </w:tcPr>
    </w:tblStylePr>
    <w:tblStylePr w:type="band1Horz">
      <w:tcPr>
        <w:shd w:val="clear" w:color="auto" w:fill="DAEEF3" w:themeFill="accent5" w:themeFillTint="33"/>
      </w:tcPr>
    </w:tblStylePr>
    <w:tblStylePr w:type="neCell">
      <w:tcPr>
        <w:tcBorders>
          <w:bottom w:val="single" w:color="92CDDC" w:themeColor="accent5" w:themeTint="99" w:sz="4" w:space="0"/>
        </w:tcBorders>
      </w:tcPr>
    </w:tblStylePr>
    <w:tblStylePr w:type="nwCell">
      <w:tcPr>
        <w:tcBorders>
          <w:bottom w:val="single" w:color="92CDDC" w:themeColor="accent5" w:themeTint="99" w:sz="4" w:space="0"/>
        </w:tcBorders>
      </w:tcPr>
    </w:tblStylePr>
    <w:tblStylePr w:type="seCell">
      <w:tcPr>
        <w:tcBorders>
          <w:top w:val="single" w:color="92CDDC" w:themeColor="accent5" w:themeTint="99" w:sz="4" w:space="0"/>
        </w:tcBorders>
      </w:tcPr>
    </w:tblStylePr>
    <w:tblStylePr w:type="swCell">
      <w:tcPr>
        <w:tcBorders>
          <w:top w:val="single" w:color="92CDDC" w:themeColor="accent5" w:themeTint="99" w:sz="4" w:space="0"/>
        </w:tcBorders>
      </w:tcPr>
    </w:tblStylePr>
  </w:style>
  <w:style w:type="table" w:customStyle="1" w:styleId="30">
    <w:name w:val="网格表 5 深色 - 着色 11"/>
    <w:basedOn w:val="10"/>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BE5F1"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F81BD"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F81BD"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F81BD"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F81BD" w:themeFill="accent1"/>
      </w:tcPr>
    </w:tblStylePr>
    <w:tblStylePr w:type="band1Vert">
      <w:tcPr>
        <w:shd w:val="clear" w:color="auto" w:fill="B8CCE4" w:themeFill="accent1" w:themeFillTint="66"/>
      </w:tcPr>
    </w:tblStylePr>
    <w:tblStylePr w:type="band1Horz">
      <w:tcPr>
        <w:shd w:val="clear" w:color="auto" w:fill="B8CCE4" w:themeFill="accent1" w:themeFillTint="66"/>
      </w:tcPr>
    </w:tblStylePr>
  </w:style>
  <w:style w:type="paragraph" w:customStyle="1" w:styleId="31">
    <w:name w:val="修订1"/>
    <w:hidden/>
    <w:semiHidden/>
    <w:uiPriority w:val="99"/>
    <w:rPr>
      <w:rFonts w:asciiTheme="minorHAnsi" w:hAnsiTheme="minorHAnsi" w:eastAsiaTheme="minorEastAsia" w:cstheme="minorBidi"/>
      <w:kern w:val="2"/>
      <w:sz w:val="21"/>
      <w:szCs w:val="22"/>
      <w:lang w:val="en-US" w:eastAsia="zh-CN" w:bidi="ar-SA"/>
    </w:rPr>
  </w:style>
  <w:style w:type="table" w:customStyle="1" w:styleId="32">
    <w:name w:val="网格表 6 彩色 - 着色 31"/>
    <w:basedOn w:val="10"/>
    <w:uiPriority w:val="51"/>
    <w:rPr>
      <w:color w:val="77933C" w:themeColor="accent3" w:themeShade="BF"/>
    </w:rPr>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rPr>
      <w:tcPr>
        <w:tcBorders>
          <w:bottom w:val="single" w:color="C2D69B" w:themeColor="accent3" w:themeTint="99" w:sz="12" w:space="0"/>
        </w:tcBorders>
      </w:tcPr>
    </w:tblStylePr>
    <w:tblStylePr w:type="lastRow">
      <w:rPr>
        <w:b/>
        <w:bCs/>
      </w:rPr>
      <w:tcPr>
        <w:tcBorders>
          <w:top w:val="double" w:color="C2D69B" w:themeColor="accent3" w:themeTint="99"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33">
    <w:name w:val="清单表 21"/>
    <w:basedOn w:val="10"/>
    <w:qFormat/>
    <w:uiPriority w:val="47"/>
    <w:tblPr>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4">
    <w:name w:val="网格表 6 彩色1"/>
    <w:basedOn w:val="10"/>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5">
    <w:name w:val="无格式表格 11"/>
    <w:basedOn w:val="10"/>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36">
    <w:name w:val="无格式表格 41"/>
    <w:basedOn w:val="10"/>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37">
    <w:name w:val="日期 字符"/>
    <w:basedOn w:val="12"/>
    <w:link w:val="4"/>
    <w:semiHidden/>
    <w:qFormat/>
    <w:uiPriority w:val="99"/>
  </w:style>
  <w:style w:type="character" w:customStyle="1" w:styleId="38">
    <w:name w:val="标题 字符"/>
    <w:basedOn w:val="12"/>
    <w:link w:val="8"/>
    <w:uiPriority w:val="10"/>
    <w:rPr>
      <w:rFonts w:ascii="仿宋" w:hAnsi="仿宋" w:eastAsia="仿宋" w:cs="仿宋"/>
      <w:b/>
      <w:bCs/>
      <w:sz w:val="36"/>
      <w:szCs w:val="36"/>
    </w:rPr>
  </w:style>
  <w:style w:type="character" w:customStyle="1" w:styleId="39">
    <w:name w:val="正文文本 字符"/>
    <w:basedOn w:val="12"/>
    <w:link w:val="3"/>
    <w:uiPriority w:val="1"/>
    <w:rPr>
      <w:rFonts w:ascii="仿宋" w:hAnsi="仿宋" w:eastAsia="仿宋" w:cs="仿宋"/>
      <w:sz w:val="28"/>
      <w:szCs w:val="28"/>
    </w:rPr>
  </w:style>
  <w:style w:type="paragraph" w:customStyle="1" w:styleId="40">
    <w:name w:val="Revision"/>
    <w:hidden/>
    <w:unhideWhenUsed/>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 &amp; Wood Mallesons</Company>
  <Pages>10</Pages>
  <Words>5242</Words>
  <Characters>5349</Characters>
  <Lines>39</Lines>
  <Paragraphs>11</Paragraphs>
  <TotalTime>75</TotalTime>
  <ScaleCrop>false</ScaleCrop>
  <LinksUpToDate>false</LinksUpToDate>
  <CharactersWithSpaces>5369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2023-09-01T11:18:00Z</dcterms:created>
  <dc:creator>KWM</dc:creator>
  <cp:lastModifiedBy>Jiangyuxin</cp:lastModifiedBy>
  <cp:lastPrinted>2023-03-30T15:33:00Z</cp:lastPrinted>
  <dcterms:modified xsi:type="dcterms:W3CDTF">2024-06-28T06:51:02Z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C380C47CC21043998806F897F54C5E34_12</vt:lpwstr>
  </property>
</Properties>
</file>