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outlineLvl w:val="0"/>
        <w:rPr>
          <w:rFonts w:ascii="宋体" w:hAnsi="宋体"/>
          <w:b/>
          <w:bCs/>
          <w:sz w:val="36"/>
          <w:szCs w:val="36"/>
        </w:rPr>
      </w:pPr>
      <w:r>
        <w:rPr>
          <w:rFonts w:hint="eastAsia" w:ascii="宋体" w:hAnsi="宋体"/>
          <w:b/>
          <w:bCs/>
          <w:sz w:val="36"/>
          <w:szCs w:val="36"/>
        </w:rPr>
        <w:t>大连长瑞汽车销售有限公司</w:t>
      </w:r>
      <w:r>
        <w:rPr>
          <w:rFonts w:hint="eastAsia" w:ascii="宋体" w:hAnsi="宋体"/>
          <w:b/>
          <w:bCs/>
          <w:sz w:val="36"/>
          <w:szCs w:val="36"/>
          <w:lang w:val="en-US" w:eastAsia="zh-CN"/>
        </w:rPr>
        <w:t>破产清算</w:t>
      </w:r>
      <w:r>
        <w:rPr>
          <w:rFonts w:hint="eastAsia" w:ascii="宋体" w:hAnsi="宋体"/>
          <w:b/>
          <w:bCs/>
          <w:sz w:val="36"/>
          <w:szCs w:val="36"/>
        </w:rPr>
        <w:t>案</w:t>
      </w:r>
    </w:p>
    <w:p>
      <w:pPr>
        <w:spacing w:before="100" w:beforeAutospacing="1" w:after="100" w:afterAutospacing="1"/>
        <w:jc w:val="center"/>
        <w:outlineLvl w:val="0"/>
        <w:rPr>
          <w:rFonts w:ascii="宋体" w:hAnsi="宋体"/>
          <w:b/>
          <w:bCs/>
          <w:sz w:val="36"/>
          <w:szCs w:val="36"/>
        </w:rPr>
      </w:pPr>
      <w:r>
        <w:rPr>
          <w:rFonts w:hint="eastAsia" w:ascii="宋体" w:hAnsi="宋体"/>
          <w:b/>
          <w:bCs/>
          <w:sz w:val="36"/>
          <w:szCs w:val="36"/>
        </w:rPr>
        <w:t>债权申报指引</w:t>
      </w:r>
    </w:p>
    <w:p>
      <w:pPr>
        <w:pStyle w:val="3"/>
        <w:adjustRightInd w:val="0"/>
        <w:snapToGrid w:val="0"/>
        <w:ind w:firstLine="0" w:firstLineChars="0"/>
        <w:rPr>
          <w:rFonts w:ascii="仿宋" w:hAnsi="仿宋" w:eastAsia="仿宋" w:cs="宋体"/>
          <w:b/>
          <w:bCs/>
          <w:szCs w:val="28"/>
        </w:rPr>
      </w:pPr>
      <w:r>
        <w:rPr>
          <w:rFonts w:hint="eastAsia" w:ascii="仿宋" w:hAnsi="仿宋" w:eastAsia="仿宋" w:cs="宋体"/>
          <w:b/>
          <w:bCs/>
          <w:szCs w:val="28"/>
        </w:rPr>
        <w:t>尊敬的债权人：</w:t>
      </w:r>
    </w:p>
    <w:p>
      <w:pPr>
        <w:pStyle w:val="3"/>
        <w:adjustRightInd w:val="0"/>
        <w:snapToGrid w:val="0"/>
        <w:rPr>
          <w:rFonts w:hint="eastAsia" w:ascii="仿宋" w:hAnsi="仿宋" w:eastAsia="仿宋" w:cs="宋体"/>
          <w:szCs w:val="28"/>
        </w:rPr>
      </w:pPr>
      <w:r>
        <w:rPr>
          <w:rFonts w:hint="eastAsia" w:ascii="仿宋" w:hAnsi="仿宋" w:eastAsia="仿宋" w:cs="宋体"/>
          <w:szCs w:val="28"/>
          <w:lang w:val="en-US" w:eastAsia="zh-CN"/>
        </w:rPr>
        <w:t>2024</w:t>
      </w:r>
      <w:r>
        <w:rPr>
          <w:rFonts w:hint="eastAsia" w:ascii="仿宋" w:hAnsi="仿宋" w:eastAsia="仿宋" w:cs="宋体"/>
          <w:szCs w:val="28"/>
        </w:rPr>
        <w:t>年</w:t>
      </w:r>
      <w:r>
        <w:rPr>
          <w:rFonts w:hint="eastAsia" w:ascii="仿宋" w:hAnsi="仿宋" w:eastAsia="仿宋" w:cs="宋体"/>
          <w:szCs w:val="28"/>
          <w:lang w:val="en-US" w:eastAsia="zh-CN"/>
        </w:rPr>
        <w:t>4</w:t>
      </w:r>
      <w:r>
        <w:rPr>
          <w:rFonts w:hint="eastAsia" w:ascii="仿宋" w:hAnsi="仿宋" w:eastAsia="仿宋" w:cs="宋体"/>
          <w:szCs w:val="28"/>
        </w:rPr>
        <w:t>月</w:t>
      </w:r>
      <w:r>
        <w:rPr>
          <w:rFonts w:hint="eastAsia" w:ascii="仿宋" w:hAnsi="仿宋" w:eastAsia="仿宋" w:cs="宋体"/>
          <w:szCs w:val="28"/>
          <w:lang w:val="en-US" w:eastAsia="zh-CN"/>
        </w:rPr>
        <w:t>1</w:t>
      </w:r>
      <w:r>
        <w:rPr>
          <w:rFonts w:hint="eastAsia" w:ascii="仿宋" w:hAnsi="仿宋" w:eastAsia="仿宋" w:cs="宋体"/>
          <w:szCs w:val="28"/>
        </w:rPr>
        <w:t>日，大连市</w:t>
      </w:r>
      <w:r>
        <w:rPr>
          <w:rFonts w:hint="eastAsia" w:ascii="仿宋" w:hAnsi="仿宋" w:eastAsia="仿宋" w:cs="宋体"/>
          <w:szCs w:val="28"/>
          <w:lang w:val="en-US" w:eastAsia="zh-CN"/>
        </w:rPr>
        <w:t>甘井子</w:t>
      </w:r>
      <w:r>
        <w:rPr>
          <w:rFonts w:hint="eastAsia" w:ascii="仿宋" w:hAnsi="仿宋" w:eastAsia="仿宋" w:cs="宋体"/>
          <w:szCs w:val="28"/>
        </w:rPr>
        <w:t>区人民法院依法作出</w:t>
      </w:r>
      <w:r>
        <w:rPr>
          <w:rFonts w:hint="eastAsia" w:ascii="仿宋" w:hAnsi="仿宋" w:eastAsia="仿宋" w:cs="宋体"/>
          <w:szCs w:val="28"/>
          <w:lang w:eastAsia="zh-CN"/>
        </w:rPr>
        <w:t>（</w:t>
      </w:r>
      <w:r>
        <w:rPr>
          <w:rFonts w:hint="eastAsia" w:ascii="仿宋" w:hAnsi="仿宋" w:eastAsia="仿宋" w:cs="宋体"/>
          <w:szCs w:val="28"/>
        </w:rPr>
        <w:t>2023</w:t>
      </w:r>
      <w:r>
        <w:rPr>
          <w:rFonts w:hint="eastAsia" w:ascii="仿宋" w:hAnsi="仿宋" w:eastAsia="仿宋" w:cs="宋体"/>
          <w:szCs w:val="28"/>
          <w:lang w:eastAsia="zh-CN"/>
        </w:rPr>
        <w:t>）</w:t>
      </w:r>
      <w:r>
        <w:rPr>
          <w:rFonts w:hint="eastAsia" w:ascii="仿宋" w:hAnsi="仿宋" w:eastAsia="仿宋" w:cs="宋体"/>
          <w:szCs w:val="28"/>
        </w:rPr>
        <w:t>辽0211破申5号《民事裁定书》，裁定受理大连长瑞汽车销售有限公司（以下简称</w:t>
      </w:r>
      <w:r>
        <w:rPr>
          <w:rFonts w:hint="eastAsia" w:ascii="仿宋" w:hAnsi="仿宋" w:eastAsia="仿宋" w:cs="宋体"/>
          <w:szCs w:val="28"/>
          <w:lang w:eastAsia="zh-CN"/>
        </w:rPr>
        <w:t>“</w:t>
      </w:r>
      <w:r>
        <w:rPr>
          <w:rFonts w:hint="eastAsia" w:ascii="仿宋" w:hAnsi="仿宋" w:eastAsia="仿宋" w:cs="宋体"/>
          <w:szCs w:val="28"/>
          <w:lang w:val="en-US" w:eastAsia="zh-CN"/>
        </w:rPr>
        <w:t>公司</w:t>
      </w:r>
      <w:r>
        <w:rPr>
          <w:rFonts w:hint="eastAsia" w:ascii="仿宋" w:hAnsi="仿宋" w:eastAsia="仿宋" w:cs="宋体"/>
          <w:szCs w:val="28"/>
          <w:lang w:eastAsia="zh-CN"/>
        </w:rPr>
        <w:t>”</w:t>
      </w:r>
      <w:r>
        <w:rPr>
          <w:rFonts w:hint="eastAsia" w:ascii="仿宋" w:hAnsi="仿宋" w:eastAsia="仿宋" w:cs="宋体"/>
          <w:szCs w:val="28"/>
          <w:lang w:val="en-US" w:eastAsia="zh-CN"/>
        </w:rPr>
        <w:t>或</w:t>
      </w:r>
      <w:r>
        <w:rPr>
          <w:rFonts w:hint="eastAsia" w:ascii="仿宋" w:hAnsi="仿宋" w:eastAsia="仿宋" w:cs="宋体"/>
          <w:szCs w:val="28"/>
        </w:rPr>
        <w:t>“</w:t>
      </w:r>
      <w:r>
        <w:rPr>
          <w:rFonts w:hint="eastAsia" w:ascii="仿宋" w:hAnsi="仿宋" w:eastAsia="仿宋" w:cs="宋体"/>
          <w:szCs w:val="28"/>
          <w:lang w:val="en-US" w:eastAsia="zh-CN"/>
        </w:rPr>
        <w:t>长瑞汽车</w:t>
      </w:r>
      <w:r>
        <w:rPr>
          <w:rFonts w:hint="eastAsia" w:ascii="仿宋" w:hAnsi="仿宋" w:eastAsia="仿宋" w:cs="宋体"/>
          <w:szCs w:val="28"/>
        </w:rPr>
        <w:t>”）</w:t>
      </w:r>
      <w:r>
        <w:rPr>
          <w:rFonts w:hint="eastAsia" w:ascii="仿宋" w:hAnsi="仿宋" w:eastAsia="仿宋" w:cs="宋体"/>
          <w:szCs w:val="28"/>
          <w:lang w:val="en-US" w:eastAsia="zh-CN"/>
        </w:rPr>
        <w:t>破产清算</w:t>
      </w:r>
      <w:r>
        <w:rPr>
          <w:rFonts w:hint="eastAsia" w:ascii="仿宋" w:hAnsi="仿宋" w:eastAsia="仿宋" w:cs="宋体"/>
          <w:szCs w:val="28"/>
        </w:rPr>
        <w:t>一案，并于</w:t>
      </w:r>
      <w:r>
        <w:rPr>
          <w:rFonts w:hint="eastAsia" w:ascii="仿宋" w:hAnsi="仿宋" w:eastAsia="仿宋" w:cs="宋体"/>
          <w:szCs w:val="28"/>
          <w:lang w:val="en-US" w:eastAsia="zh-CN"/>
        </w:rPr>
        <w:t>2024年6月4日</w:t>
      </w:r>
      <w:r>
        <w:rPr>
          <w:rFonts w:hint="eastAsia" w:ascii="仿宋" w:hAnsi="仿宋" w:eastAsia="仿宋" w:cs="宋体"/>
          <w:szCs w:val="28"/>
        </w:rPr>
        <w:t>作出</w:t>
      </w:r>
      <w:r>
        <w:rPr>
          <w:rFonts w:hint="eastAsia" w:ascii="仿宋" w:hAnsi="仿宋" w:eastAsia="仿宋" w:cs="宋体"/>
          <w:szCs w:val="28"/>
          <w:lang w:eastAsia="zh-CN"/>
        </w:rPr>
        <w:t>（</w:t>
      </w:r>
      <w:r>
        <w:rPr>
          <w:rFonts w:hint="eastAsia" w:ascii="仿宋" w:hAnsi="仿宋" w:eastAsia="仿宋" w:cs="宋体"/>
          <w:szCs w:val="28"/>
        </w:rPr>
        <w:t>2024</w:t>
      </w:r>
      <w:r>
        <w:rPr>
          <w:rFonts w:hint="eastAsia" w:ascii="仿宋" w:hAnsi="仿宋" w:eastAsia="仿宋" w:cs="宋体"/>
          <w:szCs w:val="28"/>
          <w:lang w:eastAsia="zh-CN"/>
        </w:rPr>
        <w:t>）</w:t>
      </w:r>
      <w:r>
        <w:rPr>
          <w:rFonts w:hint="eastAsia" w:ascii="仿宋" w:hAnsi="仿宋" w:eastAsia="仿宋" w:cs="宋体"/>
          <w:szCs w:val="28"/>
        </w:rPr>
        <w:t>辽0211破2号《决定书》，指定辽宁金正德辰清算事务所有限公司为公司管理人（以下简称“管理人”），具体开展</w:t>
      </w:r>
      <w:r>
        <w:rPr>
          <w:rFonts w:hint="eastAsia" w:ascii="仿宋" w:hAnsi="仿宋" w:eastAsia="仿宋" w:cs="宋体"/>
          <w:szCs w:val="28"/>
          <w:lang w:val="en-US" w:eastAsia="zh-CN"/>
        </w:rPr>
        <w:t>破产清算</w:t>
      </w:r>
      <w:r>
        <w:rPr>
          <w:rFonts w:hint="eastAsia" w:ascii="仿宋" w:hAnsi="仿宋" w:eastAsia="仿宋" w:cs="宋体"/>
          <w:szCs w:val="28"/>
        </w:rPr>
        <w:t>各项工作。</w:t>
      </w:r>
    </w:p>
    <w:p>
      <w:pPr>
        <w:pStyle w:val="3"/>
        <w:adjustRightInd w:val="0"/>
        <w:snapToGrid w:val="0"/>
        <w:rPr>
          <w:rFonts w:ascii="仿宋" w:hAnsi="仿宋" w:eastAsia="仿宋" w:cs="宋体"/>
          <w:szCs w:val="28"/>
        </w:rPr>
      </w:pPr>
      <w:r>
        <w:rPr>
          <w:rFonts w:hint="eastAsia" w:ascii="仿宋" w:hAnsi="仿宋" w:eastAsia="仿宋" w:cs="宋体"/>
          <w:szCs w:val="28"/>
        </w:rPr>
        <w:t>为明确债权申报有关事项，保证</w:t>
      </w:r>
      <w:r>
        <w:rPr>
          <w:rFonts w:hint="eastAsia" w:ascii="仿宋" w:hAnsi="仿宋" w:eastAsia="仿宋" w:cs="宋体"/>
          <w:szCs w:val="28"/>
          <w:lang w:val="en-US" w:eastAsia="zh-CN"/>
        </w:rPr>
        <w:t>长瑞汽车</w:t>
      </w:r>
      <w:r>
        <w:rPr>
          <w:rFonts w:hint="eastAsia" w:ascii="仿宋" w:hAnsi="仿宋" w:eastAsia="仿宋" w:cs="宋体"/>
          <w:szCs w:val="28"/>
        </w:rPr>
        <w:t>债权申报登记工作合法、有序进行，现根据有关法律法规之规定，管理人就债权申报事宜作如下指引：</w:t>
      </w:r>
    </w:p>
    <w:p>
      <w:pPr>
        <w:pStyle w:val="3"/>
        <w:adjustRightInd w:val="0"/>
        <w:snapToGrid w:val="0"/>
        <w:ind w:firstLine="562"/>
        <w:rPr>
          <w:rFonts w:ascii="仿宋" w:hAnsi="仿宋" w:eastAsia="仿宋"/>
          <w:b/>
          <w:szCs w:val="28"/>
        </w:rPr>
      </w:pPr>
      <w:r>
        <w:rPr>
          <w:rFonts w:hint="eastAsia" w:ascii="仿宋" w:hAnsi="仿宋" w:eastAsia="仿宋"/>
          <w:b/>
          <w:szCs w:val="28"/>
        </w:rPr>
        <w:t>一、债权申报主体</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对</w:t>
      </w:r>
      <w:r>
        <w:rPr>
          <w:rFonts w:hint="eastAsia" w:ascii="仿宋" w:hAnsi="仿宋" w:eastAsia="仿宋" w:cs="宋体"/>
          <w:sz w:val="28"/>
          <w:szCs w:val="28"/>
          <w:lang w:eastAsia="zh-CN"/>
        </w:rPr>
        <w:t>长瑞汽车</w:t>
      </w:r>
      <w:r>
        <w:rPr>
          <w:rFonts w:hint="eastAsia" w:ascii="仿宋" w:hAnsi="仿宋" w:eastAsia="仿宋"/>
          <w:sz w:val="28"/>
          <w:szCs w:val="28"/>
        </w:rPr>
        <w:t>享有到期或未到期债权的自然人、法人或其他组织，均可申报债权。</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债权人为法人或其他组织的债权（下称“机构债权”）；债权人为自然人的债权（下称“个人债权”）。该区分仅为表述方便，不影响权利的性质和效力。</w:t>
      </w:r>
    </w:p>
    <w:p>
      <w:pPr>
        <w:adjustRightInd w:val="0"/>
        <w:snapToGrid w:val="0"/>
        <w:spacing w:line="360" w:lineRule="auto"/>
        <w:ind w:firstLine="562" w:firstLineChars="200"/>
        <w:rPr>
          <w:rFonts w:ascii="仿宋" w:hAnsi="仿宋" w:eastAsia="仿宋"/>
          <w:bCs/>
          <w:sz w:val="28"/>
          <w:szCs w:val="28"/>
        </w:rPr>
      </w:pPr>
      <w:r>
        <w:rPr>
          <w:rFonts w:hint="eastAsia" w:ascii="仿宋" w:hAnsi="仿宋" w:eastAsia="仿宋"/>
          <w:b/>
          <w:bCs/>
          <w:sz w:val="28"/>
          <w:szCs w:val="28"/>
        </w:rPr>
        <w:t>二、债权人申报债权应提交的材料</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（一）《债权申报登记表》《债权申报书》《债权申报材料清单》</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1．《债权申报登记表》</w:t>
      </w:r>
      <w:r>
        <w:rPr>
          <w:rFonts w:hint="eastAsia" w:ascii="仿宋" w:hAnsi="仿宋" w:eastAsia="仿宋"/>
          <w:sz w:val="28"/>
          <w:szCs w:val="28"/>
          <w:lang w:eastAsia="zh-CN"/>
        </w:rPr>
        <w:t>（</w:t>
      </w:r>
      <w:r>
        <w:rPr>
          <w:rFonts w:hint="eastAsia" w:ascii="仿宋" w:hAnsi="仿宋" w:eastAsia="仿宋"/>
          <w:sz w:val="28"/>
          <w:szCs w:val="28"/>
        </w:rPr>
        <w:t>见附件一</w:t>
      </w:r>
      <w:r>
        <w:rPr>
          <w:rFonts w:hint="eastAsia" w:ascii="仿宋" w:hAnsi="仿宋" w:eastAsia="仿宋"/>
          <w:sz w:val="28"/>
          <w:szCs w:val="28"/>
          <w:lang w:eastAsia="zh-CN"/>
        </w:rPr>
        <w:t>）</w:t>
      </w:r>
      <w:r>
        <w:rPr>
          <w:rFonts w:hint="eastAsia" w:ascii="仿宋" w:hAnsi="仿宋" w:eastAsia="仿宋"/>
          <w:sz w:val="28"/>
          <w:szCs w:val="28"/>
        </w:rPr>
        <w:t>。债权人应真实、准确、完整填写《债权申报登记表》，填写基本信息、联系方式、申报债权金额、是否存在担保以及诉讼、仲裁等情况。以上信息如有虚假，债权人将自行承担由此产生的一切法律后果。</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2．《债权申报书》</w:t>
      </w:r>
      <w:r>
        <w:rPr>
          <w:rFonts w:hint="eastAsia" w:ascii="仿宋" w:hAnsi="仿宋" w:eastAsia="仿宋"/>
          <w:sz w:val="28"/>
          <w:szCs w:val="28"/>
          <w:lang w:eastAsia="zh-CN"/>
        </w:rPr>
        <w:t>（</w:t>
      </w:r>
      <w:r>
        <w:rPr>
          <w:rFonts w:hint="eastAsia" w:ascii="仿宋" w:hAnsi="仿宋" w:eastAsia="仿宋"/>
          <w:sz w:val="28"/>
          <w:szCs w:val="28"/>
        </w:rPr>
        <w:t>见附件二</w:t>
      </w:r>
      <w:r>
        <w:rPr>
          <w:rFonts w:hint="eastAsia" w:ascii="仿宋" w:hAnsi="仿宋" w:eastAsia="仿宋"/>
          <w:sz w:val="28"/>
          <w:szCs w:val="28"/>
          <w:lang w:eastAsia="zh-CN"/>
        </w:rPr>
        <w:t>）</w:t>
      </w:r>
      <w:r>
        <w:rPr>
          <w:rFonts w:hint="eastAsia" w:ascii="仿宋" w:hAnsi="仿宋" w:eastAsia="仿宋"/>
          <w:sz w:val="28"/>
          <w:szCs w:val="28"/>
        </w:rPr>
        <w:t>须写明申报的债权金额、形成原因、经过、有无财产担保等相关事项。机构债权人应在债权申报书上由法定代表人（负责人）签字并加盖债权人公章，个人债权人应在债权申报书上由本人签字并捺手印。</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3．《债权申报登记表》和《债权申报书》上记载的信息应当</w:t>
      </w:r>
      <w:r>
        <w:rPr>
          <w:rFonts w:hint="eastAsia" w:ascii="仿宋" w:hAnsi="仿宋" w:eastAsia="仿宋"/>
          <w:b/>
          <w:bCs/>
          <w:sz w:val="28"/>
          <w:szCs w:val="28"/>
        </w:rPr>
        <w:t>保持一致</w:t>
      </w:r>
      <w:r>
        <w:rPr>
          <w:rFonts w:hint="eastAsia" w:ascii="仿宋" w:hAnsi="仿宋" w:eastAsia="仿宋"/>
          <w:sz w:val="28"/>
          <w:szCs w:val="28"/>
        </w:rPr>
        <w:t>。</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4．《债权申报材料清单》（见附件三）请按序填写提交的书面材料名称，并注明份数。</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（二）证明债权人主体资格的材料</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1．债权人为机构的，应提供如下材料：</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（1）有效的企业法人营业执照或事业单位、社会团体等非营利法人或非法人组织的登记证书或其他合法证明书等副本复印件（加盖单位公章）；</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（2）法定代表人或负责人身份证明书原件（见附件四）；</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（3）法定代表人（负责人）身份证等个人有效证件的复印件。</w:t>
      </w:r>
    </w:p>
    <w:p>
      <w:pPr>
        <w:adjustRightInd w:val="0"/>
        <w:snapToGrid w:val="0"/>
        <w:spacing w:line="360" w:lineRule="auto"/>
        <w:ind w:firstLine="562" w:firstLineChars="200"/>
        <w:rPr>
          <w:rFonts w:ascii="仿宋" w:hAnsi="仿宋" w:eastAsia="仿宋"/>
          <w:b/>
          <w:bCs/>
          <w:sz w:val="28"/>
          <w:szCs w:val="28"/>
        </w:rPr>
      </w:pPr>
      <w:r>
        <w:rPr>
          <w:rFonts w:hint="eastAsia" w:ascii="仿宋" w:hAnsi="仿宋" w:eastAsia="仿宋"/>
          <w:b/>
          <w:bCs/>
          <w:sz w:val="28"/>
          <w:szCs w:val="28"/>
        </w:rPr>
        <w:t>机构债权人与</w:t>
      </w:r>
      <w:r>
        <w:rPr>
          <w:rFonts w:hint="eastAsia" w:ascii="仿宋" w:hAnsi="仿宋" w:eastAsia="仿宋"/>
          <w:b/>
          <w:bCs/>
          <w:sz w:val="28"/>
          <w:szCs w:val="28"/>
          <w:lang w:eastAsia="zh-CN"/>
        </w:rPr>
        <w:t>长瑞汽车</w:t>
      </w:r>
      <w:r>
        <w:rPr>
          <w:rFonts w:hint="eastAsia" w:ascii="仿宋" w:hAnsi="仿宋" w:eastAsia="仿宋"/>
          <w:b/>
          <w:bCs/>
          <w:sz w:val="28"/>
          <w:szCs w:val="28"/>
        </w:rPr>
        <w:t>发生债权债务后名称发生变更的，还应提交市场监督管理机构或其他登记机关出具的名称变更证明复印件（加盖公章）。</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2．个人债权人须提交的材料：债权人身份证等个人有效证件复印件（须本人在身份证正反面复印在一张纸上，并在复印件上签字并</w:t>
      </w:r>
      <w:r>
        <w:rPr>
          <w:rFonts w:hint="eastAsia" w:ascii="仿宋" w:hAnsi="仿宋" w:eastAsia="仿宋" w:cs="宋体"/>
          <w:sz w:val="28"/>
          <w:szCs w:val="28"/>
        </w:rPr>
        <w:t>捺手印）</w:t>
      </w:r>
      <w:r>
        <w:rPr>
          <w:rFonts w:hint="eastAsia" w:ascii="仿宋" w:hAnsi="仿宋" w:eastAsia="仿宋"/>
          <w:sz w:val="28"/>
          <w:szCs w:val="28"/>
        </w:rPr>
        <w:t>。</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3．债权人委托代理人申报债权，代理人须符合《民事诉讼法》关于诉讼代理人的相关规定，债权人不得委托无民事行为能力人、限制民事行为能力人以及其他依法不能作为诉讼代理人的人员作为其申报债权的代理人。委托代理人申报时，除了提供上述材料外，还需提交如下资料：</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机构债权人委托公民个人代理申报债权的，代理人须为与债权人有合法劳动人事关系的职工，可以债权人工作人员的名义代理。机构债权人须提交的材料：法定代表人或负责人的授权委托书原件（附件五），授权委托书由法定代表人或负责人签字并加盖公章，代理人的身份证等个人有效证件复印件，代理人与债权人签署的劳动合同等合法劳动人事关系的证明材料；</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个人债权人委托公民个人代理申报债权的，代理人须为与债权人有夫妻、直系血亲、三代以内旁系血亲、近姻亲关系以及其他有抚养、赡养关系的亲属，可以债权人近亲属的名义代理。个人债权人须提交的材料：债权人本人亲笔签署的授权委托书原件（见附件五），代理人的身份证等个人有效证件复印件，代理人与债权人有近亲属关系的证明材料，如结婚证、公安机关出具的近亲属证明、债权人所在社区出具的推荐亲属代理证明等；</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3</w:t>
      </w:r>
      <w:r>
        <w:rPr>
          <w:rFonts w:hint="eastAsia" w:ascii="仿宋" w:hAnsi="仿宋" w:eastAsia="仿宋"/>
          <w:sz w:val="28"/>
          <w:szCs w:val="28"/>
        </w:rPr>
        <w:t>）债权人委托的代理人是律师的，应提交其所在律师事务所的所函原件及律师执业证复印件。</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提示</w:t>
      </w:r>
      <w:r>
        <w:rPr>
          <w:rFonts w:hint="eastAsia" w:ascii="仿宋" w:hAnsi="仿宋" w:eastAsia="仿宋"/>
          <w:sz w:val="28"/>
          <w:szCs w:val="28"/>
        </w:rPr>
        <w:t>：</w:t>
      </w:r>
      <w:r>
        <w:rPr>
          <w:rFonts w:hint="eastAsia" w:ascii="仿宋" w:hAnsi="仿宋" w:eastAsia="仿宋"/>
          <w:b/>
          <w:sz w:val="28"/>
          <w:szCs w:val="28"/>
        </w:rPr>
        <w:t>在提交上述证明债权人主体资格的文件同时，债权人还须提交《债权人送达地址确认书》（见附件六）及《债权人银行账户信息》（见附件七），并准确填写有效的联系方式和送达地址（各项联系方式均为必填项目），如债权人提供的联系方式和送达地址不真实、不准确或者发生变更未及时通知管理人，则管理人按债权人所提供的送达地址邮寄或者送交的文件和/或按照债权人所提供的联系方式发出的通知，视为正式送达和通知。</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（三）证明债权成立及其金额的材料</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债权人申报债权应提交能够证明债权成立的全部书面材料，包括但不限于：</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1．各类合同书及票据、划账单等履行凭证。</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2．债权如有担保的，还须提交抵押合同、质押合同、保证合同及相关的登记证件等担保材料。</w:t>
      </w:r>
    </w:p>
    <w:p>
      <w:pPr>
        <w:adjustRightInd w:val="0"/>
        <w:snapToGrid w:val="0"/>
        <w:spacing w:line="360" w:lineRule="auto"/>
        <w:ind w:firstLine="560" w:firstLineChars="200"/>
        <w:rPr>
          <w:rFonts w:ascii="仿宋" w:hAnsi="仿宋" w:eastAsia="仿宋"/>
          <w:b/>
          <w:bCs/>
          <w:sz w:val="28"/>
          <w:szCs w:val="28"/>
        </w:rPr>
      </w:pPr>
      <w:r>
        <w:rPr>
          <w:rFonts w:hint="eastAsia" w:ascii="仿宋" w:hAnsi="仿宋" w:eastAsia="仿宋"/>
          <w:sz w:val="28"/>
          <w:szCs w:val="28"/>
        </w:rPr>
        <w:t>3．债权如有生效法律文书支持的，须提交该生效法律文书</w:t>
      </w:r>
      <w:r>
        <w:rPr>
          <w:rFonts w:hint="eastAsia" w:ascii="仿宋" w:hAnsi="仿宋" w:eastAsia="仿宋"/>
          <w:b/>
          <w:bCs/>
          <w:sz w:val="28"/>
          <w:szCs w:val="28"/>
        </w:rPr>
        <w:t>，法院出具的生效法律文书应加盖法律文书生效章，表明该法律文书生效日期，</w:t>
      </w:r>
      <w:r>
        <w:rPr>
          <w:rFonts w:hint="eastAsia" w:ascii="仿宋" w:hAnsi="仿宋" w:eastAsia="仿宋"/>
          <w:sz w:val="28"/>
          <w:szCs w:val="28"/>
        </w:rPr>
        <w:t>如果经过两级法院审理，一、二审法院的法律文书皆需提供；仲裁机关出具的生效法律文书应附上仲裁机关关于法律文书已经生效的函件或双方当事人已签收的送达回执；行政机关出具的生效行政法律文书应附上当事人已签收的送达回执以及证据材料。</w:t>
      </w:r>
      <w:r>
        <w:rPr>
          <w:rFonts w:hint="eastAsia" w:ascii="仿宋" w:hAnsi="仿宋" w:eastAsia="仿宋"/>
          <w:b/>
          <w:bCs/>
          <w:sz w:val="28"/>
          <w:szCs w:val="28"/>
        </w:rPr>
        <w:t>如已申请人民法院强制执行的，还须提交人民法院执行立案通知书、中止执行裁定书等相关文件。</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4．申报人在诉讼或仲裁程序中申请财产保全的，须提交人民法院作出的保全裁定书等相关文件。</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5．能够证明债权发生、变更、存续、诉讼时效中止、中断、延长及债权金额的其他材料。</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6．债权如有偿还或其他抵债情形的，则须提供偿债凭证、协议或以物抵债协议等。如该等偿债或以物抵债是由执行法院裁定认可的，须同时提交裁定书。</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7．申报的债权涉及利息的，根据《中华人民共和国企业破产法》第四十六条第二款之规定，利息计算至大连市</w:t>
      </w:r>
      <w:r>
        <w:rPr>
          <w:rFonts w:hint="eastAsia" w:ascii="仿宋" w:hAnsi="仿宋" w:eastAsia="仿宋"/>
          <w:sz w:val="28"/>
          <w:szCs w:val="28"/>
          <w:lang w:val="en-US" w:eastAsia="zh-CN"/>
        </w:rPr>
        <w:t>甘井子区</w:t>
      </w:r>
      <w:r>
        <w:rPr>
          <w:rFonts w:hint="eastAsia" w:ascii="仿宋" w:hAnsi="仿宋" w:eastAsia="仿宋"/>
          <w:sz w:val="28"/>
          <w:szCs w:val="28"/>
        </w:rPr>
        <w:t>人民法院裁定受理</w:t>
      </w:r>
      <w:r>
        <w:rPr>
          <w:rFonts w:hint="eastAsia" w:ascii="仿宋" w:hAnsi="仿宋" w:eastAsia="仿宋"/>
          <w:sz w:val="28"/>
          <w:szCs w:val="28"/>
          <w:lang w:eastAsia="zh-CN"/>
        </w:rPr>
        <w:t>长瑞汽车</w:t>
      </w:r>
      <w:r>
        <w:rPr>
          <w:rFonts w:hint="eastAsia" w:ascii="仿宋" w:hAnsi="仿宋" w:eastAsia="仿宋"/>
          <w:sz w:val="28"/>
          <w:szCs w:val="28"/>
          <w:lang w:val="en-US" w:eastAsia="zh-CN"/>
        </w:rPr>
        <w:t>破产清算</w:t>
      </w:r>
      <w:r>
        <w:rPr>
          <w:rFonts w:hint="eastAsia" w:ascii="仿宋" w:hAnsi="仿宋" w:eastAsia="仿宋"/>
          <w:sz w:val="28"/>
          <w:szCs w:val="28"/>
        </w:rPr>
        <w:t>之日，即</w:t>
      </w:r>
      <w:r>
        <w:rPr>
          <w:rFonts w:hint="eastAsia" w:ascii="仿宋" w:hAnsi="仿宋" w:eastAsia="仿宋"/>
          <w:sz w:val="28"/>
          <w:szCs w:val="28"/>
          <w:lang w:val="en-US" w:eastAsia="zh-CN"/>
        </w:rPr>
        <w:t>2024</w:t>
      </w:r>
      <w:r>
        <w:rPr>
          <w:rFonts w:hint="eastAsia" w:ascii="仿宋" w:hAnsi="仿宋" w:eastAsia="仿宋"/>
          <w:sz w:val="28"/>
          <w:szCs w:val="28"/>
        </w:rPr>
        <w:t>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1</w:t>
      </w:r>
      <w:r>
        <w:rPr>
          <w:rFonts w:hint="eastAsia" w:ascii="仿宋" w:hAnsi="仿宋" w:eastAsia="仿宋"/>
          <w:sz w:val="28"/>
          <w:szCs w:val="28"/>
        </w:rPr>
        <w:t>日。</w:t>
      </w:r>
      <w:r>
        <w:rPr>
          <w:rFonts w:hint="eastAsia" w:ascii="仿宋" w:hAnsi="仿宋" w:eastAsia="仿宋"/>
          <w:bCs/>
          <w:sz w:val="28"/>
          <w:szCs w:val="28"/>
        </w:rPr>
        <w:t>申报人应提供利息计算表</w:t>
      </w:r>
      <w:r>
        <w:rPr>
          <w:rFonts w:hint="eastAsia" w:ascii="仿宋" w:hAnsi="仿宋" w:eastAsia="仿宋"/>
          <w:sz w:val="28"/>
          <w:szCs w:val="28"/>
        </w:rPr>
        <w:t>，说明利息的计算依据、计算方法和计算结果。</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8．其他能够证明债权成立的证据。</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以上材料，请按照证据材料的形成时间先后排序。</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提示：债权人提交上述资料同时，还须在《债权申报材料清单》（见附件四）中列明。</w:t>
      </w:r>
    </w:p>
    <w:p>
      <w:pPr>
        <w:adjustRightInd w:val="0"/>
        <w:snapToGrid w:val="0"/>
        <w:spacing w:line="360" w:lineRule="auto"/>
        <w:ind w:firstLine="562" w:firstLineChars="200"/>
        <w:rPr>
          <w:rFonts w:ascii="仿宋" w:hAnsi="仿宋" w:eastAsia="仿宋"/>
          <w:bCs/>
          <w:sz w:val="28"/>
          <w:szCs w:val="28"/>
        </w:rPr>
      </w:pPr>
      <w:r>
        <w:rPr>
          <w:rFonts w:hint="eastAsia" w:ascii="仿宋" w:hAnsi="仿宋" w:eastAsia="仿宋"/>
          <w:b/>
          <w:sz w:val="28"/>
          <w:szCs w:val="28"/>
        </w:rPr>
        <w:t>（四）《债权人承诺书》。</w:t>
      </w:r>
      <w:r>
        <w:rPr>
          <w:rFonts w:hint="eastAsia" w:ascii="仿宋" w:hAnsi="仿宋" w:eastAsia="仿宋"/>
          <w:bCs/>
          <w:sz w:val="28"/>
          <w:szCs w:val="28"/>
        </w:rPr>
        <w:t>为保证债权申报工作的严肃性，请各位债权人提交书面的《债权人承诺书》（附件八），承诺提交的全部材料真实、准确、合法、有效，承诺所有复印件已与原件核对无异，否则由此导致的一切法律后果自行承担。</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（五）债权人提交资料的要求</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1．债权人提交的所有材料应一式</w:t>
      </w:r>
      <w:r>
        <w:rPr>
          <w:rFonts w:hint="eastAsia" w:ascii="仿宋" w:hAnsi="仿宋" w:eastAsia="仿宋"/>
          <w:b/>
          <w:bCs/>
          <w:sz w:val="28"/>
          <w:szCs w:val="28"/>
        </w:rPr>
        <w:t>贰</w:t>
      </w:r>
      <w:r>
        <w:rPr>
          <w:rFonts w:hint="eastAsia" w:ascii="仿宋" w:hAnsi="仿宋" w:eastAsia="仿宋"/>
          <w:sz w:val="28"/>
          <w:szCs w:val="28"/>
        </w:rPr>
        <w:t>份。</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2．债权人对</w:t>
      </w:r>
      <w:r>
        <w:rPr>
          <w:rFonts w:hint="eastAsia" w:ascii="仿宋" w:hAnsi="仿宋" w:eastAsia="仿宋" w:cs="宋体"/>
          <w:sz w:val="28"/>
          <w:szCs w:val="28"/>
          <w:lang w:eastAsia="zh-CN"/>
        </w:rPr>
        <w:t>长瑞汽车</w:t>
      </w:r>
      <w:r>
        <w:rPr>
          <w:rFonts w:hint="eastAsia" w:ascii="仿宋" w:hAnsi="仿宋" w:eastAsia="仿宋"/>
          <w:sz w:val="28"/>
          <w:szCs w:val="28"/>
        </w:rPr>
        <w:t>享有多笔债权的，应分别提交申报材料（证明债权申报人主体资格的材料除外）。</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3．债权申报登记表、债权申报书、送达地址确认书、债权申报材料清单、法定代表人身份证明书、授权委托书等《大连长瑞汽车销售有限公司</w:t>
      </w:r>
      <w:r>
        <w:rPr>
          <w:rFonts w:hint="eastAsia" w:ascii="仿宋" w:hAnsi="仿宋" w:eastAsia="仿宋"/>
          <w:sz w:val="28"/>
          <w:szCs w:val="28"/>
          <w:lang w:val="en-US" w:eastAsia="zh-CN"/>
        </w:rPr>
        <w:t>破产</w:t>
      </w:r>
      <w:r>
        <w:rPr>
          <w:rFonts w:hint="eastAsia" w:ascii="仿宋" w:hAnsi="仿宋" w:eastAsia="仿宋"/>
          <w:sz w:val="28"/>
          <w:szCs w:val="28"/>
        </w:rPr>
        <w:t>清算案债权申报指引》特别指明为原件的，须提交原件，其他材料可以提交复印件。</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4、对于债权人提交的资料，债权人为机构的，须在材料上加盖债权单位印章；债权人为自然人的，由债权人本人或代理人在材料上签字并捺印。</w:t>
      </w:r>
    </w:p>
    <w:p>
      <w:pPr>
        <w:adjustRightInd w:val="0"/>
        <w:snapToGrid w:val="0"/>
        <w:spacing w:line="360" w:lineRule="auto"/>
        <w:ind w:firstLine="560" w:firstLineChars="200"/>
        <w:rPr>
          <w:rFonts w:ascii="仿宋" w:hAnsi="仿宋" w:eastAsia="仿宋"/>
          <w:bCs/>
          <w:sz w:val="28"/>
          <w:szCs w:val="28"/>
        </w:rPr>
      </w:pPr>
      <w:r>
        <w:rPr>
          <w:rFonts w:hint="eastAsia" w:ascii="仿宋" w:hAnsi="仿宋" w:eastAsia="仿宋"/>
          <w:bCs/>
          <w:sz w:val="28"/>
          <w:szCs w:val="28"/>
        </w:rPr>
        <w:t>5．如债权人为境外或属境外企业（包括注册地为台湾、香港、澳门），债权人提交的所有资料均需经过有公证资质的公证机构进行公证，以证明债权人主体资格，和依法设立、变更、终止法律关系的行为以及有法律意义的事实和文书等的真实性和合法性。另，债权人提交的所有资料均需提供有翻译资质的翻译机构作出的中文译本。</w:t>
      </w:r>
    </w:p>
    <w:p>
      <w:pPr>
        <w:adjustRightInd w:val="0"/>
        <w:snapToGrid w:val="0"/>
        <w:spacing w:line="360" w:lineRule="auto"/>
        <w:ind w:firstLine="560" w:firstLineChars="200"/>
        <w:rPr>
          <w:rFonts w:ascii="仿宋" w:hAnsi="仿宋" w:eastAsia="仿宋"/>
          <w:bCs/>
          <w:sz w:val="28"/>
          <w:szCs w:val="28"/>
        </w:rPr>
      </w:pPr>
      <w:r>
        <w:rPr>
          <w:rFonts w:hint="eastAsia" w:ascii="仿宋" w:hAnsi="仿宋" w:eastAsia="仿宋"/>
          <w:bCs/>
          <w:sz w:val="28"/>
          <w:szCs w:val="28"/>
        </w:rPr>
        <w:t>以下为部分国家、地区公证认证程序，仅供参考：</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（1）国外的公证认证程序</w:t>
      </w:r>
    </w:p>
    <w:p>
      <w:pPr>
        <w:adjustRightInd w:val="0"/>
        <w:snapToGrid w:val="0"/>
        <w:spacing w:line="360" w:lineRule="auto"/>
        <w:ind w:firstLine="840" w:firstLineChars="300"/>
        <w:rPr>
          <w:rFonts w:hint="eastAsia" w:ascii="仿宋" w:hAnsi="仿宋" w:eastAsia="仿宋"/>
          <w:sz w:val="28"/>
          <w:szCs w:val="28"/>
        </w:rPr>
      </w:pPr>
      <w:r>
        <w:rPr>
          <w:rFonts w:hint="eastAsia" w:ascii="仿宋" w:hAnsi="仿宋" w:eastAsia="仿宋"/>
          <w:sz w:val="28"/>
          <w:szCs w:val="28"/>
        </w:rPr>
        <w:t>a.将需进行公证的材料送该国外交部进行认证；</w:t>
      </w:r>
    </w:p>
    <w:p>
      <w:pPr>
        <w:adjustRightInd w:val="0"/>
        <w:snapToGrid w:val="0"/>
        <w:spacing w:line="360" w:lineRule="auto"/>
        <w:ind w:firstLine="840" w:firstLineChars="300"/>
        <w:rPr>
          <w:rFonts w:hint="eastAsia" w:ascii="仿宋" w:hAnsi="仿宋" w:eastAsia="仿宋"/>
          <w:sz w:val="28"/>
          <w:szCs w:val="28"/>
        </w:rPr>
      </w:pPr>
      <w:r>
        <w:rPr>
          <w:rFonts w:hint="eastAsia" w:ascii="仿宋" w:hAnsi="仿宋" w:eastAsia="仿宋"/>
          <w:sz w:val="28"/>
          <w:szCs w:val="28"/>
          <w:lang w:eastAsia="zh-Hans"/>
        </w:rPr>
        <w:t>b.</w:t>
      </w:r>
      <w:r>
        <w:rPr>
          <w:rFonts w:hint="eastAsia" w:ascii="仿宋" w:hAnsi="仿宋" w:eastAsia="仿宋"/>
          <w:sz w:val="28"/>
          <w:szCs w:val="28"/>
        </w:rPr>
        <w:t>将经过该国外外交部门认证的材料送中国驻该国使领馆进行认证；</w:t>
      </w:r>
    </w:p>
    <w:p>
      <w:pPr>
        <w:adjustRightInd w:val="0"/>
        <w:snapToGrid w:val="0"/>
        <w:spacing w:line="360" w:lineRule="auto"/>
        <w:ind w:firstLine="840" w:firstLineChars="300"/>
        <w:rPr>
          <w:rFonts w:ascii="仿宋" w:hAnsi="仿宋" w:eastAsia="仿宋"/>
          <w:sz w:val="28"/>
          <w:szCs w:val="28"/>
        </w:rPr>
      </w:pPr>
      <w:r>
        <w:rPr>
          <w:rFonts w:hint="eastAsia" w:ascii="仿宋" w:hAnsi="仿宋" w:eastAsia="仿宋"/>
          <w:sz w:val="28"/>
          <w:szCs w:val="28"/>
        </w:rPr>
        <w:t>c.将认证过的法律文书拿回国内使用。</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（2）香港地区的公证认证</w:t>
      </w:r>
    </w:p>
    <w:p>
      <w:pPr>
        <w:adjustRightInd w:val="0"/>
        <w:snapToGrid w:val="0"/>
        <w:spacing w:line="360" w:lineRule="auto"/>
        <w:ind w:firstLine="840" w:firstLineChars="300"/>
        <w:rPr>
          <w:rFonts w:ascii="仿宋" w:hAnsi="仿宋" w:eastAsia="仿宋"/>
          <w:sz w:val="28"/>
          <w:szCs w:val="28"/>
        </w:rPr>
      </w:pPr>
      <w:r>
        <w:rPr>
          <w:rFonts w:hint="eastAsia" w:ascii="仿宋" w:hAnsi="仿宋" w:eastAsia="仿宋"/>
          <w:sz w:val="28"/>
          <w:szCs w:val="28"/>
        </w:rPr>
        <w:t>a.委托中国司法部指定的香港公证机构做公证（包括查核和公证）；</w:t>
      </w:r>
    </w:p>
    <w:p>
      <w:pPr>
        <w:adjustRightInd w:val="0"/>
        <w:snapToGrid w:val="0"/>
        <w:spacing w:line="360" w:lineRule="auto"/>
        <w:ind w:firstLine="840" w:firstLineChars="300"/>
        <w:rPr>
          <w:rFonts w:ascii="仿宋" w:hAnsi="仿宋" w:eastAsia="仿宋"/>
          <w:sz w:val="28"/>
          <w:szCs w:val="28"/>
        </w:rPr>
      </w:pPr>
      <w:r>
        <w:rPr>
          <w:rFonts w:hint="eastAsia" w:ascii="仿宋" w:hAnsi="仿宋" w:eastAsia="仿宋"/>
          <w:sz w:val="28"/>
          <w:szCs w:val="28"/>
        </w:rPr>
        <w:t>b.委托香港律师到中国法律服务（香港）有限公司加盖转递章；</w:t>
      </w:r>
    </w:p>
    <w:p>
      <w:pPr>
        <w:adjustRightInd w:val="0"/>
        <w:snapToGrid w:val="0"/>
        <w:spacing w:line="360" w:lineRule="auto"/>
        <w:ind w:firstLine="840" w:firstLineChars="300"/>
        <w:rPr>
          <w:rFonts w:ascii="仿宋" w:hAnsi="仿宋" w:eastAsia="仿宋"/>
          <w:sz w:val="28"/>
          <w:szCs w:val="28"/>
        </w:rPr>
      </w:pPr>
      <w:r>
        <w:rPr>
          <w:rFonts w:hint="eastAsia" w:ascii="仿宋" w:hAnsi="仿宋" w:eastAsia="仿宋"/>
          <w:sz w:val="28"/>
          <w:szCs w:val="28"/>
        </w:rPr>
        <w:t>c.将该份文件拿回内地使用。</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（3）台湾地区的公证认证</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a.到台湾公证机关公证；</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b.台湾公证机关将公证文书副本寄交内地公证员协会；</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c.内地一方将公证文书拿到公证员协会作核证，核证后即可使用。</w:t>
      </w:r>
    </w:p>
    <w:p>
      <w:pPr>
        <w:adjustRightInd w:val="0"/>
        <w:snapToGrid w:val="0"/>
        <w:spacing w:line="360" w:lineRule="auto"/>
        <w:ind w:firstLine="562" w:firstLineChars="200"/>
        <w:rPr>
          <w:rFonts w:ascii="仿宋" w:hAnsi="仿宋" w:eastAsia="仿宋"/>
          <w:b/>
          <w:bCs/>
          <w:sz w:val="28"/>
          <w:szCs w:val="28"/>
        </w:rPr>
      </w:pPr>
      <w:r>
        <w:rPr>
          <w:rFonts w:hint="eastAsia" w:ascii="仿宋" w:hAnsi="仿宋" w:eastAsia="仿宋"/>
          <w:b/>
          <w:sz w:val="28"/>
          <w:szCs w:val="28"/>
        </w:rPr>
        <w:t>三、</w:t>
      </w:r>
      <w:r>
        <w:rPr>
          <w:rFonts w:hint="eastAsia" w:ascii="仿宋" w:hAnsi="仿宋" w:eastAsia="仿宋"/>
          <w:b/>
          <w:bCs/>
          <w:sz w:val="28"/>
          <w:szCs w:val="28"/>
        </w:rPr>
        <w:t>受理债权申报的时间、申报方式和地址</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（一）申报时间</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接到通知的债权人，应在</w:t>
      </w:r>
      <w:r>
        <w:rPr>
          <w:rFonts w:hint="default" w:ascii="仿宋" w:hAnsi="仿宋" w:eastAsia="仿宋"/>
          <w:sz w:val="28"/>
          <w:szCs w:val="28"/>
          <w:lang w:val="en-US" w:eastAsia="zh-CN"/>
        </w:rPr>
        <w:t>2024年7月21日</w:t>
      </w:r>
      <w:r>
        <w:rPr>
          <w:rFonts w:hint="eastAsia" w:ascii="仿宋" w:hAnsi="仿宋" w:eastAsia="仿宋"/>
          <w:sz w:val="28"/>
          <w:szCs w:val="28"/>
          <w:lang w:eastAsia="zh-Hans"/>
        </w:rPr>
        <w:t>前</w:t>
      </w:r>
      <w:r>
        <w:rPr>
          <w:rFonts w:hint="eastAsia" w:ascii="仿宋" w:hAnsi="仿宋" w:eastAsia="仿宋"/>
          <w:sz w:val="28"/>
          <w:szCs w:val="28"/>
        </w:rPr>
        <w:t>向管理人申报债权。</w:t>
      </w:r>
    </w:p>
    <w:p>
      <w:pPr>
        <w:adjustRightInd w:val="0"/>
        <w:snapToGrid w:val="0"/>
        <w:spacing w:line="360" w:lineRule="auto"/>
        <w:ind w:firstLine="560" w:firstLineChars="200"/>
        <w:rPr>
          <w:rFonts w:hint="eastAsia" w:ascii="仿宋" w:hAnsi="仿宋" w:eastAsia="仿宋"/>
          <w:sz w:val="28"/>
          <w:szCs w:val="28"/>
          <w:highlight w:val="yellow"/>
          <w:lang w:eastAsia="zh-CN"/>
        </w:rPr>
      </w:pPr>
      <w:r>
        <w:rPr>
          <w:rFonts w:hint="eastAsia" w:ascii="仿宋" w:hAnsi="仿宋" w:eastAsia="仿宋"/>
          <w:sz w:val="28"/>
          <w:szCs w:val="28"/>
          <w:highlight w:val="none"/>
        </w:rPr>
        <w:t>如债权人未在指定申报期限内按照《大连长瑞汽车销售有限公司</w:t>
      </w:r>
      <w:r>
        <w:rPr>
          <w:rFonts w:hint="eastAsia" w:ascii="仿宋" w:hAnsi="仿宋" w:eastAsia="仿宋"/>
          <w:sz w:val="28"/>
          <w:szCs w:val="28"/>
          <w:highlight w:val="none"/>
          <w:lang w:val="en-US" w:eastAsia="zh-CN"/>
        </w:rPr>
        <w:t>破产</w:t>
      </w:r>
      <w:r>
        <w:rPr>
          <w:rFonts w:hint="eastAsia" w:ascii="仿宋" w:hAnsi="仿宋" w:eastAsia="仿宋"/>
          <w:sz w:val="28"/>
          <w:szCs w:val="28"/>
          <w:highlight w:val="none"/>
        </w:rPr>
        <w:t>清算案债权申报指引》向管理人申报债权</w:t>
      </w:r>
      <w:r>
        <w:rPr>
          <w:rFonts w:hint="eastAsia" w:ascii="Times New Roman" w:hAnsi="Times New Roman" w:eastAsia="仿宋" w:cs="仿宋"/>
          <w:i w:val="0"/>
          <w:iCs w:val="0"/>
          <w:caps w:val="0"/>
          <w:spacing w:val="0"/>
          <w:kern w:val="2"/>
          <w:sz w:val="28"/>
          <w:szCs w:val="28"/>
          <w:highlight w:val="none"/>
          <w:shd w:val="clear" w:fill="FFFFFF"/>
          <w:lang w:val="en-US" w:eastAsia="zh-CN" w:bidi="ar-SA"/>
        </w:rPr>
        <w:t>的，</w:t>
      </w:r>
      <w:r>
        <w:rPr>
          <w:rFonts w:hint="eastAsia" w:ascii="Times New Roman" w:hAnsi="Times New Roman" w:eastAsia="仿宋" w:cs="仿宋"/>
          <w:i w:val="0"/>
          <w:iCs w:val="0"/>
          <w:caps w:val="0"/>
          <w:spacing w:val="0"/>
          <w:kern w:val="2"/>
          <w:sz w:val="28"/>
          <w:szCs w:val="28"/>
          <w:shd w:val="clear" w:fill="FFFFFF"/>
          <w:lang w:val="en-US" w:eastAsia="zh-CN" w:bidi="ar-SA"/>
        </w:rPr>
        <w:t>按《中华人民共和国企业破产法》第五十六条之规定处理。</w:t>
      </w:r>
      <w:bookmarkStart w:id="0" w:name="_GoBack"/>
      <w:bookmarkEnd w:id="0"/>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（二）申报方式和地址</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债权申报采取书面申报方式。</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债权人须将全部债权申报材料以特快专递方式邮寄至</w:t>
      </w:r>
      <w:r>
        <w:rPr>
          <w:rFonts w:hint="eastAsia" w:ascii="仿宋" w:hAnsi="仿宋" w:eastAsia="仿宋"/>
          <w:sz w:val="28"/>
          <w:szCs w:val="28"/>
          <w:lang w:eastAsia="zh-CN"/>
        </w:rPr>
        <w:t>长瑞汽车</w:t>
      </w:r>
      <w:r>
        <w:rPr>
          <w:rFonts w:hint="eastAsia" w:ascii="仿宋" w:hAnsi="仿宋" w:eastAsia="仿宋"/>
          <w:sz w:val="28"/>
          <w:szCs w:val="28"/>
        </w:rPr>
        <w:t>管理人。请在邮寄单注明“向</w:t>
      </w:r>
      <w:r>
        <w:rPr>
          <w:rFonts w:hint="eastAsia" w:ascii="仿宋" w:hAnsi="仿宋" w:eastAsia="仿宋"/>
          <w:sz w:val="28"/>
          <w:szCs w:val="28"/>
          <w:lang w:eastAsia="zh-CN"/>
        </w:rPr>
        <w:t>长瑞汽车</w:t>
      </w:r>
      <w:r>
        <w:rPr>
          <w:rFonts w:hint="eastAsia" w:ascii="仿宋" w:hAnsi="仿宋" w:eastAsia="仿宋"/>
          <w:sz w:val="28"/>
          <w:szCs w:val="28"/>
        </w:rPr>
        <w:t>管理人</w:t>
      </w:r>
      <w:r>
        <w:rPr>
          <w:rFonts w:hint="eastAsia" w:ascii="仿宋" w:hAnsi="仿宋" w:eastAsia="仿宋"/>
          <w:sz w:val="28"/>
          <w:szCs w:val="28"/>
        </w:rPr>
        <w:t>申报债权”字样，并保留邮件寄送底单。</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申报债权通信地址：</w:t>
      </w:r>
      <w:r>
        <w:rPr>
          <w:rFonts w:hint="default" w:ascii="仿宋" w:hAnsi="仿宋" w:eastAsia="仿宋"/>
          <w:sz w:val="28"/>
          <w:szCs w:val="28"/>
          <w:lang w:val="en-US" w:eastAsia="zh-CN"/>
        </w:rPr>
        <w:t>大连市沙河口区会展路43号环球金融中心7C</w:t>
      </w:r>
      <w:r>
        <w:rPr>
          <w:rFonts w:hint="eastAsia" w:ascii="仿宋" w:hAnsi="仿宋" w:eastAsia="仿宋"/>
          <w:sz w:val="28"/>
          <w:szCs w:val="28"/>
        </w:rPr>
        <w:t>；</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邮政编码：</w:t>
      </w:r>
      <w:r>
        <w:rPr>
          <w:rFonts w:hint="eastAsia" w:ascii="仿宋" w:hAnsi="仿宋" w:eastAsia="仿宋"/>
          <w:sz w:val="28"/>
          <w:szCs w:val="28"/>
          <w:lang w:val="en-US" w:eastAsia="zh-CN"/>
        </w:rPr>
        <w:t>116021</w:t>
      </w:r>
      <w:r>
        <w:rPr>
          <w:rFonts w:hint="eastAsia" w:ascii="仿宋" w:hAnsi="仿宋" w:eastAsia="仿宋"/>
          <w:sz w:val="28"/>
          <w:szCs w:val="28"/>
        </w:rPr>
        <w:t>；</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管理人联系人：</w:t>
      </w:r>
      <w:r>
        <w:rPr>
          <w:rFonts w:hint="eastAsia" w:ascii="仿宋" w:hAnsi="仿宋" w:eastAsia="仿宋"/>
          <w:sz w:val="28"/>
          <w:szCs w:val="28"/>
          <w:lang w:val="en-US" w:eastAsia="zh-CN"/>
        </w:rPr>
        <w:t>吕女士</w:t>
      </w:r>
      <w:r>
        <w:rPr>
          <w:rFonts w:hint="eastAsia" w:ascii="仿宋" w:hAnsi="仿宋" w:eastAsia="仿宋"/>
          <w:sz w:val="28"/>
          <w:szCs w:val="28"/>
        </w:rPr>
        <w:t>；</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联系电话：</w:t>
      </w:r>
      <w:r>
        <w:rPr>
          <w:rFonts w:hint="eastAsia" w:ascii="仿宋" w:hAnsi="仿宋" w:eastAsia="仿宋"/>
          <w:sz w:val="28"/>
          <w:szCs w:val="28"/>
          <w:lang w:val="en-US" w:eastAsia="zh-CN"/>
        </w:rPr>
        <w:t>18642642382</w:t>
      </w:r>
      <w:r>
        <w:rPr>
          <w:rFonts w:hint="eastAsia" w:ascii="仿宋" w:hAnsi="仿宋" w:eastAsia="仿宋"/>
          <w:sz w:val="28"/>
          <w:szCs w:val="28"/>
        </w:rPr>
        <w:t>；</w:t>
      </w:r>
    </w:p>
    <w:p>
      <w:pPr>
        <w:adjustRightInd w:val="0"/>
        <w:snapToGrid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管理人邮箱：</w:t>
      </w:r>
      <w:r>
        <w:rPr>
          <w:rFonts w:hint="eastAsia" w:ascii="仿宋" w:hAnsi="仿宋" w:eastAsia="仿宋"/>
          <w:sz w:val="28"/>
          <w:szCs w:val="28"/>
          <w:lang w:val="en-US" w:eastAsia="zh-CN"/>
        </w:rPr>
        <w:t>DLCRQC@163.com；</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管理人在收到申报材料之后，如需核对原件或要求补充提供证据、资料，管理人将另行通知债权人，债权人须在管理人指定时间内到指定地点提交。</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如债权人未能按</w:t>
      </w:r>
      <w:r>
        <w:rPr>
          <w:rFonts w:hint="eastAsia" w:ascii="仿宋" w:hAnsi="仿宋" w:eastAsia="仿宋"/>
          <w:sz w:val="28"/>
          <w:szCs w:val="28"/>
          <w:highlight w:val="none"/>
        </w:rPr>
        <w:t>照《大连长瑞汽车销售有限公司</w:t>
      </w:r>
      <w:r>
        <w:rPr>
          <w:rFonts w:hint="eastAsia" w:ascii="仿宋" w:hAnsi="仿宋" w:eastAsia="仿宋"/>
          <w:sz w:val="28"/>
          <w:szCs w:val="28"/>
          <w:highlight w:val="none"/>
          <w:lang w:val="en-US" w:eastAsia="zh-CN"/>
        </w:rPr>
        <w:t>破产</w:t>
      </w:r>
      <w:r>
        <w:rPr>
          <w:rFonts w:hint="eastAsia" w:ascii="仿宋" w:hAnsi="仿宋" w:eastAsia="仿宋"/>
          <w:sz w:val="28"/>
          <w:szCs w:val="28"/>
          <w:highlight w:val="none"/>
        </w:rPr>
        <w:t>清算案债权申报指引》提交全部申报</w:t>
      </w:r>
      <w:r>
        <w:rPr>
          <w:rFonts w:hint="eastAsia" w:ascii="仿宋" w:hAnsi="仿宋" w:eastAsia="仿宋"/>
          <w:sz w:val="28"/>
          <w:szCs w:val="28"/>
        </w:rPr>
        <w:t>材料，和/或未能在管理人指定的时间内提供材料原件以供核实的，对于申报的债权，管理人不予确认。</w:t>
      </w:r>
    </w:p>
    <w:p>
      <w:pPr>
        <w:adjustRightInd w:val="0"/>
        <w:snapToGrid w:val="0"/>
        <w:spacing w:line="360" w:lineRule="auto"/>
        <w:ind w:firstLine="562" w:firstLineChars="200"/>
        <w:rPr>
          <w:rFonts w:ascii="仿宋" w:hAnsi="仿宋" w:eastAsia="仿宋"/>
          <w:b/>
          <w:sz w:val="28"/>
          <w:szCs w:val="28"/>
        </w:rPr>
      </w:pPr>
      <w:r>
        <w:rPr>
          <w:rFonts w:hint="eastAsia" w:ascii="仿宋" w:hAnsi="仿宋" w:eastAsia="仿宋"/>
          <w:b/>
          <w:sz w:val="28"/>
          <w:szCs w:val="28"/>
        </w:rPr>
        <w:t>四、其他事项</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（一）本指引未列明事项，按照《中华人民共和国企业破产法》等法律法规和司法解释执行。</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二）请各债权人在收到申报通知后及时向管理人提交申报资料。如各债权人迟延申报，造成大量债权集中于申报截止日前的数日内申报，可能导致债权申报、审查工作难以及时完成，进而影响债权人表决权的行使</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三）债权人及其委托代理人须确定一个手机号码，用于接收参加债权人会议的相关信息，同时确定一个手机号码作为与管理人日常联络号码（接收参加债权人会议信息的手机号码与日常联络的手机号码可以相同），债权人应保证提供的手机号码真实有效并保持畅通，避免影响债权人及时行使权利；更换上述手机号码须及时书面通知管理人。</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（四）债权人申报的债权已经获得</w:t>
      </w:r>
      <w:r>
        <w:rPr>
          <w:rFonts w:hint="eastAsia" w:ascii="仿宋" w:hAnsi="仿宋" w:eastAsia="仿宋"/>
          <w:sz w:val="28"/>
          <w:szCs w:val="28"/>
          <w:lang w:eastAsia="zh-CN"/>
        </w:rPr>
        <w:t>长瑞汽车</w:t>
      </w:r>
      <w:r>
        <w:rPr>
          <w:rFonts w:hint="eastAsia" w:ascii="仿宋" w:hAnsi="仿宋" w:eastAsia="仿宋"/>
          <w:sz w:val="28"/>
          <w:szCs w:val="28"/>
        </w:rPr>
        <w:t>的清偿或者已经获得其他连带债务人的清偿的，应及时告知管理人，隐瞒债权受偿情况将承担相应的法律责任；债权人另外对</w:t>
      </w:r>
      <w:r>
        <w:rPr>
          <w:rFonts w:hint="eastAsia" w:ascii="仿宋" w:hAnsi="仿宋" w:eastAsia="仿宋"/>
          <w:sz w:val="28"/>
          <w:szCs w:val="28"/>
          <w:lang w:eastAsia="zh-CN"/>
        </w:rPr>
        <w:t>长瑞汽车</w:t>
      </w:r>
      <w:r>
        <w:rPr>
          <w:rFonts w:hint="eastAsia" w:ascii="仿宋" w:hAnsi="仿宋" w:eastAsia="仿宋"/>
          <w:sz w:val="28"/>
          <w:szCs w:val="28"/>
        </w:rPr>
        <w:t>负有债务的，管理人/债务人将依法清收。</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（五）债权人向管理人申报债权后，获得其他连带债务人的清偿的，应及时告知管理人，隐瞒债权受偿情况将承担相应的法律责任。</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（六）债权人以外币申报债权的，应按照法院裁定受理</w:t>
      </w:r>
      <w:r>
        <w:rPr>
          <w:rFonts w:hint="eastAsia" w:ascii="仿宋" w:hAnsi="仿宋" w:eastAsia="仿宋"/>
          <w:sz w:val="28"/>
          <w:szCs w:val="28"/>
          <w:lang w:eastAsia="zh-CN"/>
        </w:rPr>
        <w:t>长瑞汽车破产清算</w:t>
      </w:r>
      <w:r>
        <w:rPr>
          <w:rFonts w:hint="eastAsia" w:ascii="仿宋" w:hAnsi="仿宋" w:eastAsia="仿宋"/>
          <w:sz w:val="28"/>
          <w:szCs w:val="28"/>
        </w:rPr>
        <w:t>之日即202</w:t>
      </w:r>
      <w:r>
        <w:rPr>
          <w:rFonts w:hint="eastAsia" w:ascii="仿宋" w:hAnsi="仿宋" w:eastAsia="仿宋"/>
          <w:sz w:val="28"/>
          <w:szCs w:val="28"/>
          <w:lang w:val="en-US" w:eastAsia="zh-CN"/>
        </w:rPr>
        <w:t>4</w:t>
      </w:r>
      <w:r>
        <w:rPr>
          <w:rFonts w:hint="eastAsia" w:ascii="仿宋" w:hAnsi="仿宋" w:eastAsia="仿宋"/>
          <w:sz w:val="28"/>
          <w:szCs w:val="28"/>
        </w:rPr>
        <w:t>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1</w:t>
      </w:r>
      <w:r>
        <w:rPr>
          <w:rFonts w:hint="eastAsia" w:ascii="仿宋" w:hAnsi="仿宋" w:eastAsia="仿宋"/>
          <w:sz w:val="28"/>
          <w:szCs w:val="28"/>
        </w:rPr>
        <w:t>日中国人民银行公布的外币兑人民币的汇率中间价统一折算为人民币。债权人未折算为人民币的，管理人有权不接受其申报。债权人申报利息的，应以折算为人民币后的本金数额作为计息基数。</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（七）债权人应自行承担邮寄费用，管理人不接受以到付方式邮寄的债权申报。</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八）债权人应认可按照登记信息以书面邮寄、电话、短信、电子邮件等通讯方式接收通知及文件、材料；如登记信息变更，债权人应以书面形式通知管理人。管理人/债务人将相关文件邮寄到指定地址、以短信形式发送至指定手机号码或以电子邮件方式发至指定邮箱均视为有效送达，烦请债权人正确填写通讯方式，避免文件无法送达。</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（九）本指引不构成对无效债权（包括但不限于已过诉讼时效/除斥期间/申请执行期间等）的重新有效确认。</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（十）法院及管理人向已知债权人发出债权申报通知等法律文件，不视为对申报债权的确认，申报债权是否真实、合法、有效应以债权人提交的债权资料所证明事实为准。</w:t>
      </w:r>
    </w:p>
    <w:p>
      <w:pPr>
        <w:spacing w:line="360" w:lineRule="auto"/>
        <w:rPr>
          <w:rFonts w:ascii="仿宋" w:hAnsi="仿宋" w:eastAsia="仿宋"/>
          <w:sz w:val="28"/>
          <w:szCs w:val="28"/>
        </w:rPr>
      </w:pPr>
      <w:r>
        <w:rPr>
          <w:rFonts w:hint="eastAsia" w:ascii="仿宋" w:hAnsi="仿宋" w:eastAsia="仿宋"/>
          <w:sz w:val="28"/>
          <w:szCs w:val="28"/>
        </w:rPr>
        <w:t>附件：一、债权申报登记表；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二、债权申报书；</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三、债权申报材料清单；</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四、法定代表人身份证明书；</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五、授权委托书；</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六、债权人送达地址确认书；</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七、债权人银行账户信息；</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八、债权人承诺书。</w:t>
      </w:r>
    </w:p>
    <w:p>
      <w:pPr>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w:t>
      </w:r>
    </w:p>
    <w:p>
      <w:pPr>
        <w:adjustRightInd w:val="0"/>
        <w:snapToGrid w:val="0"/>
        <w:spacing w:line="360" w:lineRule="auto"/>
        <w:ind w:firstLine="3360" w:firstLineChars="1200"/>
        <w:rPr>
          <w:rFonts w:ascii="仿宋" w:hAnsi="仿宋" w:eastAsia="仿宋"/>
          <w:sz w:val="28"/>
          <w:szCs w:val="28"/>
        </w:rPr>
      </w:pPr>
      <w:r>
        <w:rPr>
          <w:rFonts w:hint="eastAsia" w:ascii="仿宋" w:hAnsi="仿宋" w:eastAsia="仿宋"/>
          <w:sz w:val="28"/>
          <w:szCs w:val="28"/>
          <w:highlight w:val="none"/>
        </w:rPr>
        <w:t>大连长瑞汽车销售有限公司</w:t>
      </w:r>
      <w:r>
        <w:rPr>
          <w:rFonts w:hint="eastAsia" w:ascii="仿宋" w:hAnsi="仿宋" w:eastAsia="仿宋"/>
          <w:sz w:val="28"/>
          <w:szCs w:val="28"/>
        </w:rPr>
        <w:t xml:space="preserve">管理人 </w:t>
      </w:r>
    </w:p>
    <w:p>
      <w:pPr>
        <w:adjustRightInd w:val="0"/>
        <w:snapToGrid w:val="0"/>
        <w:spacing w:line="360" w:lineRule="auto"/>
        <w:ind w:firstLine="5320" w:firstLineChars="1900"/>
        <w:rPr>
          <w:rFonts w:ascii="仿宋" w:hAnsi="仿宋" w:eastAsia="仿宋"/>
          <w:sz w:val="28"/>
          <w:szCs w:val="28"/>
        </w:rPr>
      </w:pPr>
      <w:r>
        <w:rPr>
          <w:rFonts w:hint="eastAsia" w:ascii="仿宋" w:hAnsi="仿宋" w:eastAsia="仿宋"/>
          <w:sz w:val="28"/>
          <w:szCs w:val="28"/>
        </w:rPr>
        <w:t>202</w:t>
      </w:r>
      <w:r>
        <w:rPr>
          <w:rFonts w:hint="eastAsia" w:ascii="仿宋" w:hAnsi="仿宋" w:eastAsia="仿宋"/>
          <w:sz w:val="28"/>
          <w:szCs w:val="28"/>
          <w:lang w:val="en-US" w:eastAsia="zh-CN"/>
        </w:rPr>
        <w:t>4</w:t>
      </w:r>
      <w:r>
        <w:rPr>
          <w:rFonts w:hint="eastAsia" w:ascii="仿宋" w:hAnsi="仿宋" w:eastAsia="仿宋"/>
          <w:sz w:val="28"/>
          <w:szCs w:val="28"/>
        </w:rPr>
        <w:t>年</w:t>
      </w:r>
      <w:r>
        <w:rPr>
          <w:rFonts w:hint="eastAsia" w:ascii="仿宋" w:hAnsi="仿宋" w:eastAsia="仿宋"/>
          <w:sz w:val="28"/>
          <w:szCs w:val="28"/>
          <w:lang w:val="en-US" w:eastAsia="zh-CN"/>
        </w:rPr>
        <w:t>6</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9824126"/>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F93125"/>
    <w:rsid w:val="00095413"/>
    <w:rsid w:val="00452F84"/>
    <w:rsid w:val="00493FD0"/>
    <w:rsid w:val="006D13EA"/>
    <w:rsid w:val="0072309C"/>
    <w:rsid w:val="00A43CE3"/>
    <w:rsid w:val="00B727C1"/>
    <w:rsid w:val="00C448E2"/>
    <w:rsid w:val="00D237D1"/>
    <w:rsid w:val="00D433DA"/>
    <w:rsid w:val="00E13F2F"/>
    <w:rsid w:val="00F93125"/>
    <w:rsid w:val="489F3B03"/>
    <w:rsid w:val="4A0E6D96"/>
    <w:rsid w:val="624C2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2"/>
    <w:basedOn w:val="1"/>
    <w:link w:val="8"/>
    <w:semiHidden/>
    <w:unhideWhenUsed/>
    <w:qFormat/>
    <w:uiPriority w:val="0"/>
    <w:pPr>
      <w:spacing w:line="360" w:lineRule="auto"/>
      <w:ind w:firstLine="560" w:firstLineChars="200"/>
    </w:pPr>
    <w:rPr>
      <w:rFonts w:ascii="仿宋_GB2312" w:eastAsia="仿宋_GB2312"/>
      <w:sz w:val="2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2 字符"/>
    <w:basedOn w:val="7"/>
    <w:link w:val="3"/>
    <w:semiHidden/>
    <w:qFormat/>
    <w:uiPriority w:val="0"/>
    <w:rPr>
      <w:rFonts w:ascii="仿宋_GB2312" w:hAnsi="Times New Roman" w:eastAsia="仿宋_GB2312" w:cs="Times New Roman"/>
      <w:sz w:val="28"/>
      <w:szCs w:val="24"/>
    </w:rPr>
  </w:style>
  <w:style w:type="character" w:customStyle="1" w:styleId="9">
    <w:name w:val="标题 2 字符"/>
    <w:basedOn w:val="7"/>
    <w:link w:val="2"/>
    <w:semiHidden/>
    <w:qFormat/>
    <w:uiPriority w:val="9"/>
    <w:rPr>
      <w:rFonts w:asciiTheme="majorHAnsi" w:hAnsiTheme="majorHAnsi" w:eastAsiaTheme="majorEastAsia" w:cstheme="majorBidi"/>
      <w:b/>
      <w:bCs/>
      <w:sz w:val="32"/>
      <w:szCs w:val="32"/>
    </w:rPr>
  </w:style>
  <w:style w:type="character" w:customStyle="1" w:styleId="10">
    <w:name w:val="页眉 字符"/>
    <w:basedOn w:val="7"/>
    <w:link w:val="5"/>
    <w:qFormat/>
    <w:uiPriority w:val="99"/>
    <w:rPr>
      <w:rFonts w:ascii="Times New Roman" w:hAnsi="Times New Roman" w:eastAsia="宋体" w:cs="Times New Roman"/>
      <w:sz w:val="18"/>
      <w:szCs w:val="18"/>
    </w:rPr>
  </w:style>
  <w:style w:type="character" w:customStyle="1" w:styleId="11">
    <w:name w:val="页脚 字符"/>
    <w:basedOn w:val="7"/>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4556</Words>
  <Characters>4597</Characters>
  <Lines>34</Lines>
  <Paragraphs>9</Paragraphs>
  <TotalTime>7</TotalTime>
  <ScaleCrop>false</ScaleCrop>
  <LinksUpToDate>false</LinksUpToDate>
  <CharactersWithSpaces>4620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2023-01-04T02:45:00Z</dcterms:created>
  <dc:creator>刘 爽</dc:creator>
  <cp:lastModifiedBy>王一淑律师</cp:lastModifiedBy>
  <dcterms:modified xsi:type="dcterms:W3CDTF">2024-06-20T07:05:52Z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F38F7A810AFF4DA6A8DF51B37EB606C2_12</vt:lpwstr>
  </property>
</Properties>
</file>