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安徽深泽电子股份</w:t>
      </w:r>
      <w:r>
        <w:rPr>
          <w:rFonts w:hint="eastAsia" w:ascii="宋体" w:hAnsi="宋体" w:eastAsia="宋体" w:cs="宋体"/>
          <w:b/>
          <w:bCs/>
          <w:sz w:val="36"/>
          <w:szCs w:val="36"/>
        </w:rPr>
        <w:t>有限公司管理人</w:t>
      </w:r>
    </w:p>
    <w:p>
      <w:pPr>
        <w:jc w:val="center"/>
        <w:rPr>
          <w:rFonts w:hint="eastAsia" w:ascii="宋体" w:hAnsi="宋体" w:eastAsia="宋体" w:cs="宋体"/>
          <w:b/>
          <w:bCs/>
          <w:sz w:val="36"/>
          <w:szCs w:val="36"/>
        </w:rPr>
      </w:pPr>
      <w:r>
        <w:rPr>
          <w:rFonts w:hint="eastAsia" w:ascii="宋体" w:hAnsi="宋体" w:eastAsia="宋体" w:cs="宋体"/>
          <w:b/>
          <w:bCs/>
          <w:sz w:val="36"/>
          <w:szCs w:val="36"/>
        </w:rPr>
        <w:t>招募重整投资人公告</w:t>
      </w:r>
    </w:p>
    <w:p>
      <w:pPr>
        <w:jc w:val="center"/>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sz w:val="28"/>
          <w:szCs w:val="28"/>
          <w:lang w:val="en-US"/>
        </w:rPr>
      </w:pPr>
      <w:r>
        <w:rPr>
          <w:rFonts w:hint="eastAsia" w:ascii="仿宋" w:hAnsi="仿宋" w:eastAsia="仿宋" w:cs="仿宋"/>
          <w:sz w:val="28"/>
          <w:szCs w:val="28"/>
          <w:lang w:eastAsia="zh-CN"/>
        </w:rPr>
        <w:t>2023年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21</w:t>
      </w:r>
      <w:r>
        <w:rPr>
          <w:rFonts w:hint="eastAsia" w:ascii="仿宋" w:hAnsi="仿宋" w:eastAsia="仿宋" w:cs="仿宋"/>
          <w:sz w:val="28"/>
          <w:szCs w:val="28"/>
        </w:rPr>
        <w:t>日</w:t>
      </w:r>
      <w:r>
        <w:rPr>
          <w:rFonts w:hint="eastAsia" w:ascii="仿宋" w:hAnsi="仿宋" w:eastAsia="仿宋" w:cs="仿宋"/>
          <w:sz w:val="28"/>
          <w:szCs w:val="28"/>
          <w:lang w:eastAsia="zh-CN"/>
        </w:rPr>
        <w:t>临泉县</w:t>
      </w:r>
      <w:r>
        <w:rPr>
          <w:rFonts w:hint="eastAsia" w:ascii="仿宋" w:hAnsi="仿宋" w:eastAsia="仿宋" w:cs="仿宋"/>
          <w:sz w:val="28"/>
          <w:szCs w:val="28"/>
        </w:rPr>
        <w:t>人民法院作出</w:t>
      </w:r>
      <w:r>
        <w:rPr>
          <w:rFonts w:hint="eastAsia" w:ascii="仿宋" w:hAnsi="仿宋" w:eastAsia="仿宋" w:cs="仿宋"/>
          <w:sz w:val="28"/>
          <w:szCs w:val="28"/>
          <w:lang w:eastAsia="zh-CN"/>
        </w:rPr>
        <w:t>（2023）皖1221破</w:t>
      </w:r>
      <w:r>
        <w:rPr>
          <w:rFonts w:hint="eastAsia" w:ascii="仿宋" w:hAnsi="仿宋" w:eastAsia="仿宋" w:cs="仿宋"/>
          <w:sz w:val="28"/>
          <w:szCs w:val="28"/>
          <w:lang w:val="en-US" w:eastAsia="zh-CN"/>
        </w:rPr>
        <w:t>预1号《民事裁定书》，裁定</w:t>
      </w:r>
      <w:r>
        <w:rPr>
          <w:rFonts w:hint="eastAsia" w:ascii="仿宋" w:hAnsi="仿宋" w:eastAsia="仿宋" w:cs="仿宋"/>
          <w:sz w:val="28"/>
          <w:szCs w:val="28"/>
          <w:lang w:eastAsia="zh-CN"/>
        </w:rPr>
        <w:t>安徽深泽电子股份有限公司（</w:t>
      </w:r>
      <w:r>
        <w:rPr>
          <w:rFonts w:hint="eastAsia" w:ascii="仿宋" w:hAnsi="仿宋" w:eastAsia="仿宋" w:cs="仿宋"/>
          <w:sz w:val="28"/>
          <w:szCs w:val="28"/>
          <w:lang w:val="en-US" w:eastAsia="zh-CN"/>
        </w:rPr>
        <w:t>以下简称深泽公司</w:t>
      </w:r>
      <w:r>
        <w:rPr>
          <w:rFonts w:hint="eastAsia" w:ascii="仿宋" w:hAnsi="仿宋" w:eastAsia="仿宋" w:cs="仿宋"/>
          <w:sz w:val="28"/>
          <w:szCs w:val="28"/>
          <w:lang w:eastAsia="zh-CN"/>
        </w:rPr>
        <w:t>）</w:t>
      </w:r>
      <w:r>
        <w:rPr>
          <w:rFonts w:hint="eastAsia" w:ascii="仿宋" w:hAnsi="仿宋" w:eastAsia="仿宋" w:cs="仿宋"/>
          <w:sz w:val="28"/>
          <w:szCs w:val="28"/>
        </w:rPr>
        <w:t>进行</w:t>
      </w:r>
      <w:r>
        <w:rPr>
          <w:rFonts w:hint="eastAsia" w:ascii="仿宋" w:hAnsi="仿宋" w:eastAsia="仿宋" w:cs="仿宋"/>
          <w:sz w:val="28"/>
          <w:szCs w:val="28"/>
          <w:lang w:val="en-US" w:eastAsia="zh-CN"/>
        </w:rPr>
        <w:t>破产</w:t>
      </w:r>
      <w:r>
        <w:rPr>
          <w:rFonts w:hint="eastAsia" w:ascii="仿宋" w:hAnsi="仿宋" w:eastAsia="仿宋" w:cs="仿宋"/>
          <w:sz w:val="28"/>
          <w:szCs w:val="28"/>
        </w:rPr>
        <w:t>重整</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并于同日作出</w:t>
      </w:r>
      <w:r>
        <w:rPr>
          <w:rFonts w:hint="eastAsia" w:ascii="仿宋" w:hAnsi="仿宋" w:eastAsia="仿宋" w:cs="仿宋"/>
          <w:sz w:val="28"/>
          <w:szCs w:val="28"/>
          <w:lang w:eastAsia="zh-CN"/>
        </w:rPr>
        <w:t>（2023）皖1221破</w:t>
      </w:r>
      <w:r>
        <w:rPr>
          <w:rFonts w:hint="eastAsia" w:ascii="仿宋" w:hAnsi="仿宋" w:eastAsia="仿宋" w:cs="仿宋"/>
          <w:sz w:val="28"/>
          <w:szCs w:val="28"/>
          <w:lang w:val="en-US" w:eastAsia="zh-CN"/>
        </w:rPr>
        <w:t>19</w:t>
      </w:r>
      <w:r>
        <w:rPr>
          <w:rFonts w:hint="eastAsia" w:ascii="仿宋" w:hAnsi="仿宋" w:eastAsia="仿宋" w:cs="仿宋"/>
          <w:sz w:val="28"/>
          <w:szCs w:val="28"/>
          <w:lang w:eastAsia="zh-CN"/>
        </w:rPr>
        <w:t>号</w:t>
      </w:r>
      <w:r>
        <w:rPr>
          <w:rFonts w:hint="eastAsia" w:ascii="仿宋" w:hAnsi="仿宋" w:eastAsia="仿宋" w:cs="仿宋"/>
          <w:sz w:val="28"/>
          <w:szCs w:val="28"/>
          <w:lang w:val="en-US" w:eastAsia="zh-CN"/>
        </w:rPr>
        <w:t>《决</w:t>
      </w:r>
      <w:r>
        <w:rPr>
          <w:rFonts w:hint="eastAsia" w:ascii="仿宋" w:hAnsi="仿宋" w:eastAsia="仿宋" w:cs="仿宋"/>
          <w:sz w:val="28"/>
          <w:szCs w:val="28"/>
        </w:rPr>
        <w:t>定</w:t>
      </w:r>
      <w:r>
        <w:rPr>
          <w:rFonts w:hint="eastAsia" w:ascii="仿宋" w:hAnsi="仿宋" w:eastAsia="仿宋" w:cs="仿宋"/>
          <w:sz w:val="28"/>
          <w:szCs w:val="28"/>
          <w:lang w:val="en-US" w:eastAsia="zh-CN"/>
        </w:rPr>
        <w:t>书》，指定安徽中特律师事务所为</w:t>
      </w:r>
      <w:r>
        <w:rPr>
          <w:rFonts w:hint="eastAsia" w:ascii="仿宋" w:hAnsi="仿宋" w:eastAsia="仿宋" w:cs="仿宋"/>
          <w:sz w:val="28"/>
          <w:szCs w:val="28"/>
          <w:lang w:eastAsia="zh-CN"/>
        </w:rPr>
        <w:t>深泽公司</w:t>
      </w:r>
      <w:r>
        <w:rPr>
          <w:rFonts w:hint="eastAsia" w:ascii="仿宋" w:hAnsi="仿宋" w:eastAsia="仿宋" w:cs="仿宋"/>
          <w:sz w:val="28"/>
          <w:szCs w:val="28"/>
          <w:lang w:val="en-US" w:eastAsia="zh-CN"/>
        </w:rPr>
        <w:t>管理人。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为维护全体债权人的合法权益，引进有实力的投资人维护债务人的企业价值，实现资源有效整合、提高债权清偿比例、实现企业的重整再生</w:t>
      </w:r>
      <w:r>
        <w:rPr>
          <w:rFonts w:hint="eastAsia" w:ascii="仿宋" w:hAnsi="仿宋" w:eastAsia="仿宋" w:cs="仿宋"/>
          <w:sz w:val="28"/>
          <w:szCs w:val="28"/>
          <w:lang w:eastAsia="zh-CN"/>
        </w:rPr>
        <w:t>，</w:t>
      </w:r>
      <w:r>
        <w:rPr>
          <w:rFonts w:hint="eastAsia" w:ascii="仿宋" w:hAnsi="仿宋" w:eastAsia="仿宋" w:cs="仿宋"/>
          <w:sz w:val="28"/>
          <w:szCs w:val="28"/>
        </w:rPr>
        <w:t>管理人根据《中华人民共和国企业破产法》及相关法律规定，向社会公开招募重整投资人，现就本次招募相关事宜公告如下。</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一、招募须知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为公平、公开、公正引入重整投资人，本次招募投资人以公开方式进行，以接受各方监督。本招募公告对全体意向重整投资人平等适用，具有相同效力。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本公告所述信息并不替代意向重整投资人尽职调查，意向重整投资人如需开展尽职调查或更进一步了解债务人的有关情况，需向管理人提交报名申请并与管理人签署《保密</w:t>
      </w:r>
      <w:r>
        <w:rPr>
          <w:rFonts w:hint="eastAsia" w:ascii="仿宋" w:hAnsi="仿宋" w:eastAsia="仿宋" w:cs="仿宋"/>
          <w:sz w:val="28"/>
          <w:szCs w:val="28"/>
          <w:lang w:val="en-US" w:eastAsia="zh-CN"/>
        </w:rPr>
        <w:t>承诺书</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本公告不构成要约，不具有重整投资协议的约束效力。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意向重整投资人缴纳保证金并向管理人提交投资文件的，视为同意对</w:t>
      </w:r>
      <w:r>
        <w:rPr>
          <w:rFonts w:hint="eastAsia" w:ascii="仿宋" w:hAnsi="仿宋" w:eastAsia="仿宋" w:cs="仿宋"/>
          <w:sz w:val="28"/>
          <w:szCs w:val="28"/>
          <w:lang w:eastAsia="zh-CN"/>
        </w:rPr>
        <w:t>深泽</w:t>
      </w:r>
      <w:r>
        <w:rPr>
          <w:rFonts w:hint="eastAsia" w:ascii="仿宋" w:hAnsi="仿宋" w:eastAsia="仿宋" w:cs="仿宋"/>
          <w:sz w:val="28"/>
          <w:szCs w:val="28"/>
        </w:rPr>
        <w:t>公司进行投资，相关投资风险自行承担。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本招募公告由招募人负责解释。</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二、企业概况</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（一）债务人工商登记情况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深泽公司原系赵守江、宋宏伟共同出资300万元于2012年10月16日设立的有限责任公司，后经历次股权转让、注册资本增减以及市场主体变更，现为股份有限公司，法定代表人赵振艾，注册资本6000万元，住所地安徽省阜阳市临泉县经济开发区前进东路南侧，统一社会信用代码91341221055760568H，营业期限为无固定期限。</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深泽公司股东为赵守江和胡洪波，其中赵守江持股51%，胡洪波持股49%；经营范围：双面及多层线路板柔性线路板生产、销售，电子产品销售，软件开发，太阳能光伏产品开发，家用智能机器人研发，I 类，II 类医疗器械、无纺布、溶喷布、口罩（含医用）生产、销售；房屋租赁；货物或技术的进出口。</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（二）主要资产情况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深泽</w:t>
      </w:r>
      <w:r>
        <w:rPr>
          <w:rFonts w:hint="eastAsia" w:ascii="仿宋" w:hAnsi="仿宋" w:eastAsia="仿宋" w:cs="仿宋"/>
          <w:sz w:val="28"/>
          <w:szCs w:val="28"/>
        </w:rPr>
        <w:t>公司名下主要资产为</w:t>
      </w:r>
      <w:r>
        <w:rPr>
          <w:rFonts w:hint="eastAsia" w:ascii="仿宋" w:hAnsi="仿宋" w:eastAsia="仿宋" w:cs="仿宋"/>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1.</w:t>
      </w:r>
      <w:r>
        <w:rPr>
          <w:rFonts w:hint="eastAsia" w:ascii="仿宋" w:hAnsi="仿宋" w:eastAsia="仿宋" w:cs="仿宋"/>
          <w:sz w:val="28"/>
          <w:szCs w:val="28"/>
        </w:rPr>
        <w:t>货币资金</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经初步清算，截至2024年6月3日银行存款总计</w:t>
      </w:r>
      <w:r>
        <w:rPr>
          <w:rFonts w:hint="eastAsia" w:ascii="仿宋" w:hAnsi="仿宋" w:eastAsia="仿宋" w:cs="仿宋"/>
          <w:sz w:val="28"/>
          <w:szCs w:val="28"/>
          <w:highlight w:val="none"/>
          <w:lang w:val="en-US" w:eastAsia="zh-CN"/>
        </w:rPr>
        <w:t>421452.95</w:t>
      </w:r>
      <w:r>
        <w:rPr>
          <w:rFonts w:hint="eastAsia" w:ascii="仿宋" w:hAnsi="仿宋" w:eastAsia="仿宋" w:cs="仿宋"/>
          <w:sz w:val="28"/>
          <w:szCs w:val="28"/>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lang w:val="en-US" w:eastAsia="zh-CN"/>
        </w:rPr>
        <w:t>不动产：位于临泉县工业园区前进路南侧的11处工业用地。不动产评估价值为36782594.00元。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3.</w:t>
      </w:r>
      <w:r>
        <w:rPr>
          <w:rFonts w:hint="eastAsia" w:ascii="仿宋" w:hAnsi="仿宋" w:eastAsia="仿宋" w:cs="仿宋"/>
          <w:sz w:val="28"/>
          <w:szCs w:val="28"/>
          <w:lang w:val="en-US" w:eastAsia="zh-CN"/>
        </w:rPr>
        <w:t>机器设备及附属物：全自动不锈钢筛选机、全自动吸皮机、打粒机、变压器、全自动不锈钢脱水生产线、全自动副烘臬。机器设备及附属物评估价值为8008277.00元。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4.</w:t>
      </w:r>
      <w:r>
        <w:rPr>
          <w:rFonts w:hint="eastAsia" w:ascii="仿宋" w:hAnsi="仿宋" w:eastAsia="仿宋" w:cs="仿宋"/>
          <w:sz w:val="28"/>
          <w:szCs w:val="28"/>
          <w:lang w:val="en-US" w:eastAsia="zh-CN"/>
        </w:rPr>
        <w:t>对外应收：初步清算总计为7942465.04元（正在审计）</w:t>
      </w:r>
      <w:r>
        <w:rPr>
          <w:rFonts w:hint="eastAsia" w:ascii="仿宋" w:hAnsi="仿宋" w:eastAsia="仿宋" w:cs="仿宋"/>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5.</w:t>
      </w:r>
      <w:r>
        <w:rPr>
          <w:rFonts w:hint="eastAsia" w:ascii="仿宋" w:hAnsi="仿宋" w:eastAsia="仿宋" w:cs="仿宋"/>
          <w:sz w:val="28"/>
          <w:szCs w:val="28"/>
          <w:lang w:val="en-US" w:eastAsia="zh-CN"/>
        </w:rPr>
        <w:t>无形资产：深泽公司处于有效状态的专利技术一共有12项。并拥有独立的排污许可证。</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（三）主要负债情况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截至</w:t>
      </w:r>
      <w:r>
        <w:rPr>
          <w:rFonts w:hint="eastAsia" w:ascii="仿宋" w:hAnsi="仿宋" w:eastAsia="仿宋" w:cs="仿宋"/>
          <w:sz w:val="28"/>
          <w:szCs w:val="28"/>
          <w:lang w:val="en-US" w:eastAsia="zh-CN"/>
        </w:rPr>
        <w:t>2024年6月4日</w:t>
      </w:r>
      <w:r>
        <w:rPr>
          <w:rFonts w:hint="eastAsia" w:ascii="仿宋" w:hAnsi="仿宋" w:eastAsia="仿宋" w:cs="仿宋"/>
          <w:sz w:val="28"/>
          <w:szCs w:val="28"/>
        </w:rPr>
        <w:t>，管理人</w:t>
      </w:r>
      <w:r>
        <w:rPr>
          <w:rFonts w:hint="eastAsia" w:ascii="仿宋" w:hAnsi="仿宋" w:eastAsia="仿宋" w:cs="仿宋"/>
          <w:sz w:val="28"/>
          <w:szCs w:val="28"/>
          <w:lang w:val="en-US" w:eastAsia="zh-CN"/>
        </w:rPr>
        <w:t>接收深泽公司债权人申报的债权总额</w:t>
      </w:r>
      <w:r>
        <w:rPr>
          <w:rFonts w:hint="eastAsia" w:ascii="仿宋" w:hAnsi="仿宋" w:eastAsia="仿宋" w:cs="仿宋"/>
          <w:sz w:val="28"/>
          <w:szCs w:val="28"/>
        </w:rPr>
        <w:t>为</w:t>
      </w:r>
      <w:r>
        <w:rPr>
          <w:rFonts w:hint="eastAsia" w:ascii="仿宋" w:hAnsi="仿宋" w:eastAsia="仿宋" w:cs="仿宋"/>
          <w:sz w:val="28"/>
          <w:szCs w:val="28"/>
          <w:lang w:val="en-US" w:eastAsia="zh-CN"/>
        </w:rPr>
        <w:t>190932561.32</w:t>
      </w:r>
      <w:r>
        <w:rPr>
          <w:rFonts w:hint="eastAsia" w:ascii="仿宋" w:hAnsi="仿宋" w:eastAsia="仿宋" w:cs="仿宋"/>
          <w:sz w:val="28"/>
          <w:szCs w:val="28"/>
        </w:rPr>
        <w:t>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含职工债权</w:t>
      </w:r>
      <w:r>
        <w:rPr>
          <w:rFonts w:hint="eastAsia" w:ascii="仿宋" w:hAnsi="仿宋" w:eastAsia="仿宋" w:cs="仿宋"/>
          <w:sz w:val="28"/>
          <w:szCs w:val="28"/>
          <w:lang w:eastAsia="zh-CN"/>
        </w:rPr>
        <w:t>）</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t>三、</w:t>
      </w:r>
      <w:r>
        <w:rPr>
          <w:rFonts w:hint="eastAsia" w:ascii="仿宋" w:hAnsi="仿宋" w:eastAsia="仿宋" w:cs="仿宋"/>
          <w:b/>
          <w:bCs/>
          <w:sz w:val="28"/>
          <w:szCs w:val="28"/>
          <w:lang w:val="en-US" w:eastAsia="zh-CN"/>
        </w:rPr>
        <w:t>重整模式及可行性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1.清算式重整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深泽公司选择</w:t>
      </w:r>
      <w:r>
        <w:rPr>
          <w:rFonts w:hint="default" w:ascii="仿宋" w:hAnsi="仿宋" w:eastAsia="仿宋" w:cs="仿宋"/>
          <w:sz w:val="28"/>
          <w:szCs w:val="28"/>
          <w:highlight w:val="none"/>
          <w:lang w:val="en-US" w:eastAsia="zh-CN"/>
        </w:rPr>
        <w:t>清算式重整</w:t>
      </w:r>
      <w:r>
        <w:rPr>
          <w:rFonts w:hint="eastAsia" w:ascii="仿宋" w:hAnsi="仿宋" w:eastAsia="仿宋" w:cs="仿宋"/>
          <w:sz w:val="28"/>
          <w:szCs w:val="28"/>
          <w:highlight w:val="none"/>
          <w:lang w:val="en-US" w:eastAsia="zh-CN"/>
        </w:rPr>
        <w:t>，基于其</w:t>
      </w:r>
      <w:r>
        <w:rPr>
          <w:rFonts w:hint="default" w:ascii="仿宋" w:hAnsi="仿宋" w:eastAsia="仿宋" w:cs="仿宋"/>
          <w:sz w:val="28"/>
          <w:szCs w:val="28"/>
          <w:highlight w:val="none"/>
          <w:lang w:val="en-US" w:eastAsia="zh-CN"/>
        </w:rPr>
        <w:t>具有一定的“壳”价值。此处的“壳”价值是指拥有某种行业资质、掌握某项核心技术、享有商标专利等无形资产，以及依附于</w:t>
      </w:r>
      <w:r>
        <w:rPr>
          <w:rFonts w:hint="eastAsia" w:ascii="仿宋" w:hAnsi="仿宋" w:eastAsia="仿宋" w:cs="仿宋"/>
          <w:sz w:val="28"/>
          <w:szCs w:val="28"/>
          <w:highlight w:val="none"/>
          <w:lang w:val="en-US" w:eastAsia="zh-CN"/>
        </w:rPr>
        <w:t>企业</w:t>
      </w:r>
      <w:r>
        <w:rPr>
          <w:rFonts w:hint="default" w:ascii="仿宋" w:hAnsi="仿宋" w:eastAsia="仿宋" w:cs="仿宋"/>
          <w:sz w:val="28"/>
          <w:szCs w:val="28"/>
          <w:highlight w:val="none"/>
          <w:lang w:val="en-US" w:eastAsia="zh-CN"/>
        </w:rPr>
        <w:t>的政策、人员、行业资源等，这些较为稀缺且具有收益性的价值</w:t>
      </w:r>
      <w:r>
        <w:rPr>
          <w:rFonts w:hint="eastAsia" w:ascii="仿宋" w:hAnsi="仿宋" w:eastAsia="仿宋" w:cs="仿宋"/>
          <w:sz w:val="28"/>
          <w:szCs w:val="28"/>
          <w:highlight w:val="none"/>
          <w:lang w:val="en-US" w:eastAsia="zh-CN"/>
        </w:rPr>
        <w:t>，可能</w:t>
      </w:r>
      <w:r>
        <w:rPr>
          <w:rFonts w:hint="default" w:ascii="仿宋" w:hAnsi="仿宋" w:eastAsia="仿宋" w:cs="仿宋"/>
          <w:sz w:val="28"/>
          <w:szCs w:val="28"/>
          <w:highlight w:val="none"/>
          <w:lang w:val="en-US" w:eastAsia="zh-CN"/>
        </w:rPr>
        <w:t>随着</w:t>
      </w:r>
      <w:r>
        <w:rPr>
          <w:rFonts w:hint="eastAsia" w:ascii="仿宋" w:hAnsi="仿宋" w:eastAsia="仿宋" w:cs="仿宋"/>
          <w:sz w:val="28"/>
          <w:szCs w:val="28"/>
          <w:highlight w:val="none"/>
          <w:lang w:val="en-US" w:eastAsia="zh-CN"/>
        </w:rPr>
        <w:t>企业</w:t>
      </w:r>
      <w:r>
        <w:rPr>
          <w:rFonts w:hint="default" w:ascii="仿宋" w:hAnsi="仿宋" w:eastAsia="仿宋" w:cs="仿宋"/>
          <w:sz w:val="28"/>
          <w:szCs w:val="28"/>
          <w:highlight w:val="none"/>
          <w:lang w:val="en-US" w:eastAsia="zh-CN"/>
        </w:rPr>
        <w:t>主体资格的消亡而消亡，且无法通过转让方式取得</w:t>
      </w:r>
      <w:r>
        <w:rPr>
          <w:rFonts w:hint="eastAsia" w:ascii="仿宋" w:hAnsi="仿宋" w:eastAsia="仿宋" w:cs="仿宋"/>
          <w:sz w:val="28"/>
          <w:szCs w:val="28"/>
          <w:highlight w:val="none"/>
          <w:lang w:val="en-US" w:eastAsia="zh-CN"/>
        </w:rPr>
        <w:t>，若进行</w:t>
      </w:r>
      <w:r>
        <w:rPr>
          <w:rFonts w:hint="default" w:ascii="仿宋" w:hAnsi="仿宋" w:eastAsia="仿宋" w:cs="仿宋"/>
          <w:sz w:val="28"/>
          <w:szCs w:val="28"/>
          <w:highlight w:val="none"/>
          <w:lang w:val="en-US" w:eastAsia="zh-CN"/>
        </w:rPr>
        <w:t>破产清算</w:t>
      </w:r>
      <w:r>
        <w:rPr>
          <w:rFonts w:hint="eastAsia" w:ascii="仿宋" w:hAnsi="仿宋" w:eastAsia="仿宋" w:cs="仿宋"/>
          <w:sz w:val="28"/>
          <w:szCs w:val="28"/>
          <w:highlight w:val="none"/>
          <w:lang w:val="en-US" w:eastAsia="zh-CN"/>
        </w:rPr>
        <w:t>可能</w:t>
      </w:r>
      <w:r>
        <w:rPr>
          <w:rFonts w:hint="default" w:ascii="仿宋" w:hAnsi="仿宋" w:eastAsia="仿宋" w:cs="仿宋"/>
          <w:sz w:val="28"/>
          <w:szCs w:val="28"/>
          <w:highlight w:val="none"/>
          <w:lang w:val="en-US" w:eastAsia="zh-CN"/>
        </w:rPr>
        <w:t>造成资源浪费。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所以，深泽公司在破产重整程序中对债务人财产制定的优于破产清算时的清算、变现、分配的清算计划，实现了企业核心资产价值的最大化，选择保持原深泽公司的法人资格存续，以此减少重整负担、平衡各方利益的重整模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2.</w:t>
      </w:r>
      <w:r>
        <w:rPr>
          <w:rFonts w:hint="eastAsia" w:ascii="仿宋" w:hAnsi="仿宋" w:eastAsia="仿宋" w:cs="仿宋"/>
          <w:sz w:val="28"/>
          <w:szCs w:val="28"/>
          <w:lang w:val="en-US" w:eastAsia="zh-CN"/>
        </w:rPr>
        <w:t>清算式重整可行性</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highlight w:val="none"/>
          <w:lang w:val="en-US" w:eastAsia="zh-CN"/>
        </w:rPr>
        <w:t>深泽公司全部资产，包括厂房、土地、设备、办公楼等，若深泽公司保留主体资质，包括排污许可证、商标专利等“无形资产”，通过出资人股权转让的方式，以不低于300万元对价转让给投资人（进行网络拍卖，价高者竞得），所得价款依据企业破产法和《重整计划草案》之规定清偿顺序清偿债务，提高了清偿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此，破产法院报请政府及其相关部门、第三方专业机构等方式，识别债务企业是否具备挽救价值和再生可能，是否符合产业发展方向，是否具有品牌、市场、资产价值，积极引导适用破产重整程序，模拟计算债权人在重整计划草案提请批准时，依照破产清算程序所能获得的清偿比例，以及重整计划草案中拟定的分配比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同时，破产法院指导管理人积极与意向投资人、深泽公司的有关人员进行沟通交流，并告知清算式重整风险、责任和后果，特别引导主要债权人对清算式重整模式应当要有充分认同度，即对破产清算和重整程序有正确认识，充分理解不同程序的作用，对债务人资产情况和债权清偿有较为客观的判断。</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、招募条件及流程</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（一）报名资格条件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投资人应当具有较高社会责任感和良好的商业信誉，拥有足够的资金实力进行重整投资，并提供相应的资信证明或其他履约能力证明；拥有与</w:t>
      </w:r>
      <w:r>
        <w:rPr>
          <w:rFonts w:hint="eastAsia" w:ascii="仿宋" w:hAnsi="仿宋" w:eastAsia="仿宋" w:cs="仿宋"/>
          <w:sz w:val="28"/>
          <w:szCs w:val="28"/>
          <w:lang w:eastAsia="zh-CN"/>
        </w:rPr>
        <w:t>深泽</w:t>
      </w:r>
      <w:r>
        <w:rPr>
          <w:rFonts w:hint="eastAsia" w:ascii="仿宋" w:hAnsi="仿宋" w:eastAsia="仿宋" w:cs="仿宋"/>
          <w:sz w:val="28"/>
          <w:szCs w:val="28"/>
        </w:rPr>
        <w:t>公司重整相适应的经营管理能力。</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（二）报名需提交的文件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参与重整投资的报名意向书，内容包括投资人基本情况介绍、资金实力、投资资金来源的计划等；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意向重整投资人简介书（含主体资格、股权结构、主营业务、历史沿革等信息。如为联合投资人的，需要介绍各自充当的角色、分工及职责等情况）</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意向重整投资人营业执照复印件、法定代表人或负责人身份证明文件、授权委托书原件</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同意对知悉的债务人情况予以保密并愿意签署保密协议的承诺函；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两个或两个以上的公司联合参与投资的，各公司均须按以上要求提交材料。</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对上述报名材料均应加盖意向重整投资人公章并由法定代表人或负责人签名。意向重整投资人未按本公告要求提交完整报名材料的，管理人有权不予接收。</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（三）报名资格审查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管理人根据本公告确定的报名条件和要求对意向重整投资人提交的报名材料进行审查；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rPr>
        <w:t>符合报名条件的意向投资人在获得管理人确认之后，可向管理人提出对</w:t>
      </w:r>
      <w:r>
        <w:rPr>
          <w:rFonts w:hint="eastAsia" w:ascii="仿宋" w:hAnsi="仿宋" w:eastAsia="仿宋" w:cs="仿宋"/>
          <w:sz w:val="28"/>
          <w:szCs w:val="28"/>
          <w:lang w:eastAsia="zh-CN"/>
        </w:rPr>
        <w:t>深泽</w:t>
      </w:r>
      <w:r>
        <w:rPr>
          <w:rFonts w:hint="eastAsia" w:ascii="仿宋" w:hAnsi="仿宋" w:eastAsia="仿宋" w:cs="仿宋"/>
          <w:sz w:val="28"/>
          <w:szCs w:val="28"/>
        </w:rPr>
        <w:t>公司开展尽职调查工作的申请。</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（四）开展尽职调查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报名成功的意向重整投资人在签署《保密承诺书》后，可针对包括但不限于债务人的资产情况、经营情况等开展尽职调查。意向重整投资人开展尽职调查所需的费用由其自行承担。</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（五）确定重整投资人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意向投资人完成尽职调查工作后，在管理人规定时间内提交具有可操作性的《重整投资方案》，内容包括但不限于偿债方案、经营方案、股权调整方案等；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rPr>
        <w:t>管理人对意向投资人提交的《重整投资方案》进行综合评审，确定重整投资人并将结果报告法院；</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w:t>
      </w:r>
      <w:r>
        <w:rPr>
          <w:rFonts w:hint="eastAsia" w:ascii="仿宋" w:hAnsi="仿宋" w:eastAsia="仿宋" w:cs="仿宋"/>
          <w:sz w:val="28"/>
          <w:szCs w:val="28"/>
        </w:rPr>
        <w:t>最终的重整投资人确定后，重整投资人应按照管理人要求签订附生效条件的《重整投资协议》;</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w:t>
      </w:r>
      <w:r>
        <w:rPr>
          <w:rFonts w:hint="eastAsia" w:ascii="仿宋" w:hAnsi="仿宋" w:eastAsia="仿宋" w:cs="仿宋"/>
          <w:sz w:val="28"/>
          <w:szCs w:val="28"/>
        </w:rPr>
        <w:t>《重整计划草案》经债权人会议表决通过并经法院裁定批准后，重整协议正式生效；如《重整计划草案》未获债权人会议表决通过且未能获得法院强制批准的，管理人将向法院申请宣告债务人破产。</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、报名时间及管理人联系方式</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（一）报名时间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意向重整投资人应在</w:t>
      </w:r>
      <w:r>
        <w:rPr>
          <w:rFonts w:hint="eastAsia" w:ascii="仿宋" w:hAnsi="仿宋" w:eastAsia="仿宋" w:cs="仿宋"/>
          <w:sz w:val="28"/>
          <w:szCs w:val="28"/>
          <w:lang w:eastAsia="zh-CN"/>
        </w:rPr>
        <w:t>202</w:t>
      </w:r>
      <w:r>
        <w:rPr>
          <w:rFonts w:hint="eastAsia" w:ascii="仿宋" w:hAnsi="仿宋" w:eastAsia="仿宋" w:cs="仿宋"/>
          <w:sz w:val="28"/>
          <w:szCs w:val="28"/>
          <w:lang w:val="en-US" w:eastAsia="zh-CN"/>
        </w:rPr>
        <w:t>4年6月5日至21日</w:t>
      </w:r>
      <w:r>
        <w:rPr>
          <w:rFonts w:hint="eastAsia" w:ascii="仿宋" w:hAnsi="仿宋" w:eastAsia="仿宋" w:cs="仿宋"/>
          <w:sz w:val="28"/>
          <w:szCs w:val="28"/>
        </w:rPr>
        <w:t>将报名材料纸质版（一式三份）提交至管理人指定地址。</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若重整计划草案表决通过或者人民法院裁定批准，不排除投资人通过参与网络拍卖方式，竞得深泽公司“壳”公司。</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（二）报名地点及联系人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报名文件提交地址：</w:t>
      </w:r>
      <w:r>
        <w:rPr>
          <w:rFonts w:hint="eastAsia" w:ascii="仿宋" w:hAnsi="仿宋" w:eastAsia="仿宋" w:cs="仿宋"/>
          <w:sz w:val="28"/>
          <w:szCs w:val="28"/>
          <w:lang w:val="en-US" w:eastAsia="zh-CN"/>
        </w:rPr>
        <w:t>安徽省临泉县人民法院517室（破产管理人办公室）。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陈律师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lang w:val="en-US" w:eastAsia="zh-CN"/>
        </w:rPr>
        <w:t>13909692295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意向重整投资人如有疑问，可按上述联系方式与管理人联系并进一步洽谈沟通。</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特此公告。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eastAsia="zh-CN"/>
        </w:rPr>
        <w:t>安徽深泽电子股份有限公司</w:t>
      </w:r>
      <w:r>
        <w:rPr>
          <w:rFonts w:hint="eastAsia" w:ascii="仿宋" w:hAnsi="仿宋" w:eastAsia="仿宋" w:cs="仿宋"/>
          <w:sz w:val="28"/>
          <w:szCs w:val="28"/>
        </w:rPr>
        <w:t>管理人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w:t>
      </w:r>
      <w:r>
        <w:rPr>
          <w:rFonts w:hint="eastAsia" w:ascii="仿宋" w:hAnsi="仿宋" w:eastAsia="仿宋" w:cs="仿宋"/>
          <w:sz w:val="28"/>
          <w:szCs w:val="28"/>
          <w:lang w:val="en-US" w:eastAsia="zh-CN"/>
        </w:rPr>
        <w:t>〇</w:t>
      </w:r>
      <w:r>
        <w:rPr>
          <w:rFonts w:hint="eastAsia" w:ascii="仿宋" w:hAnsi="仿宋" w:eastAsia="仿宋" w:cs="仿宋"/>
          <w:sz w:val="28"/>
          <w:szCs w:val="28"/>
        </w:rPr>
        <w:t>二</w:t>
      </w:r>
      <w:r>
        <w:rPr>
          <w:rFonts w:hint="eastAsia" w:ascii="仿宋" w:hAnsi="仿宋" w:eastAsia="仿宋" w:cs="仿宋"/>
          <w:sz w:val="28"/>
          <w:szCs w:val="28"/>
          <w:lang w:val="en-US" w:eastAsia="zh-CN"/>
        </w:rPr>
        <w:t>四</w:t>
      </w:r>
      <w:r>
        <w:rPr>
          <w:rFonts w:hint="eastAsia" w:ascii="仿宋" w:hAnsi="仿宋" w:eastAsia="仿宋" w:cs="仿宋"/>
          <w:sz w:val="28"/>
          <w:szCs w:val="28"/>
        </w:rPr>
        <w:t>年</w:t>
      </w:r>
      <w:r>
        <w:rPr>
          <w:rFonts w:hint="eastAsia" w:ascii="仿宋" w:hAnsi="仿宋" w:eastAsia="仿宋" w:cs="仿宋"/>
          <w:sz w:val="28"/>
          <w:szCs w:val="28"/>
          <w:lang w:val="en-US" w:eastAsia="zh-CN"/>
        </w:rPr>
        <w:t>六</w:t>
      </w:r>
      <w:r>
        <w:rPr>
          <w:rFonts w:hint="eastAsia" w:ascii="仿宋" w:hAnsi="仿宋" w:eastAsia="仿宋" w:cs="仿宋"/>
          <w:sz w:val="28"/>
          <w:szCs w:val="28"/>
        </w:rPr>
        <w:t>月</w:t>
      </w:r>
      <w:r>
        <w:rPr>
          <w:rFonts w:hint="eastAsia" w:ascii="仿宋" w:hAnsi="仿宋" w:eastAsia="仿宋" w:cs="仿宋"/>
          <w:sz w:val="28"/>
          <w:szCs w:val="28"/>
          <w:lang w:val="en-US" w:eastAsia="zh-CN"/>
        </w:rPr>
        <w:t>五</w:t>
      </w:r>
      <w:bookmarkStart w:id="0" w:name="_GoBack"/>
      <w:bookmarkEnd w:id="0"/>
      <w:r>
        <w:rPr>
          <w:rFonts w:hint="eastAsia" w:ascii="仿宋" w:hAnsi="仿宋" w:eastAsia="仿宋" w:cs="仿宋"/>
          <w:sz w:val="28"/>
          <w:szCs w:val="28"/>
        </w:rPr>
        <w:t>日</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EzOTIwNTFkMWRjYjlhM2M2MjEwMTAzOTAyMTAifQ=="/>
  </w:docVars>
  <w:rsids>
    <w:rsidRoot w:val="00000000"/>
    <w:rsid w:val="004D7303"/>
    <w:rsid w:val="007958E0"/>
    <w:rsid w:val="00A2684F"/>
    <w:rsid w:val="0100272B"/>
    <w:rsid w:val="01AD5116"/>
    <w:rsid w:val="026E6341"/>
    <w:rsid w:val="02B250DA"/>
    <w:rsid w:val="03D42E2E"/>
    <w:rsid w:val="03D66BA6"/>
    <w:rsid w:val="03DA48E8"/>
    <w:rsid w:val="04E470A0"/>
    <w:rsid w:val="052B1173"/>
    <w:rsid w:val="053C0C8A"/>
    <w:rsid w:val="053C512E"/>
    <w:rsid w:val="056D353A"/>
    <w:rsid w:val="061D0E3B"/>
    <w:rsid w:val="065546FA"/>
    <w:rsid w:val="06AA0C85"/>
    <w:rsid w:val="076444C8"/>
    <w:rsid w:val="076646E5"/>
    <w:rsid w:val="07B93F84"/>
    <w:rsid w:val="08FE0D7F"/>
    <w:rsid w:val="09E11BB6"/>
    <w:rsid w:val="09E33DCA"/>
    <w:rsid w:val="0A1C29EC"/>
    <w:rsid w:val="0A3B7763"/>
    <w:rsid w:val="0A87769A"/>
    <w:rsid w:val="0ADE3736"/>
    <w:rsid w:val="0B5F3925"/>
    <w:rsid w:val="0B8E1C5F"/>
    <w:rsid w:val="0CD423FE"/>
    <w:rsid w:val="0CEA5470"/>
    <w:rsid w:val="0D116EA1"/>
    <w:rsid w:val="0E043014"/>
    <w:rsid w:val="0E1409F6"/>
    <w:rsid w:val="0ECD6DF7"/>
    <w:rsid w:val="0EE4486D"/>
    <w:rsid w:val="0F040A6B"/>
    <w:rsid w:val="10264A11"/>
    <w:rsid w:val="11022E03"/>
    <w:rsid w:val="11421D1E"/>
    <w:rsid w:val="11C12C43"/>
    <w:rsid w:val="128B34F8"/>
    <w:rsid w:val="13533D6F"/>
    <w:rsid w:val="1444190A"/>
    <w:rsid w:val="14621E5D"/>
    <w:rsid w:val="14FC21E4"/>
    <w:rsid w:val="1525173B"/>
    <w:rsid w:val="15E11F8A"/>
    <w:rsid w:val="179F3771"/>
    <w:rsid w:val="1890511D"/>
    <w:rsid w:val="18BC4164"/>
    <w:rsid w:val="18BD1C8B"/>
    <w:rsid w:val="196565AA"/>
    <w:rsid w:val="196A4310"/>
    <w:rsid w:val="19B968F6"/>
    <w:rsid w:val="1A1C4DD9"/>
    <w:rsid w:val="1AC75042"/>
    <w:rsid w:val="1B6034CD"/>
    <w:rsid w:val="1C913B5A"/>
    <w:rsid w:val="1CD221A8"/>
    <w:rsid w:val="1DE008F5"/>
    <w:rsid w:val="1E5310C7"/>
    <w:rsid w:val="1E614720"/>
    <w:rsid w:val="1EAC6BBF"/>
    <w:rsid w:val="1EDA17E8"/>
    <w:rsid w:val="1F664E2A"/>
    <w:rsid w:val="20482782"/>
    <w:rsid w:val="20D12777"/>
    <w:rsid w:val="216A4B0C"/>
    <w:rsid w:val="218617B3"/>
    <w:rsid w:val="21DC7625"/>
    <w:rsid w:val="22394A78"/>
    <w:rsid w:val="22A21B1F"/>
    <w:rsid w:val="22C64A24"/>
    <w:rsid w:val="236E24FF"/>
    <w:rsid w:val="23C87E61"/>
    <w:rsid w:val="23D5432C"/>
    <w:rsid w:val="23F7213D"/>
    <w:rsid w:val="24107A5A"/>
    <w:rsid w:val="245060A9"/>
    <w:rsid w:val="24816262"/>
    <w:rsid w:val="24AA5F06"/>
    <w:rsid w:val="24C26FA6"/>
    <w:rsid w:val="25276E09"/>
    <w:rsid w:val="256736AA"/>
    <w:rsid w:val="26F61BE2"/>
    <w:rsid w:val="26F81EEC"/>
    <w:rsid w:val="273677D8"/>
    <w:rsid w:val="276C144B"/>
    <w:rsid w:val="27BA21B7"/>
    <w:rsid w:val="281C7485"/>
    <w:rsid w:val="28594428"/>
    <w:rsid w:val="28A54C15"/>
    <w:rsid w:val="28D948BF"/>
    <w:rsid w:val="297D349C"/>
    <w:rsid w:val="2A4C41D9"/>
    <w:rsid w:val="2B6068E7"/>
    <w:rsid w:val="2CC6616B"/>
    <w:rsid w:val="2D6F134E"/>
    <w:rsid w:val="2D864A37"/>
    <w:rsid w:val="2DCC054E"/>
    <w:rsid w:val="2DF31F7F"/>
    <w:rsid w:val="2E3D31FA"/>
    <w:rsid w:val="2EB37960"/>
    <w:rsid w:val="2F2C5F9C"/>
    <w:rsid w:val="2FDE27BA"/>
    <w:rsid w:val="303845C1"/>
    <w:rsid w:val="31540F86"/>
    <w:rsid w:val="315F792B"/>
    <w:rsid w:val="31BA4361"/>
    <w:rsid w:val="31F84007"/>
    <w:rsid w:val="31FE7144"/>
    <w:rsid w:val="321B05D9"/>
    <w:rsid w:val="322A6639"/>
    <w:rsid w:val="32847649"/>
    <w:rsid w:val="32B12408"/>
    <w:rsid w:val="32BD6FFF"/>
    <w:rsid w:val="32EF1AD0"/>
    <w:rsid w:val="33B95A18"/>
    <w:rsid w:val="343432F1"/>
    <w:rsid w:val="345725E2"/>
    <w:rsid w:val="34DD74E5"/>
    <w:rsid w:val="35416932"/>
    <w:rsid w:val="3586192A"/>
    <w:rsid w:val="36015455"/>
    <w:rsid w:val="36582C80"/>
    <w:rsid w:val="367774C5"/>
    <w:rsid w:val="36853990"/>
    <w:rsid w:val="36AF4EB1"/>
    <w:rsid w:val="36CC5A63"/>
    <w:rsid w:val="37695060"/>
    <w:rsid w:val="376D0FF4"/>
    <w:rsid w:val="3770019B"/>
    <w:rsid w:val="3A3F654C"/>
    <w:rsid w:val="3A7C3905"/>
    <w:rsid w:val="3A887EF3"/>
    <w:rsid w:val="3B547DD5"/>
    <w:rsid w:val="3B5C233C"/>
    <w:rsid w:val="3C0B4937"/>
    <w:rsid w:val="3C6B187A"/>
    <w:rsid w:val="3D9170BE"/>
    <w:rsid w:val="3E594080"/>
    <w:rsid w:val="3EF10DD0"/>
    <w:rsid w:val="3EF55FD4"/>
    <w:rsid w:val="3F4A7F61"/>
    <w:rsid w:val="3FBC4C7A"/>
    <w:rsid w:val="3FBD419A"/>
    <w:rsid w:val="40112738"/>
    <w:rsid w:val="402662E9"/>
    <w:rsid w:val="403E177F"/>
    <w:rsid w:val="405014B2"/>
    <w:rsid w:val="41913B31"/>
    <w:rsid w:val="42430F44"/>
    <w:rsid w:val="42A75548"/>
    <w:rsid w:val="436A4639"/>
    <w:rsid w:val="44093E52"/>
    <w:rsid w:val="44511355"/>
    <w:rsid w:val="44AD1FF7"/>
    <w:rsid w:val="45131C52"/>
    <w:rsid w:val="457277D5"/>
    <w:rsid w:val="463B4C13"/>
    <w:rsid w:val="474B6530"/>
    <w:rsid w:val="486755EB"/>
    <w:rsid w:val="4A6A3171"/>
    <w:rsid w:val="4B661B8A"/>
    <w:rsid w:val="4B887D52"/>
    <w:rsid w:val="4C4579F1"/>
    <w:rsid w:val="4C5916EF"/>
    <w:rsid w:val="4C6F0F12"/>
    <w:rsid w:val="4CB6269D"/>
    <w:rsid w:val="4D926C66"/>
    <w:rsid w:val="4DF80A94"/>
    <w:rsid w:val="5027335B"/>
    <w:rsid w:val="50827466"/>
    <w:rsid w:val="51340035"/>
    <w:rsid w:val="517D7C2E"/>
    <w:rsid w:val="52F97788"/>
    <w:rsid w:val="54196C13"/>
    <w:rsid w:val="54492049"/>
    <w:rsid w:val="54696247"/>
    <w:rsid w:val="5545537D"/>
    <w:rsid w:val="55935C72"/>
    <w:rsid w:val="566C201F"/>
    <w:rsid w:val="567A473C"/>
    <w:rsid w:val="56A958B6"/>
    <w:rsid w:val="56AD73B3"/>
    <w:rsid w:val="57C245EC"/>
    <w:rsid w:val="58B21E57"/>
    <w:rsid w:val="59535719"/>
    <w:rsid w:val="59814033"/>
    <w:rsid w:val="5A1A1CBA"/>
    <w:rsid w:val="5A47702B"/>
    <w:rsid w:val="5B062107"/>
    <w:rsid w:val="5B152C85"/>
    <w:rsid w:val="5B307ABF"/>
    <w:rsid w:val="5B353327"/>
    <w:rsid w:val="5B8E11A4"/>
    <w:rsid w:val="5C4557EC"/>
    <w:rsid w:val="5CFF1E3E"/>
    <w:rsid w:val="5D2B6790"/>
    <w:rsid w:val="5D573A29"/>
    <w:rsid w:val="5F1E2FCC"/>
    <w:rsid w:val="5FF82904"/>
    <w:rsid w:val="61023CAB"/>
    <w:rsid w:val="62B80DBA"/>
    <w:rsid w:val="62CC3A98"/>
    <w:rsid w:val="62E95123"/>
    <w:rsid w:val="64917820"/>
    <w:rsid w:val="64A06758"/>
    <w:rsid w:val="64E060B2"/>
    <w:rsid w:val="64EA6F30"/>
    <w:rsid w:val="651915C4"/>
    <w:rsid w:val="655935DD"/>
    <w:rsid w:val="655D3BA6"/>
    <w:rsid w:val="657D7DA4"/>
    <w:rsid w:val="663F505A"/>
    <w:rsid w:val="667363D4"/>
    <w:rsid w:val="66AF3F8D"/>
    <w:rsid w:val="66C56152"/>
    <w:rsid w:val="66CC2D91"/>
    <w:rsid w:val="66DC6D4D"/>
    <w:rsid w:val="66EF082E"/>
    <w:rsid w:val="66F6168A"/>
    <w:rsid w:val="675F2CF0"/>
    <w:rsid w:val="67B22635"/>
    <w:rsid w:val="68522367"/>
    <w:rsid w:val="69194288"/>
    <w:rsid w:val="69201173"/>
    <w:rsid w:val="695A0B28"/>
    <w:rsid w:val="69BD4C13"/>
    <w:rsid w:val="6A372C18"/>
    <w:rsid w:val="6ACA5E8F"/>
    <w:rsid w:val="6AF13BD6"/>
    <w:rsid w:val="6B217424"/>
    <w:rsid w:val="6B56531F"/>
    <w:rsid w:val="6BAD2A66"/>
    <w:rsid w:val="6C1A65D8"/>
    <w:rsid w:val="6C710DC1"/>
    <w:rsid w:val="6CA218CA"/>
    <w:rsid w:val="6CE448CC"/>
    <w:rsid w:val="6D0668D1"/>
    <w:rsid w:val="6D126393"/>
    <w:rsid w:val="6D260D22"/>
    <w:rsid w:val="6D9C0FE4"/>
    <w:rsid w:val="6DAD4ECB"/>
    <w:rsid w:val="6EFA06B8"/>
    <w:rsid w:val="6F5F669E"/>
    <w:rsid w:val="70223A22"/>
    <w:rsid w:val="70401A6A"/>
    <w:rsid w:val="710B2708"/>
    <w:rsid w:val="72347A3D"/>
    <w:rsid w:val="723839D1"/>
    <w:rsid w:val="72814069"/>
    <w:rsid w:val="729117A8"/>
    <w:rsid w:val="73263829"/>
    <w:rsid w:val="73920EBF"/>
    <w:rsid w:val="75F7135C"/>
    <w:rsid w:val="761A519B"/>
    <w:rsid w:val="764F3097"/>
    <w:rsid w:val="778E7BEF"/>
    <w:rsid w:val="7817158B"/>
    <w:rsid w:val="78212811"/>
    <w:rsid w:val="782642CC"/>
    <w:rsid w:val="7826607A"/>
    <w:rsid w:val="795364E2"/>
    <w:rsid w:val="79A90D10"/>
    <w:rsid w:val="7A153316"/>
    <w:rsid w:val="7B446F42"/>
    <w:rsid w:val="7B6C6499"/>
    <w:rsid w:val="7B89704B"/>
    <w:rsid w:val="7BBF0CBF"/>
    <w:rsid w:val="7CA13F21"/>
    <w:rsid w:val="7CBD693B"/>
    <w:rsid w:val="7D8E6354"/>
    <w:rsid w:val="7DAD36BF"/>
    <w:rsid w:val="7E6F077A"/>
    <w:rsid w:val="7EA37390"/>
    <w:rsid w:val="7F5A78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2790</Words>
  <Characters>2936</Characters>
  <Lines>0</Lines>
  <Paragraphs>0</Paragraphs>
  <TotalTime>73</TotalTime>
  <ScaleCrop>false</ScaleCrop>
  <LinksUpToDate>false</LinksUpToDate>
  <CharactersWithSpaces>2943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2024-01-05T01:26:00Z</dcterms:created>
  <dc:creator>33089</dc:creator>
  <cp:lastModifiedBy>万年青</cp:lastModifiedBy>
  <dcterms:modified xsi:type="dcterms:W3CDTF">2024-06-05T06:21:31Z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5721858F08A64DC6B5DF7372C3EB7947_13</vt:lpwstr>
  </property>
</Properties>
</file>