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河北一加一教育科技有限公司破产清算案</w:t>
      </w:r>
    </w:p>
    <w:p>
      <w:pPr>
        <w:keepNext w:val="0"/>
        <w:keepLines w:val="0"/>
        <w:pageBreakBefore w:val="0"/>
        <w:widowControl w:val="0"/>
        <w:kinsoku/>
        <w:wordWrap/>
        <w:overflowPunct/>
        <w:topLinePunct w:val="0"/>
        <w:autoSpaceDE/>
        <w:autoSpaceDN/>
        <w:bidi w:val="0"/>
        <w:adjustRightInd/>
        <w:snapToGrid/>
        <w:spacing w:after="157" w:afterLines="50" w:line="240" w:lineRule="auto"/>
        <w:jc w:val="center"/>
        <w:textAlignment w:val="auto"/>
        <w:rPr>
          <w:rFonts w:ascii="黑体" w:hAnsi="黑体" w:eastAsia="黑体" w:cs="黑体"/>
          <w:sz w:val="32"/>
          <w:szCs w:val="32"/>
        </w:rPr>
      </w:pPr>
      <w:r>
        <w:rPr>
          <w:rFonts w:hint="eastAsia" w:ascii="黑体" w:hAnsi="黑体" w:eastAsia="黑体" w:cs="黑体"/>
          <w:sz w:val="32"/>
          <w:szCs w:val="32"/>
          <w:lang w:val="en-US" w:eastAsia="zh-CN"/>
        </w:rPr>
        <w:t>债权</w:t>
      </w:r>
      <w:r>
        <w:rPr>
          <w:rFonts w:hint="eastAsia" w:ascii="黑体" w:hAnsi="黑体" w:eastAsia="黑体" w:cs="黑体"/>
          <w:sz w:val="32"/>
          <w:szCs w:val="32"/>
        </w:rPr>
        <w:t>申报须知</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依据</w:t>
      </w:r>
      <w:r>
        <w:rPr>
          <w:rFonts w:hint="eastAsia" w:ascii="仿宋" w:hAnsi="仿宋" w:eastAsia="仿宋" w:cs="仿宋"/>
          <w:sz w:val="28"/>
          <w:szCs w:val="28"/>
        </w:rPr>
        <w:t>《中华人民共和国企业破产法》（简称“《企业破产法》”）第四十八条的规定，人民法院受理破产申请时对债务人享有债权的债权人，应在人民法院确定的债权申报期限内向管理人申报债权。为规范债权申报相关工作，管理人特告知债权人如下事宜：</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一、债权申报期限</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u w:val="single"/>
        </w:rPr>
        <w:t>债权申报期限自</w:t>
      </w:r>
      <w:r>
        <w:rPr>
          <w:rFonts w:hint="eastAsia" w:ascii="仿宋" w:hAnsi="仿宋" w:eastAsia="仿宋" w:cs="仿宋"/>
          <w:sz w:val="28"/>
          <w:szCs w:val="28"/>
          <w:u w:val="single"/>
          <w:lang w:val="en-US" w:eastAsia="zh-CN"/>
        </w:rPr>
        <w:t>2024年6月3日起</w:t>
      </w:r>
      <w:r>
        <w:rPr>
          <w:rFonts w:hint="eastAsia" w:ascii="仿宋" w:hAnsi="仿宋" w:eastAsia="仿宋" w:cs="仿宋"/>
          <w:sz w:val="28"/>
          <w:szCs w:val="28"/>
          <w:u w:val="single"/>
        </w:rPr>
        <w:t>至202</w:t>
      </w:r>
      <w:r>
        <w:rPr>
          <w:rFonts w:hint="eastAsia" w:ascii="仿宋" w:hAnsi="仿宋" w:eastAsia="仿宋" w:cs="仿宋"/>
          <w:sz w:val="28"/>
          <w:szCs w:val="28"/>
          <w:u w:val="single"/>
          <w:lang w:val="en-US" w:eastAsia="zh-CN"/>
        </w:rPr>
        <w:t>4</w:t>
      </w:r>
      <w:r>
        <w:rPr>
          <w:rFonts w:hint="eastAsia" w:ascii="仿宋" w:hAnsi="仿宋" w:eastAsia="仿宋" w:cs="仿宋"/>
          <w:sz w:val="28"/>
          <w:szCs w:val="28"/>
          <w:u w:val="single"/>
        </w:rPr>
        <w:t>年</w:t>
      </w:r>
      <w:r>
        <w:rPr>
          <w:rFonts w:hint="eastAsia" w:ascii="仿宋" w:hAnsi="仿宋" w:eastAsia="仿宋" w:cs="仿宋"/>
          <w:sz w:val="28"/>
          <w:szCs w:val="28"/>
          <w:u w:val="single"/>
          <w:lang w:val="en-US" w:eastAsia="zh-CN"/>
        </w:rPr>
        <w:t>7</w:t>
      </w:r>
      <w:r>
        <w:rPr>
          <w:rFonts w:hint="eastAsia" w:ascii="仿宋" w:hAnsi="仿宋" w:eastAsia="仿宋" w:cs="仿宋"/>
          <w:sz w:val="28"/>
          <w:szCs w:val="28"/>
          <w:u w:val="single"/>
        </w:rPr>
        <w:t>月</w:t>
      </w:r>
      <w:r>
        <w:rPr>
          <w:rFonts w:hint="eastAsia" w:ascii="仿宋" w:hAnsi="仿宋" w:eastAsia="仿宋" w:cs="仿宋"/>
          <w:sz w:val="28"/>
          <w:szCs w:val="28"/>
          <w:u w:val="single"/>
          <w:lang w:val="en-US" w:eastAsia="zh-CN"/>
        </w:rPr>
        <w:t>3</w:t>
      </w:r>
      <w:r>
        <w:rPr>
          <w:rFonts w:hint="eastAsia" w:ascii="仿宋" w:hAnsi="仿宋" w:eastAsia="仿宋" w:cs="仿宋"/>
          <w:sz w:val="28"/>
          <w:szCs w:val="28"/>
          <w:u w:val="single"/>
        </w:rPr>
        <w:t>日</w:t>
      </w:r>
      <w:r>
        <w:rPr>
          <w:rFonts w:hint="eastAsia" w:ascii="仿宋" w:hAnsi="仿宋" w:eastAsia="仿宋" w:cs="仿宋"/>
          <w:sz w:val="28"/>
          <w:szCs w:val="28"/>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依据</w:t>
      </w:r>
      <w:r>
        <w:rPr>
          <w:rFonts w:hint="eastAsia" w:ascii="仿宋" w:hAnsi="仿宋" w:eastAsia="仿宋" w:cs="仿宋"/>
          <w:sz w:val="28"/>
          <w:szCs w:val="28"/>
        </w:rPr>
        <w:t>《企业破产法》第五十六条的规定，债权人未按期申报，可以在破产财产最后分配前补充申报；但是，此前已进行的分配，不再对其补充分配，为审查和确认补充申报债权的费用，由补充申报人承担。债权人未依《企业破产法》规定申报债权的，不得依照《企业破产法》规定的程序行使权利。</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二、债权申报方式</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债权人申报债权应当以书面形式通过现场、邮寄或电子邮件方式申报。</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（一）现场方式，向管理人提供申报材料原件及证据材料复印件（复印件必须清晰，签字捺印或盖章）；</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（二）邮寄方式，向管理人邮寄申报材料原件及证据材料复印件（复印件必须清晰，签字捺印或盖章）；</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（三）电子邮件方式，向管理人指定邮箱发送申报材料签字盖章版原件的扫描件。</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现场申报地址（邮寄地址）：石家庄市</w:t>
      </w:r>
      <w:r>
        <w:rPr>
          <w:rFonts w:hint="eastAsia" w:ascii="仿宋" w:hAnsi="仿宋" w:eastAsia="仿宋" w:cs="仿宋"/>
          <w:color w:val="auto"/>
          <w:sz w:val="28"/>
          <w:szCs w:val="28"/>
          <w:highlight w:val="none"/>
          <w:lang w:eastAsia="zh-CN"/>
        </w:rPr>
        <w:t>桥西区槐安路与时光街交叉口西北角翠堤春晓写字楼</w:t>
      </w:r>
      <w:r>
        <w:rPr>
          <w:rFonts w:hint="eastAsia" w:ascii="仿宋" w:hAnsi="仿宋" w:eastAsia="仿宋" w:cs="仿宋"/>
          <w:color w:val="auto"/>
          <w:sz w:val="28"/>
          <w:szCs w:val="28"/>
          <w:highlight w:val="none"/>
          <w:lang w:val="en-US" w:eastAsia="zh-CN"/>
        </w:rPr>
        <w:t>806</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收件人：</w:t>
      </w:r>
      <w:r>
        <w:rPr>
          <w:rFonts w:hint="eastAsia" w:ascii="仿宋" w:hAnsi="仿宋" w:eastAsia="仿宋" w:cs="仿宋"/>
          <w:color w:val="auto"/>
          <w:sz w:val="28"/>
          <w:szCs w:val="28"/>
          <w:highlight w:val="none"/>
          <w:lang w:eastAsia="zh-CN"/>
        </w:rPr>
        <w:t>河北一加一教育科技有限公司</w:t>
      </w:r>
      <w:r>
        <w:rPr>
          <w:rFonts w:hint="eastAsia" w:ascii="仿宋" w:hAnsi="仿宋" w:eastAsia="仿宋" w:cs="仿宋"/>
          <w:color w:val="auto"/>
          <w:sz w:val="28"/>
          <w:szCs w:val="28"/>
          <w:highlight w:val="none"/>
        </w:rPr>
        <w:t>管理人</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管理人工作时间：</w:t>
      </w:r>
      <w:r>
        <w:rPr>
          <w:rFonts w:hint="eastAsia" w:ascii="仿宋" w:hAnsi="仿宋" w:eastAsia="仿宋" w:cs="仿宋"/>
          <w:color w:val="auto"/>
          <w:sz w:val="28"/>
          <w:szCs w:val="28"/>
          <w:highlight w:val="none"/>
          <w:u w:val="single"/>
        </w:rPr>
        <w:t>周一至周五（法定节假日除外），上午9:00-12：00，下午14:</w:t>
      </w:r>
      <w:r>
        <w:rPr>
          <w:rFonts w:hint="eastAsia" w:ascii="仿宋" w:hAnsi="仿宋" w:eastAsia="仿宋" w:cs="仿宋"/>
          <w:color w:val="auto"/>
          <w:sz w:val="28"/>
          <w:szCs w:val="28"/>
          <w:highlight w:val="none"/>
          <w:u w:val="single"/>
          <w:lang w:val="en-US" w:eastAsia="zh-CN"/>
        </w:rPr>
        <w:t>0</w:t>
      </w:r>
      <w:r>
        <w:rPr>
          <w:rFonts w:hint="eastAsia" w:ascii="仿宋" w:hAnsi="仿宋" w:eastAsia="仿宋" w:cs="仿宋"/>
          <w:color w:val="auto"/>
          <w:sz w:val="28"/>
          <w:szCs w:val="28"/>
          <w:highlight w:val="none"/>
          <w:u w:val="single"/>
        </w:rPr>
        <w:t>0-17:</w:t>
      </w:r>
      <w:r>
        <w:rPr>
          <w:rFonts w:hint="eastAsia" w:ascii="仿宋" w:hAnsi="仿宋" w:eastAsia="仿宋" w:cs="仿宋"/>
          <w:color w:val="auto"/>
          <w:sz w:val="28"/>
          <w:szCs w:val="28"/>
          <w:highlight w:val="none"/>
          <w:u w:val="single"/>
          <w:lang w:val="en-US" w:eastAsia="zh-CN"/>
        </w:rPr>
        <w:t>0</w:t>
      </w:r>
      <w:r>
        <w:rPr>
          <w:rFonts w:hint="eastAsia" w:ascii="仿宋" w:hAnsi="仿宋" w:eastAsia="仿宋" w:cs="仿宋"/>
          <w:color w:val="auto"/>
          <w:sz w:val="28"/>
          <w:szCs w:val="28"/>
          <w:highlight w:val="none"/>
          <w:u w:val="single"/>
        </w:rPr>
        <w:t>0</w:t>
      </w:r>
      <w:r>
        <w:rPr>
          <w:rFonts w:hint="eastAsia" w:ascii="仿宋" w:hAnsi="仿宋" w:eastAsia="仿宋" w:cs="仿宋"/>
          <w:color w:val="auto"/>
          <w:sz w:val="28"/>
          <w:szCs w:val="28"/>
          <w:highlight w:val="none"/>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w:t>
      </w:r>
      <w:r>
        <w:rPr>
          <w:rFonts w:hint="eastAsia" w:ascii="仿宋" w:hAnsi="仿宋" w:eastAsia="仿宋" w:cs="仿宋"/>
          <w:color w:val="auto"/>
          <w:sz w:val="28"/>
          <w:szCs w:val="28"/>
          <w:highlight w:val="none"/>
          <w:lang w:eastAsia="zh-CN"/>
        </w:rPr>
        <w:t>吕</w:t>
      </w:r>
      <w:r>
        <w:rPr>
          <w:rFonts w:hint="eastAsia" w:ascii="仿宋" w:hAnsi="仿宋" w:eastAsia="仿宋" w:cs="仿宋"/>
          <w:color w:val="auto"/>
          <w:sz w:val="28"/>
          <w:szCs w:val="28"/>
          <w:highlight w:val="none"/>
          <w:u w:val="none"/>
        </w:rPr>
        <w:t>律师</w:t>
      </w:r>
      <w:r>
        <w:rPr>
          <w:rFonts w:hint="eastAsia" w:ascii="仿宋" w:hAnsi="仿宋" w:eastAsia="仿宋" w:cs="仿宋"/>
          <w:color w:val="auto"/>
          <w:sz w:val="28"/>
          <w:szCs w:val="28"/>
          <w:highlight w:val="none"/>
          <w:u w:val="none"/>
          <w:lang w:val="en-US" w:eastAsia="zh-CN"/>
        </w:rPr>
        <w:t xml:space="preserve">   张律师</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u w:val="none"/>
        </w:rPr>
        <w:t>联系电话：</w:t>
      </w:r>
      <w:r>
        <w:rPr>
          <w:rFonts w:hint="eastAsia" w:ascii="仿宋" w:hAnsi="仿宋" w:eastAsia="仿宋" w:cs="仿宋"/>
          <w:color w:val="auto"/>
          <w:sz w:val="28"/>
          <w:szCs w:val="28"/>
          <w:highlight w:val="none"/>
          <w:u w:val="none"/>
          <w:lang w:val="en-US" w:eastAsia="zh-CN"/>
        </w:rPr>
        <w:t xml:space="preserve">15533663880   </w:t>
      </w:r>
      <w:r>
        <w:rPr>
          <w:rFonts w:hint="eastAsia" w:ascii="仿宋" w:hAnsi="仿宋" w:eastAsia="仿宋" w:cs="仿宋"/>
          <w:sz w:val="28"/>
          <w:szCs w:val="28"/>
          <w:lang w:val="en-US" w:eastAsia="zh-CN"/>
        </w:rPr>
        <w:t>18821765160</w:t>
      </w:r>
      <w:r>
        <w:rPr>
          <w:rFonts w:hint="eastAsia" w:ascii="仿宋" w:hAnsi="仿宋" w:eastAsia="仿宋" w:cs="仿宋"/>
          <w:color w:val="auto"/>
          <w:sz w:val="28"/>
          <w:szCs w:val="28"/>
          <w:highlight w:val="none"/>
          <w:u w:val="none"/>
          <w:lang w:val="en-US" w:eastAsia="zh-CN"/>
        </w:rPr>
        <w:t xml:space="preserve"> </w:t>
      </w:r>
      <w:r>
        <w:rPr>
          <w:rFonts w:hint="eastAsia" w:ascii="仿宋" w:hAnsi="仿宋" w:eastAsia="仿宋" w:cs="仿宋"/>
          <w:color w:val="auto"/>
          <w:sz w:val="28"/>
          <w:szCs w:val="28"/>
          <w:highlight w:val="none"/>
          <w:lang w:val="en-US" w:eastAsia="zh-CN"/>
        </w:rPr>
        <w:t xml:space="preserve"> </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电子邮箱：tianhong202405@163.com</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三、债权申报材料内容</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（一）关于债权人主体资格的证明材料</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债权人为机构的，须提交有效的营业执照副本复印件、事业单位或社团法人登记证书复印件、法定代表人或负责人身份证明书原件；</w:t>
      </w:r>
      <w:r>
        <w:rPr>
          <w:rFonts w:hint="eastAsia" w:ascii="仿宋" w:hAnsi="仿宋" w:eastAsia="仿宋" w:cs="仿宋"/>
          <w:sz w:val="28"/>
          <w:szCs w:val="28"/>
          <w:lang w:val="en-US" w:eastAsia="zh-CN"/>
        </w:rPr>
        <w:t>与河北一加一教育科技有限公司发生债权债务后名称发生变更的，还应提交市场监督管理机构或其他登记机关出具的名称变更证明。</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债权人为自然人的，须提交债权人身份证或其他个人有效证件复印件；</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w:t>
      </w:r>
      <w:r>
        <w:rPr>
          <w:rFonts w:hint="eastAsia" w:ascii="仿宋" w:hAnsi="仿宋" w:eastAsia="仿宋" w:cs="仿宋"/>
          <w:sz w:val="28"/>
          <w:szCs w:val="28"/>
        </w:rPr>
        <w:t>债权人委托代理人申报债权的，除提交上述材料外，还须提交授权委托书原件及受托人的有效身份证复印件。其中受托人为律师的，须提交律师事务所指派函原件及律师执业证复印件。</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（二）债权人须填写并提交的材料</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1</w:t>
      </w:r>
      <w:r>
        <w:rPr>
          <w:rFonts w:hint="eastAsia" w:ascii="仿宋" w:hAnsi="仿宋" w:eastAsia="仿宋" w:cs="仿宋"/>
          <w:b/>
          <w:sz w:val="28"/>
          <w:szCs w:val="28"/>
          <w:lang w:eastAsia="zh-CN"/>
        </w:rPr>
        <w:t>.</w:t>
      </w:r>
      <w:r>
        <w:rPr>
          <w:rFonts w:hint="eastAsia" w:ascii="仿宋" w:hAnsi="仿宋" w:eastAsia="仿宋" w:cs="仿宋"/>
          <w:b/>
          <w:sz w:val="28"/>
          <w:szCs w:val="28"/>
        </w:rPr>
        <w:t>债权申报文件清单</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u w:val="single"/>
        </w:rPr>
        <w:t>债权人按要求填写债权申报文件清单一式二份</w:t>
      </w:r>
      <w:r>
        <w:rPr>
          <w:rFonts w:hint="eastAsia" w:ascii="仿宋" w:hAnsi="仿宋" w:eastAsia="仿宋" w:cs="仿宋"/>
          <w:sz w:val="28"/>
          <w:szCs w:val="28"/>
        </w:rPr>
        <w:t>，其中申报文件请按“主体资格证明材料”“债权申报表等债权人填写的材料”“关于所申报债权成立及效力的证明材料”“其他”的类别顺序填写；如填写内容超出该页空栏的，可自行按清单格式加页填写。</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2</w:t>
      </w:r>
      <w:r>
        <w:rPr>
          <w:rFonts w:hint="eastAsia" w:ascii="仿宋" w:hAnsi="仿宋" w:eastAsia="仿宋" w:cs="仿宋"/>
          <w:b/>
          <w:sz w:val="28"/>
          <w:szCs w:val="28"/>
          <w:lang w:eastAsia="zh-CN"/>
        </w:rPr>
        <w:t>.</w:t>
      </w:r>
      <w:r>
        <w:rPr>
          <w:rFonts w:hint="eastAsia" w:ascii="仿宋" w:hAnsi="仿宋" w:eastAsia="仿宋" w:cs="仿宋"/>
          <w:b/>
          <w:sz w:val="28"/>
          <w:szCs w:val="28"/>
        </w:rPr>
        <w:t>债权人主体资格证明材料</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2.1 债权人为机构的，应提供如下主体资格证明材料：</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（1）有效的企业法人营业执照（三证合一）、事业和社团法人登记证书或其他合法证明书（复印件并加盖公章）；</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（2）法定代表人（负责人）身份证明书（请参照附件）；</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（3）法定代表人（负责人）身份证等个人有效身份证件（复印件并加盖公章，如现场申报的应提交原件核对）；</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（4）法定代表人（负责人）之外的人员申报的，应当另行提交：</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①债权人的授权委托书（请参照附件）；</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②代理人的身份证等个人有效身份证件（复印件加盖公章，如现场申报的应提交原件核对）。</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2.2 债权人为自然人的，应提供债权人身份证</w:t>
      </w:r>
      <w:r>
        <w:rPr>
          <w:rFonts w:hint="eastAsia" w:ascii="仿宋" w:hAnsi="仿宋" w:eastAsia="仿宋" w:cs="仿宋"/>
          <w:sz w:val="28"/>
          <w:szCs w:val="28"/>
        </w:rPr>
        <w:t>或其他个人有效证件</w:t>
      </w:r>
      <w:r>
        <w:rPr>
          <w:rFonts w:hint="eastAsia" w:ascii="仿宋" w:hAnsi="仿宋" w:eastAsia="仿宋" w:cs="仿宋"/>
          <w:kern w:val="2"/>
          <w:sz w:val="28"/>
          <w:szCs w:val="28"/>
          <w:lang w:val="en-US" w:eastAsia="zh-CN" w:bidi="ar-SA"/>
        </w:rPr>
        <w:t>（复印件，如现场申报的应提交原件核对）。</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kern w:val="2"/>
          <w:sz w:val="28"/>
          <w:szCs w:val="28"/>
          <w:lang w:val="en-US" w:eastAsia="zh-CN" w:bidi="ar-SA"/>
        </w:rPr>
        <w:t xml:space="preserve">2.3 </w:t>
      </w:r>
      <w:r>
        <w:rPr>
          <w:rFonts w:hint="eastAsia" w:ascii="仿宋" w:hAnsi="仿宋" w:eastAsia="仿宋" w:cs="仿宋"/>
          <w:sz w:val="28"/>
          <w:szCs w:val="28"/>
        </w:rPr>
        <w:t>债权人委托代理人进行申报的，除提供上述材料外，还需提交如下材料：</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（1）授权委托书（</w:t>
      </w:r>
      <w:r>
        <w:rPr>
          <w:rFonts w:hint="eastAsia" w:ascii="仿宋" w:hAnsi="仿宋" w:eastAsia="仿宋" w:cs="仿宋"/>
          <w:sz w:val="28"/>
          <w:szCs w:val="28"/>
          <w:lang w:eastAsia="zh-CN"/>
        </w:rPr>
        <w:t>请参照附件</w:t>
      </w:r>
      <w:r>
        <w:rPr>
          <w:rFonts w:hint="eastAsia" w:ascii="仿宋" w:hAnsi="仿宋" w:eastAsia="仿宋" w:cs="仿宋"/>
          <w:sz w:val="28"/>
          <w:szCs w:val="28"/>
        </w:rPr>
        <w:t>）；</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（2）代理人身份证或其他个人有效证件原件（核对后归还）及复印件（正反面复印于同一张A4纸）；</w:t>
      </w:r>
    </w:p>
    <w:p>
      <w:pPr>
        <w:spacing w:line="50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（3）代理人为律师的，应当提交所在律师事务所函及执业证复印件</w:t>
      </w:r>
      <w:r>
        <w:rPr>
          <w:rFonts w:hint="eastAsia" w:ascii="仿宋" w:hAnsi="仿宋" w:eastAsia="仿宋" w:cs="仿宋"/>
          <w:sz w:val="28"/>
          <w:szCs w:val="28"/>
          <w:lang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lang w:val="en-US" w:eastAsia="zh-CN"/>
        </w:rPr>
        <w:t>3.</w:t>
      </w:r>
      <w:r>
        <w:rPr>
          <w:rFonts w:hint="eastAsia" w:ascii="仿宋" w:hAnsi="仿宋" w:eastAsia="仿宋" w:cs="仿宋"/>
          <w:b/>
          <w:sz w:val="28"/>
          <w:szCs w:val="28"/>
        </w:rPr>
        <w:t>债权申报表</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债权人为机构的，填报机构版债权申报表，并由法定代表人（或负责人）签字并加盖公章；债权人为自然人的，填报自然人版债权申报表，由本人签字并捺印。债权人如委托代理人代为申报的，代理人还须在债权申报表上签字并捺印</w:t>
      </w:r>
      <w:r>
        <w:rPr>
          <w:rFonts w:hint="eastAsia" w:ascii="仿宋" w:hAnsi="仿宋" w:eastAsia="仿宋" w:cs="仿宋"/>
          <w:sz w:val="28"/>
          <w:szCs w:val="28"/>
          <w:lang w:val="en-US"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权人提交债权申报表时，请另附页详细说明债权发生的事实与依据。债权人如主张利息或违约金的，应同时提交《利息/违约金计算说明》，详细说明利息或违约金的计算依据及计算方法（包括但不限于计算基数、计算标准、计算期限）。</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rPr>
        <w:t>管理人特别提示：</w:t>
      </w:r>
      <w:r>
        <w:rPr>
          <w:rFonts w:hint="eastAsia" w:ascii="仿宋" w:hAnsi="仿宋" w:eastAsia="仿宋" w:cs="仿宋"/>
          <w:sz w:val="28"/>
          <w:szCs w:val="28"/>
          <w:lang w:val="en-US" w:eastAsia="zh-CN"/>
        </w:rPr>
        <w:t>如申报的债权涉及利息、违约金，计算至2024年5月30日</w:t>
      </w:r>
      <w:r>
        <w:rPr>
          <w:rFonts w:hint="eastAsia" w:ascii="仿宋" w:hAnsi="仿宋" w:eastAsia="仿宋" w:cs="仿宋"/>
          <w:sz w:val="28"/>
          <w:szCs w:val="28"/>
          <w:highlight w:val="none"/>
          <w:u w:val="single"/>
        </w:rPr>
        <w:t>（即</w:t>
      </w:r>
      <w:r>
        <w:rPr>
          <w:rFonts w:hint="eastAsia" w:ascii="仿宋" w:hAnsi="仿宋" w:eastAsia="仿宋" w:cs="仿宋"/>
          <w:sz w:val="28"/>
          <w:szCs w:val="28"/>
          <w:highlight w:val="none"/>
          <w:u w:val="single"/>
          <w:lang w:val="en-US" w:eastAsia="zh-CN"/>
        </w:rPr>
        <w:t>石家庄市中级人民法院裁定受理李茗对河北一加一教育科技有限公司破产清算申请之日</w:t>
      </w:r>
      <w:r>
        <w:rPr>
          <w:rFonts w:hint="eastAsia" w:ascii="仿宋" w:hAnsi="仿宋" w:eastAsia="仿宋" w:cs="仿宋"/>
          <w:sz w:val="28"/>
          <w:szCs w:val="28"/>
          <w:highlight w:val="none"/>
          <w:u w:val="single"/>
        </w:rPr>
        <w:t>）止</w:t>
      </w:r>
      <w:r>
        <w:rPr>
          <w:rFonts w:hint="eastAsia" w:ascii="仿宋" w:hAnsi="仿宋" w:eastAsia="仿宋" w:cs="仿宋"/>
          <w:sz w:val="28"/>
          <w:szCs w:val="28"/>
          <w:highlight w:val="none"/>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lang w:val="en-US" w:eastAsia="zh-CN"/>
        </w:rPr>
        <w:t>4</w:t>
      </w:r>
      <w:r>
        <w:rPr>
          <w:rFonts w:hint="eastAsia" w:ascii="仿宋" w:hAnsi="仿宋" w:eastAsia="仿宋" w:cs="仿宋"/>
          <w:b/>
          <w:sz w:val="28"/>
          <w:szCs w:val="28"/>
          <w:lang w:eastAsia="zh-CN"/>
        </w:rPr>
        <w:t>.</w:t>
      </w:r>
      <w:r>
        <w:rPr>
          <w:rFonts w:hint="eastAsia" w:ascii="仿宋" w:hAnsi="仿宋" w:eastAsia="仿宋" w:cs="仿宋"/>
          <w:b/>
          <w:sz w:val="28"/>
          <w:szCs w:val="28"/>
        </w:rPr>
        <w:t>债权人地址及联系方式确认书</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债权人为机构的，法定代表人（或负责人）应在债权人地址及联系方式确认书上签字并加盖公章；债权人为自然人的，本人应签字并捺印。债权人应准确填写债权人地址及联系方式确认书，债权人填报的地址及联系方式将作为法院或管理人寄送文书、通知等资料的送达地址。该地址如有变更须及时书面通知管理人。如因债权人提供的地址不详或有错误或地址变更后未及时书面通知管理人等原因，导致债权人未能收到法院、管理人送达的文书、通知等资料的，后果由债权人自行承担。</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lang w:val="en-US" w:eastAsia="zh-CN"/>
        </w:rPr>
        <w:t>5</w:t>
      </w:r>
      <w:r>
        <w:rPr>
          <w:rFonts w:hint="eastAsia" w:ascii="仿宋" w:hAnsi="仿宋" w:eastAsia="仿宋" w:cs="仿宋"/>
          <w:b/>
          <w:sz w:val="28"/>
          <w:szCs w:val="28"/>
          <w:lang w:eastAsia="zh-CN"/>
        </w:rPr>
        <w:t>.</w:t>
      </w:r>
      <w:r>
        <w:rPr>
          <w:rFonts w:hint="eastAsia" w:ascii="仿宋" w:hAnsi="仿宋" w:eastAsia="仿宋" w:cs="仿宋"/>
          <w:b/>
          <w:sz w:val="28"/>
          <w:szCs w:val="28"/>
        </w:rPr>
        <w:t>债权人接收资金账户信息确认书</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债权人须提交接收资金账户信息确认书（应包含与债权人姓名或名称一致的开户名、开户银行、收款账号信息），以便债权人按</w:t>
      </w:r>
      <w:r>
        <w:rPr>
          <w:rFonts w:hint="eastAsia" w:ascii="仿宋" w:hAnsi="仿宋" w:eastAsia="仿宋" w:cs="仿宋"/>
          <w:sz w:val="28"/>
          <w:szCs w:val="28"/>
          <w:lang w:val="en-US" w:eastAsia="zh-CN"/>
        </w:rPr>
        <w:t>分配方案</w:t>
      </w:r>
      <w:r>
        <w:rPr>
          <w:rFonts w:hint="eastAsia" w:ascii="仿宋" w:hAnsi="仿宋" w:eastAsia="仿宋" w:cs="仿宋"/>
          <w:sz w:val="28"/>
          <w:szCs w:val="28"/>
        </w:rPr>
        <w:t>接收货币清偿。债权人为机构的，法定代表人（或负责人）应在接收资金账户信息确认书上签字并加盖公章；债权人为自然人的，本人应签字并捺印，该账户如有变更须及时书面通知管理人</w:t>
      </w:r>
      <w:r>
        <w:rPr>
          <w:rFonts w:hint="eastAsia" w:ascii="仿宋" w:hAnsi="仿宋" w:eastAsia="仿宋" w:cs="仿宋"/>
          <w:sz w:val="28"/>
          <w:szCs w:val="28"/>
          <w:lang w:val="en-US"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如因债权人提供的接收资金账户错误或变更后未及时通知管理人等原因，导致债权人未收到或未及时收到款项的，后果由债权人自行承担。</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6.诚信申报承诺书</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债权人为</w:t>
      </w:r>
      <w:r>
        <w:rPr>
          <w:rFonts w:hint="eastAsia" w:ascii="仿宋" w:hAnsi="仿宋" w:eastAsia="仿宋" w:cs="仿宋"/>
          <w:b w:val="0"/>
          <w:bCs/>
          <w:sz w:val="28"/>
          <w:szCs w:val="28"/>
        </w:rPr>
        <w:t>机构的，由法定代表人（或负责人）签字并加盖公章；债权人为自然人的由本人签字并捺印</w:t>
      </w:r>
      <w:r>
        <w:rPr>
          <w:rFonts w:hint="eastAsia" w:ascii="仿宋" w:hAnsi="仿宋" w:eastAsia="仿宋" w:cs="仿宋"/>
          <w:b w:val="0"/>
          <w:bCs/>
          <w:sz w:val="28"/>
          <w:szCs w:val="28"/>
          <w:lang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sz w:val="28"/>
          <w:szCs w:val="28"/>
        </w:rPr>
      </w:pPr>
      <w:r>
        <w:rPr>
          <w:rFonts w:hint="eastAsia" w:ascii="仿宋" w:hAnsi="仿宋" w:eastAsia="仿宋" w:cs="仿宋"/>
          <w:b/>
          <w:sz w:val="28"/>
          <w:szCs w:val="28"/>
        </w:rPr>
        <w:t>（三）关于所申报债权成立及效力的证明材料</w:t>
      </w:r>
      <w:r>
        <w:rPr>
          <w:rFonts w:hint="eastAsia" w:ascii="仿宋" w:hAnsi="仿宋" w:eastAsia="仿宋" w:cs="仿宋"/>
          <w:sz w:val="28"/>
          <w:szCs w:val="28"/>
        </w:rPr>
        <w:t xml:space="preserve"> </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与所申报债权形成、变动有关的原始材料，包括但不限于合同或协议、票据、对账单、银行转账凭证等证据材料的复印件；</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所申报债权如设定有担保的，还须提交担保合同或担保函（担保承诺书）及相关登记证件等证明担保权依法设立的证据材料的复印件；</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w:t>
      </w:r>
      <w:r>
        <w:rPr>
          <w:rFonts w:hint="eastAsia" w:ascii="仿宋" w:hAnsi="仿宋" w:eastAsia="仿宋" w:cs="仿宋"/>
          <w:sz w:val="28"/>
          <w:szCs w:val="28"/>
        </w:rPr>
        <w:t>所申报债权如已进入诉讼、仲裁或执行程序的，须提交诉讼、仲裁或执行的相关文件（包括但不限于起诉状、仲裁申请书、受理案件通知书、财产保全裁定书、判决书、裁决书、调解书、法院执行立案通知书及执行裁定等）的复印件；</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eastAsia="zh-CN"/>
        </w:rPr>
        <w:t>.</w:t>
      </w:r>
      <w:r>
        <w:rPr>
          <w:rFonts w:hint="eastAsia" w:ascii="仿宋" w:hAnsi="仿宋" w:eastAsia="仿宋" w:cs="仿宋"/>
          <w:sz w:val="28"/>
          <w:szCs w:val="28"/>
        </w:rPr>
        <w:t>证明所申报债权未超过诉讼及执行时效的相关证据材料的复印件；</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w:t>
      </w:r>
      <w:r>
        <w:rPr>
          <w:rFonts w:hint="eastAsia" w:ascii="仿宋" w:hAnsi="仿宋" w:eastAsia="仿宋" w:cs="仿宋"/>
          <w:sz w:val="28"/>
          <w:szCs w:val="28"/>
          <w:lang w:eastAsia="zh-CN"/>
        </w:rPr>
        <w:t>.</w:t>
      </w:r>
      <w:r>
        <w:rPr>
          <w:rFonts w:hint="eastAsia" w:ascii="仿宋" w:hAnsi="仿宋" w:eastAsia="仿宋" w:cs="仿宋"/>
          <w:sz w:val="28"/>
          <w:szCs w:val="28"/>
        </w:rPr>
        <w:t>如债权人所申报的债权系受让取得的，须提交有关债权受让协议及通知等相关证据材料的复印件；</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w:t>
      </w:r>
      <w:r>
        <w:rPr>
          <w:rFonts w:hint="eastAsia" w:ascii="仿宋" w:hAnsi="仿宋" w:eastAsia="仿宋" w:cs="仿宋"/>
          <w:sz w:val="28"/>
          <w:szCs w:val="28"/>
          <w:lang w:eastAsia="zh-CN"/>
        </w:rPr>
        <w:t>.</w:t>
      </w:r>
      <w:r>
        <w:rPr>
          <w:rFonts w:hint="eastAsia" w:ascii="仿宋" w:hAnsi="仿宋" w:eastAsia="仿宋" w:cs="仿宋"/>
          <w:sz w:val="28"/>
          <w:szCs w:val="28"/>
        </w:rPr>
        <w:t>债权人或管理人认为需要提交的有关债权成立及效力的其他证明材料。</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（四）债权人或管理人认为需要提交的其他材料。</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四、债权申报文件份数及签章要求</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
          <w:bCs/>
          <w:i/>
          <w:iCs/>
          <w:sz w:val="28"/>
          <w:szCs w:val="28"/>
          <w:u w:val="single"/>
        </w:rPr>
      </w:pPr>
      <w:r>
        <w:rPr>
          <w:rFonts w:hint="eastAsia" w:ascii="仿宋" w:hAnsi="仿宋" w:eastAsia="仿宋" w:cs="仿宋"/>
          <w:b/>
          <w:bCs/>
          <w:i/>
          <w:iCs/>
          <w:sz w:val="28"/>
          <w:szCs w:val="28"/>
          <w:u w:val="single"/>
        </w:rPr>
        <w:t>债权人申报债权时所提交的全部材料，均须一式二份（A4纸）。提交复印件的，机构债权人须在复印件上加盖公章及骑缝章；自然人债权人须由债权人本人或代理人在复印件上签字并捺印</w:t>
      </w:r>
      <w:r>
        <w:rPr>
          <w:rFonts w:hint="eastAsia" w:ascii="仿宋" w:hAnsi="仿宋" w:eastAsia="仿宋" w:cs="仿宋"/>
          <w:b/>
          <w:bCs/>
          <w:i/>
          <w:iCs/>
          <w:sz w:val="28"/>
          <w:szCs w:val="28"/>
          <w:u w:val="single"/>
          <w:lang w:eastAsia="zh-CN"/>
        </w:rPr>
        <w:t>和</w:t>
      </w:r>
      <w:r>
        <w:rPr>
          <w:rFonts w:hint="eastAsia" w:ascii="仿宋" w:hAnsi="仿宋" w:eastAsia="仿宋" w:cs="仿宋"/>
          <w:b/>
          <w:bCs/>
          <w:i/>
          <w:iCs/>
          <w:sz w:val="28"/>
          <w:szCs w:val="28"/>
          <w:u w:val="single"/>
        </w:rPr>
        <w:t>和骑缝手印。</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五</w:t>
      </w:r>
      <w:r>
        <w:rPr>
          <w:rFonts w:hint="eastAsia" w:ascii="仿宋" w:hAnsi="仿宋" w:eastAsia="仿宋" w:cs="仿宋"/>
          <w:b/>
          <w:sz w:val="28"/>
          <w:szCs w:val="28"/>
        </w:rPr>
        <w:t>、</w:t>
      </w:r>
      <w:r>
        <w:rPr>
          <w:rFonts w:hint="eastAsia" w:ascii="仿宋" w:hAnsi="仿宋" w:eastAsia="仿宋" w:cs="仿宋"/>
          <w:b/>
          <w:sz w:val="28"/>
          <w:szCs w:val="28"/>
          <w:lang w:val="en-US" w:eastAsia="zh-CN"/>
        </w:rPr>
        <w:t>特别注意事项</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w:t>
      </w:r>
      <w:r>
        <w:rPr>
          <w:rFonts w:hint="eastAsia" w:ascii="仿宋" w:hAnsi="仿宋" w:eastAsia="仿宋" w:cs="仿宋"/>
          <w:sz w:val="28"/>
          <w:szCs w:val="28"/>
        </w:rPr>
        <w:t>同一债权人需要申报多笔债权的，应就每笔债权分别进行申报，分别填写债权申报表等申报材料。</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债权人申报的债权已经获得</w:t>
      </w:r>
      <w:r>
        <w:rPr>
          <w:rFonts w:hint="eastAsia" w:ascii="仿宋" w:hAnsi="仿宋" w:eastAsia="仿宋" w:cs="仿宋"/>
          <w:sz w:val="28"/>
          <w:szCs w:val="28"/>
          <w:lang w:val="en-US" w:eastAsia="zh-CN"/>
        </w:rPr>
        <w:t>河北一加一教育科技有限公司</w:t>
      </w:r>
      <w:r>
        <w:rPr>
          <w:rFonts w:hint="eastAsia" w:ascii="仿宋" w:hAnsi="仿宋" w:eastAsia="仿宋" w:cs="仿宋"/>
          <w:sz w:val="28"/>
          <w:szCs w:val="28"/>
        </w:rPr>
        <w:t>的清偿或者已经获得其他连带债务人的清偿的，应及时告知管理人，隐瞒债权受偿情况将承担相应的法律责任；债权人另外对</w:t>
      </w:r>
      <w:r>
        <w:rPr>
          <w:rFonts w:hint="eastAsia" w:ascii="仿宋" w:hAnsi="仿宋" w:eastAsia="仿宋" w:cs="仿宋"/>
          <w:sz w:val="28"/>
          <w:szCs w:val="28"/>
          <w:lang w:val="en-US" w:eastAsia="zh-CN"/>
        </w:rPr>
        <w:t>河北一加一教育科技有限公司</w:t>
      </w:r>
      <w:r>
        <w:rPr>
          <w:rFonts w:hint="eastAsia" w:ascii="仿宋" w:hAnsi="仿宋" w:eastAsia="仿宋" w:cs="仿宋"/>
          <w:sz w:val="28"/>
          <w:szCs w:val="28"/>
        </w:rPr>
        <w:t>负有债务的，应及时告知管理人。</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债权人以外币申报债权的，应按照法院</w:t>
      </w:r>
      <w:r>
        <w:rPr>
          <w:rFonts w:hint="eastAsia" w:ascii="仿宋" w:hAnsi="仿宋" w:eastAsia="仿宋" w:cs="仿宋"/>
          <w:sz w:val="28"/>
          <w:szCs w:val="28"/>
          <w:lang w:eastAsia="zh-CN"/>
        </w:rPr>
        <w:t>裁定受理李茗对</w:t>
      </w:r>
      <w:r>
        <w:rPr>
          <w:rFonts w:hint="eastAsia" w:ascii="仿宋" w:hAnsi="仿宋" w:eastAsia="仿宋" w:cs="仿宋"/>
          <w:sz w:val="28"/>
          <w:szCs w:val="28"/>
          <w:lang w:val="en-US" w:eastAsia="zh-CN"/>
        </w:rPr>
        <w:t>河北一加一教育科技有限公司</w:t>
      </w:r>
      <w:r>
        <w:rPr>
          <w:rFonts w:hint="eastAsia" w:ascii="仿宋" w:hAnsi="仿宋" w:eastAsia="仿宋" w:cs="仿宋"/>
          <w:sz w:val="28"/>
          <w:szCs w:val="28"/>
          <w:lang w:eastAsia="zh-CN"/>
        </w:rPr>
        <w:t>破产清算申请</w:t>
      </w:r>
      <w:r>
        <w:rPr>
          <w:rFonts w:hint="eastAsia" w:ascii="仿宋" w:hAnsi="仿宋" w:eastAsia="仿宋" w:cs="仿宋"/>
          <w:sz w:val="28"/>
          <w:szCs w:val="28"/>
          <w:lang w:val="en-US" w:eastAsia="zh-CN"/>
        </w:rPr>
        <w:t>之日</w:t>
      </w:r>
      <w:r>
        <w:rPr>
          <w:rFonts w:hint="eastAsia" w:ascii="仿宋" w:hAnsi="仿宋" w:eastAsia="仿宋" w:cs="仿宋"/>
          <w:sz w:val="28"/>
          <w:szCs w:val="28"/>
        </w:rPr>
        <w:t>即202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5</w:t>
      </w:r>
      <w:r>
        <w:rPr>
          <w:rFonts w:hint="eastAsia" w:ascii="仿宋" w:hAnsi="仿宋" w:eastAsia="仿宋" w:cs="仿宋"/>
          <w:sz w:val="28"/>
          <w:szCs w:val="28"/>
        </w:rPr>
        <w:t>月</w:t>
      </w:r>
      <w:r>
        <w:rPr>
          <w:rFonts w:hint="eastAsia" w:ascii="仿宋" w:hAnsi="仿宋" w:eastAsia="仿宋" w:cs="仿宋"/>
          <w:sz w:val="28"/>
          <w:szCs w:val="28"/>
          <w:lang w:val="en-US" w:eastAsia="zh-CN"/>
        </w:rPr>
        <w:t>30</w:t>
      </w:r>
      <w:r>
        <w:rPr>
          <w:rFonts w:hint="eastAsia" w:ascii="仿宋" w:hAnsi="仿宋" w:eastAsia="仿宋" w:cs="仿宋"/>
          <w:sz w:val="28"/>
          <w:szCs w:val="28"/>
        </w:rPr>
        <w:t>日中国人民银行公布的外币兑人民币的汇率中间价统一折算为人民币。债权人未折算为人民币的，管理人有权不接受其申报。债权人申报利息的，应以折算为人民币后的本金数额作为计息基数。</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4.本</w:t>
      </w:r>
      <w:r>
        <w:rPr>
          <w:rFonts w:hint="eastAsia" w:ascii="仿宋" w:hAnsi="仿宋" w:eastAsia="仿宋" w:cs="仿宋"/>
          <w:sz w:val="28"/>
          <w:szCs w:val="28"/>
          <w:lang w:val="en-US" w:eastAsia="zh-CN"/>
        </w:rPr>
        <w:t>须知</w:t>
      </w:r>
      <w:r>
        <w:rPr>
          <w:rFonts w:hint="eastAsia" w:ascii="仿宋" w:hAnsi="仿宋" w:eastAsia="仿宋" w:cs="仿宋"/>
          <w:sz w:val="28"/>
          <w:szCs w:val="28"/>
        </w:rPr>
        <w:t>不构成对无效债权(包括但不限于已过诉讼时效/除斥期间/申请执行期间等)的重新有效确认。</w:t>
      </w:r>
    </w:p>
    <w:p>
      <w:pPr>
        <w:keepNext w:val="0"/>
        <w:keepLines w:val="0"/>
        <w:pageBreakBefore w:val="0"/>
        <w:kinsoku/>
        <w:wordWrap/>
        <w:overflowPunct/>
        <w:topLinePunct w:val="0"/>
        <w:autoSpaceDE/>
        <w:autoSpaceDN/>
        <w:bidi w:val="0"/>
        <w:adjustRightInd/>
        <w:snapToGrid/>
        <w:spacing w:beforeAutospacing="0" w:afterAutospacing="0" w:line="240" w:lineRule="auto"/>
        <w:jc w:val="right"/>
        <w:textAlignment w:val="auto"/>
        <w:rPr>
          <w:rFonts w:hint="eastAsia" w:ascii="仿宋" w:hAnsi="仿宋" w:eastAsia="仿宋" w:cs="仿宋"/>
          <w:sz w:val="28"/>
          <w:szCs w:val="28"/>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240" w:lineRule="auto"/>
        <w:jc w:val="right"/>
        <w:textAlignment w:val="auto"/>
        <w:rPr>
          <w:rFonts w:hint="eastAsia" w:ascii="仿宋" w:hAnsi="仿宋" w:eastAsia="仿宋" w:cs="仿宋"/>
          <w:sz w:val="28"/>
          <w:szCs w:val="28"/>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240" w:lineRule="auto"/>
        <w:jc w:val="righ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河北一加一教育科技有限公司</w:t>
      </w:r>
      <w:r>
        <w:rPr>
          <w:rFonts w:hint="eastAsia" w:ascii="仿宋" w:hAnsi="仿宋" w:eastAsia="仿宋" w:cs="仿宋"/>
          <w:sz w:val="28"/>
          <w:szCs w:val="28"/>
        </w:rPr>
        <w:t>管理人</w:t>
      </w:r>
      <w:bookmarkStart w:id="0" w:name="_GoBack"/>
      <w:bookmarkEnd w:id="0"/>
    </w:p>
    <w:p>
      <w:pPr>
        <w:keepNext w:val="0"/>
        <w:keepLines w:val="0"/>
        <w:pageBreakBefore w:val="0"/>
        <w:kinsoku/>
        <w:wordWrap/>
        <w:overflowPunct/>
        <w:topLinePunct w:val="0"/>
        <w:autoSpaceDE/>
        <w:autoSpaceDN/>
        <w:bidi w:val="0"/>
        <w:adjustRightInd/>
        <w:snapToGrid/>
        <w:spacing w:beforeAutospacing="0" w:afterAutospacing="0" w:line="240" w:lineRule="auto"/>
        <w:jc w:val="right"/>
        <w:textAlignment w:val="auto"/>
        <w:rPr>
          <w:rFonts w:hint="eastAsia" w:ascii="仿宋" w:hAnsi="仿宋" w:eastAsia="仿宋" w:cs="仿宋"/>
          <w:bCs/>
          <w:spacing w:val="48"/>
          <w:sz w:val="28"/>
          <w:szCs w:val="28"/>
        </w:rPr>
      </w:pPr>
      <w:r>
        <w:rPr>
          <w:rFonts w:hint="eastAsia" w:ascii="仿宋" w:hAnsi="仿宋" w:eastAsia="仿宋" w:cs="仿宋"/>
          <w:color w:val="auto"/>
          <w:kern w:val="2"/>
          <w:sz w:val="28"/>
          <w:szCs w:val="28"/>
          <w:lang w:bidi="ar-SA"/>
        </w:rPr>
        <w:t>二〇</w:t>
      </w:r>
      <w:r>
        <w:rPr>
          <w:rFonts w:hint="eastAsia" w:ascii="仿宋" w:hAnsi="仿宋" w:eastAsia="仿宋" w:cs="仿宋"/>
          <w:color w:val="auto"/>
          <w:kern w:val="2"/>
          <w:sz w:val="28"/>
          <w:szCs w:val="28"/>
          <w:lang w:val="en-US" w:eastAsia="zh-CN" w:bidi="ar-SA"/>
        </w:rPr>
        <w:t>二四</w:t>
      </w:r>
      <w:r>
        <w:rPr>
          <w:rFonts w:hint="eastAsia" w:ascii="仿宋" w:hAnsi="仿宋" w:eastAsia="仿宋" w:cs="仿宋"/>
          <w:color w:val="auto"/>
          <w:kern w:val="2"/>
          <w:sz w:val="28"/>
          <w:szCs w:val="28"/>
          <w:lang w:bidi="ar-SA"/>
        </w:rPr>
        <w:t>年</w:t>
      </w:r>
      <w:r>
        <w:rPr>
          <w:rFonts w:hint="eastAsia" w:ascii="仿宋" w:hAnsi="仿宋" w:eastAsia="仿宋" w:cs="仿宋"/>
          <w:color w:val="auto"/>
          <w:kern w:val="2"/>
          <w:sz w:val="28"/>
          <w:szCs w:val="28"/>
          <w:lang w:eastAsia="zh-CN" w:bidi="ar-SA"/>
        </w:rPr>
        <w:t>六</w:t>
      </w:r>
      <w:r>
        <w:rPr>
          <w:rFonts w:hint="eastAsia" w:ascii="仿宋" w:hAnsi="仿宋" w:eastAsia="仿宋" w:cs="仿宋"/>
          <w:color w:val="auto"/>
          <w:kern w:val="2"/>
          <w:sz w:val="28"/>
          <w:szCs w:val="28"/>
          <w:lang w:bidi="ar-SA"/>
        </w:rPr>
        <w:t>月</w:t>
      </w:r>
      <w:r>
        <w:rPr>
          <w:rFonts w:hint="eastAsia" w:ascii="仿宋" w:hAnsi="仿宋" w:eastAsia="仿宋" w:cs="仿宋"/>
          <w:color w:val="auto"/>
          <w:kern w:val="2"/>
          <w:sz w:val="28"/>
          <w:szCs w:val="28"/>
          <w:lang w:eastAsia="zh-CN" w:bidi="ar-SA"/>
        </w:rPr>
        <w:t>三</w:t>
      </w:r>
      <w:r>
        <w:rPr>
          <w:rFonts w:hint="eastAsia" w:ascii="仿宋" w:hAnsi="仿宋" w:eastAsia="仿宋" w:cs="仿宋"/>
          <w:color w:val="auto"/>
          <w:kern w:val="2"/>
          <w:sz w:val="28"/>
          <w:szCs w:val="28"/>
          <w:lang w:bidi="ar-SA"/>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textAlignment w:val="auto"/>
        <w:rPr>
          <w:rFonts w:hint="eastAsia" w:ascii="仿宋" w:hAnsi="仿宋" w:eastAsia="仿宋" w:cs="仿宋"/>
          <w:bCs/>
          <w:spacing w:val="48"/>
          <w:sz w:val="28"/>
          <w:szCs w:val="28"/>
        </w:rPr>
      </w:pPr>
    </w:p>
    <w:sectPr>
      <w:footerReference r:id="rId3" w:type="default"/>
      <w:pgSz w:w="11906" w:h="16838"/>
      <w:pgMar w:top="1440" w:right="1576" w:bottom="1440" w:left="1689" w:header="737" w:footer="709" w:gutter="0"/>
      <w:paperSrc/>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helvetica neue">
    <w:altName w:val="Segoe Print"/>
    <w:panose1 w:val="00000000000000000000"/>
    <w:charset w:val="00"/>
    <w:family w:val="auto"/>
    <w:pitch w:val="default"/>
    <w:sig w:usb0="00000000" w:usb1="00000000" w:usb2="00000000" w:usb3="00000000" w:csb0="00000000" w:csb1="00000000"/>
  </w:font>
  <w:font w:name="华文仿宋">
    <w:altName w:val="仿宋"/>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swiss"/>
    <w:pitch w:val="default"/>
    <w:sig w:usb0="00000000" w:usb1="0000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7" o:spid="_x0000_s4097" o:spt="202" type="#_x0000_t202" style="position:absolute;left:0pt;margin-top:0pt;height:12.05pt;width:5.05pt;mso-position-horizontal:center;mso-position-horizontal-relative:margin;mso-wrap-style:none;z-index:251659264;mso-width-relative:page;mso-height-relative:page;" filled="f" stroked="f" coordsize="21600,21600">
          <v:path/>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4</w:t>
                </w:r>
                <w:r>
                  <w:fldChar w:fldCharType="end"/>
                </w:r>
              </w:p>
            </w:txbxContent>
          </v:textbox>
        </v:shape>
      </w:pict>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2E5MmI5NGYwZGQwMDU0MDY2YzcyNzQwYzFhZDU4YzMifQ=="/>
  </w:docVars>
  <w:rsids>
    <w:rsidRoot w:val="003040A6"/>
    <w:rsid w:val="000330C8"/>
    <w:rsid w:val="000717C4"/>
    <w:rsid w:val="00074910"/>
    <w:rsid w:val="000931B0"/>
    <w:rsid w:val="000E3D29"/>
    <w:rsid w:val="0018336D"/>
    <w:rsid w:val="001A0ED9"/>
    <w:rsid w:val="00202788"/>
    <w:rsid w:val="002E2E41"/>
    <w:rsid w:val="003040A6"/>
    <w:rsid w:val="003447A1"/>
    <w:rsid w:val="00365C13"/>
    <w:rsid w:val="00380892"/>
    <w:rsid w:val="003A2B95"/>
    <w:rsid w:val="003A4D12"/>
    <w:rsid w:val="003B2EAE"/>
    <w:rsid w:val="003E39FC"/>
    <w:rsid w:val="003F0EE3"/>
    <w:rsid w:val="004A13FC"/>
    <w:rsid w:val="004C15AF"/>
    <w:rsid w:val="004C6BA7"/>
    <w:rsid w:val="00530AC0"/>
    <w:rsid w:val="005E5201"/>
    <w:rsid w:val="005F3019"/>
    <w:rsid w:val="00677931"/>
    <w:rsid w:val="00682A1C"/>
    <w:rsid w:val="0068548C"/>
    <w:rsid w:val="006C48D6"/>
    <w:rsid w:val="0071665B"/>
    <w:rsid w:val="00717C3E"/>
    <w:rsid w:val="0073283D"/>
    <w:rsid w:val="00755C4B"/>
    <w:rsid w:val="007A1BCA"/>
    <w:rsid w:val="0087077D"/>
    <w:rsid w:val="00872E3D"/>
    <w:rsid w:val="00877C86"/>
    <w:rsid w:val="008A186C"/>
    <w:rsid w:val="008A434E"/>
    <w:rsid w:val="008A447E"/>
    <w:rsid w:val="008B15A3"/>
    <w:rsid w:val="008D14DB"/>
    <w:rsid w:val="009024FE"/>
    <w:rsid w:val="00925D04"/>
    <w:rsid w:val="009451C0"/>
    <w:rsid w:val="00963468"/>
    <w:rsid w:val="00975E02"/>
    <w:rsid w:val="00A42B3A"/>
    <w:rsid w:val="00A53A61"/>
    <w:rsid w:val="00A66F25"/>
    <w:rsid w:val="00A7509C"/>
    <w:rsid w:val="00AB7888"/>
    <w:rsid w:val="00AD5EDA"/>
    <w:rsid w:val="00AE5946"/>
    <w:rsid w:val="00B01ABA"/>
    <w:rsid w:val="00B16B0A"/>
    <w:rsid w:val="00B27EBD"/>
    <w:rsid w:val="00B31DB6"/>
    <w:rsid w:val="00B65026"/>
    <w:rsid w:val="00BB05B3"/>
    <w:rsid w:val="00BC584A"/>
    <w:rsid w:val="00C2501C"/>
    <w:rsid w:val="00C80C6C"/>
    <w:rsid w:val="00C97639"/>
    <w:rsid w:val="00CC4857"/>
    <w:rsid w:val="00CD33DD"/>
    <w:rsid w:val="00DA2599"/>
    <w:rsid w:val="00DD0A0E"/>
    <w:rsid w:val="00DD7897"/>
    <w:rsid w:val="00DF22A8"/>
    <w:rsid w:val="00DF3AE1"/>
    <w:rsid w:val="00E676FC"/>
    <w:rsid w:val="00F1238E"/>
    <w:rsid w:val="00F8068A"/>
    <w:rsid w:val="00FB0CB6"/>
    <w:rsid w:val="01806560"/>
    <w:rsid w:val="018A3A98"/>
    <w:rsid w:val="04B17AEB"/>
    <w:rsid w:val="08611B89"/>
    <w:rsid w:val="0A08777E"/>
    <w:rsid w:val="0B9A5814"/>
    <w:rsid w:val="0C164BBC"/>
    <w:rsid w:val="0CA61409"/>
    <w:rsid w:val="0D0F4733"/>
    <w:rsid w:val="0D340ECE"/>
    <w:rsid w:val="0DE81026"/>
    <w:rsid w:val="0FAD7AFA"/>
    <w:rsid w:val="1034665F"/>
    <w:rsid w:val="10C07AB8"/>
    <w:rsid w:val="11BD2FA8"/>
    <w:rsid w:val="120C51D5"/>
    <w:rsid w:val="170F0527"/>
    <w:rsid w:val="1AD94036"/>
    <w:rsid w:val="1B1A43F4"/>
    <w:rsid w:val="1BD541F4"/>
    <w:rsid w:val="1C500196"/>
    <w:rsid w:val="1CB710A3"/>
    <w:rsid w:val="1DCB1C24"/>
    <w:rsid w:val="217A5B68"/>
    <w:rsid w:val="22955FDB"/>
    <w:rsid w:val="24206F9A"/>
    <w:rsid w:val="26844491"/>
    <w:rsid w:val="28225FB2"/>
    <w:rsid w:val="2956439F"/>
    <w:rsid w:val="2B1150D8"/>
    <w:rsid w:val="2B9A210D"/>
    <w:rsid w:val="2DA23FCE"/>
    <w:rsid w:val="2DF93BC5"/>
    <w:rsid w:val="30F71D86"/>
    <w:rsid w:val="320B58F9"/>
    <w:rsid w:val="36535659"/>
    <w:rsid w:val="3AD03D9A"/>
    <w:rsid w:val="3EF73792"/>
    <w:rsid w:val="41515C43"/>
    <w:rsid w:val="425F0F6E"/>
    <w:rsid w:val="437C15E0"/>
    <w:rsid w:val="44886D90"/>
    <w:rsid w:val="4491205A"/>
    <w:rsid w:val="48975DD9"/>
    <w:rsid w:val="4A987CDE"/>
    <w:rsid w:val="4B7D68CB"/>
    <w:rsid w:val="4EAA6373"/>
    <w:rsid w:val="517B57C5"/>
    <w:rsid w:val="5DE0478F"/>
    <w:rsid w:val="6028372E"/>
    <w:rsid w:val="62A768B8"/>
    <w:rsid w:val="656D7F61"/>
    <w:rsid w:val="66A80E51"/>
    <w:rsid w:val="67820DF1"/>
    <w:rsid w:val="68B35CBB"/>
    <w:rsid w:val="6E970FFC"/>
    <w:rsid w:val="6F236FD7"/>
    <w:rsid w:val="6FB46AB9"/>
    <w:rsid w:val="71180E6E"/>
    <w:rsid w:val="732700B6"/>
    <w:rsid w:val="758A50EE"/>
    <w:rsid w:val="775546DD"/>
    <w:rsid w:val="775C0AB5"/>
    <w:rsid w:val="7ACD167E"/>
    <w:rsid w:val="7C1B0325"/>
    <w:rsid w:val="7C4C3EF2"/>
    <w:rsid w:val="7CFF44BE"/>
    <w:rsid w:val="7E452940"/>
    <w:rsid w:val="EB7F0D9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rPr>
  </w:style>
  <w:style w:type="character" w:customStyle="1" w:styleId="7">
    <w:name w:val="页脚 字符"/>
    <w:basedOn w:val="6"/>
    <w:link w:val="2"/>
    <w:qFormat/>
    <w:uiPriority w:val="99"/>
    <w:rPr>
      <w:sz w:val="18"/>
      <w:szCs w:val="18"/>
    </w:rPr>
  </w:style>
  <w:style w:type="character" w:customStyle="1" w:styleId="8">
    <w:name w:val="页眉 字符"/>
    <w:basedOn w:val="6"/>
    <w:link w:val="3"/>
    <w:autoRedefine/>
    <w:qFormat/>
    <w:uiPriority w:val="99"/>
    <w:rPr>
      <w:sz w:val="18"/>
      <w:szCs w:val="18"/>
    </w:rPr>
  </w:style>
  <w:style w:type="paragraph" w:customStyle="1" w:styleId="9">
    <w:name w:val="List Paragraph"/>
    <w:basedOn w:val="1"/>
    <w:autoRedefine/>
    <w:qFormat/>
    <w:uiPriority w:val="99"/>
    <w:pPr>
      <w:ind w:firstLine="420" w:firstLineChars="200"/>
    </w:pPr>
  </w:style>
  <w:style w:type="paragraph" w:customStyle="1" w:styleId="10">
    <w:name w:val="p1"/>
    <w:basedOn w:val="1"/>
    <w:autoRedefine/>
    <w:qFormat/>
    <w:uiPriority w:val="0"/>
    <w:pPr>
      <w:spacing w:before="0" w:beforeAutospacing="0" w:after="0" w:afterAutospacing="0" w:line="380" w:lineRule="atLeast"/>
      <w:ind w:left="0" w:right="0"/>
      <w:jc w:val="left"/>
    </w:pPr>
    <w:rPr>
      <w:rFonts w:ascii="helvetica neue" w:hAnsi="helvetica neue" w:eastAsia="helvetica neue" w:cs="helvetica neue"/>
      <w:color w:val="000000"/>
      <w:kern w:val="0"/>
      <w:sz w:val="26"/>
      <w:szCs w:val="26"/>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2549</Words>
  <Characters>2641</Characters>
  <Lines>16</Lines>
  <Paragraphs>4</Paragraphs>
  <TotalTime>38</TotalTime>
  <ScaleCrop>false</ScaleCrop>
  <LinksUpToDate>false</LinksUpToDate>
  <CharactersWithSpaces>2688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2018-05-11T23:50:00Z</dcterms:created>
  <dc:creator>han peiyi</dc:creator>
  <cp:lastModifiedBy>Administrator</cp:lastModifiedBy>
  <cp:lastPrinted>2021-05-25T02:17:00Z</cp:lastPrinted>
  <dcterms:modified xsi:type="dcterms:W3CDTF">2024-06-03T11:18:18Z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BCFD7DC5EA5E4827BCDD21CA23C9B174_12</vt:lpwstr>
  </property>
</Properties>
</file>