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360" w:lineRule="auto"/>
        <w:jc w:val="center"/>
        <w:rPr>
          <w:rFonts w:ascii="黑体" w:hAnsi="黑体" w:eastAsia="黑体" w:cstheme="minorEastAsia"/>
          <w:b/>
          <w:bCs/>
          <w:sz w:val="30"/>
          <w:szCs w:val="30"/>
        </w:rPr>
      </w:pPr>
      <w:r>
        <w:rPr>
          <w:rFonts w:hint="eastAsia" w:ascii="黑体" w:hAnsi="黑体" w:eastAsia="黑体" w:cstheme="minorEastAsia"/>
          <w:b/>
          <w:bCs/>
          <w:sz w:val="30"/>
          <w:szCs w:val="30"/>
        </w:rPr>
        <w:t>开阳维精装饰有限公司破产清算案</w:t>
      </w:r>
    </w:p>
    <w:p>
      <w:pPr>
        <w:spacing w:before="156" w:beforeLines="50" w:after="156" w:afterLines="50" w:line="360" w:lineRule="auto"/>
        <w:jc w:val="center"/>
        <w:rPr>
          <w:rFonts w:ascii="黑体" w:hAnsi="黑体" w:eastAsia="黑体" w:cstheme="minorEastAsia"/>
          <w:b/>
          <w:bCs/>
          <w:sz w:val="30"/>
          <w:szCs w:val="30"/>
        </w:rPr>
      </w:pPr>
      <w:r>
        <w:rPr>
          <w:rFonts w:hint="eastAsia" w:ascii="黑体" w:hAnsi="黑体" w:eastAsia="黑体" w:cstheme="minorEastAsia"/>
          <w:b/>
          <w:bCs/>
          <w:sz w:val="30"/>
          <w:szCs w:val="30"/>
        </w:rPr>
        <w:t>债权申报指引</w:t>
      </w:r>
    </w:p>
    <w:p>
      <w:pPr>
        <w:pStyle w:val="11"/>
        <w:snapToGrid w:val="0"/>
        <w:spacing w:before="156" w:beforeLines="50" w:after="156" w:afterLines="50" w:line="360" w:lineRule="auto"/>
        <w:rPr>
          <w:rFonts w:ascii="黑体" w:hAnsi="黑体" w:eastAsia="黑体" w:cs="微软雅黑"/>
          <w:b/>
          <w:bCs/>
          <w:sz w:val="30"/>
          <w:szCs w:val="30"/>
          <w:lang w:eastAsia="zh-CN"/>
        </w:rPr>
      </w:pPr>
      <w:r>
        <w:rPr>
          <w:rFonts w:hint="eastAsia" w:ascii="黑体" w:hAnsi="黑体" w:eastAsia="黑体" w:cstheme="minorEastAsia"/>
          <w:b/>
          <w:bCs/>
          <w:lang w:eastAsia="zh-CN"/>
        </w:rPr>
        <w:t>尊敬的债权人</w:t>
      </w:r>
      <w:r>
        <w:rPr>
          <w:rFonts w:ascii="黑体" w:hAnsi="黑体" w:eastAsia="黑体" w:cstheme="minorEastAsia"/>
          <w:b/>
          <w:bCs/>
          <w:lang w:eastAsia="zh-Hans"/>
        </w:rPr>
        <w:t>：</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申请人张大勇向贵州省开阳县人民法院（以下简称“开阳法院”）申请开阳维精装饰有限公司破产清算一案，开阳法院于2024年7月1日作出(2024)黔 0121 破申15号民事裁定书，裁定受理开阳维精装饰有限公司（以下简称“维精装饰”或“债务人”）破产清算，并于2024年7月3日作出（2024）黔0121破9号决定书，指定贵州海瞰律师事务所担任管理人。为便于债权人顺利申报债权，明确债权申报的有关事项，管理人现就相关问题做如下指引：</w:t>
      </w:r>
    </w:p>
    <w:p>
      <w:pPr>
        <w:snapToGrid w:val="0"/>
        <w:spacing w:line="360" w:lineRule="auto"/>
        <w:ind w:firstLine="480" w:firstLineChars="200"/>
        <w:contextualSpacing/>
        <w:rPr>
          <w:rFonts w:ascii="宋体" w:hAnsi="宋体" w:eastAsia="宋体" w:cs="仿宋"/>
          <w:bCs/>
          <w:sz w:val="24"/>
        </w:rPr>
      </w:pPr>
    </w:p>
    <w:p>
      <w:pPr>
        <w:numPr>
          <w:ilvl w:val="0"/>
          <w:numId w:val="1"/>
        </w:numPr>
        <w:snapToGrid w:val="0"/>
        <w:spacing w:line="360" w:lineRule="auto"/>
        <w:ind w:firstLine="480"/>
        <w:contextualSpacing/>
        <w:rPr>
          <w:rFonts w:ascii="宋体" w:hAnsi="宋体" w:eastAsia="宋体" w:cs="仿宋"/>
          <w:b/>
          <w:sz w:val="24"/>
        </w:rPr>
      </w:pPr>
      <w:r>
        <w:rPr>
          <w:rFonts w:hint="eastAsia" w:ascii="宋体" w:hAnsi="宋体" w:eastAsia="宋体" w:cs="仿宋"/>
          <w:b/>
          <w:sz w:val="24"/>
        </w:rPr>
        <w:t>债权申报主体</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根据《中华人民共和国企业破产法》（以下简称《企业破产法》</w:t>
      </w:r>
      <w:r>
        <w:rPr>
          <w:rFonts w:hint="eastAsia" w:ascii="宋体" w:hAnsi="宋体" w:eastAsia="宋体" w:cs="仿宋"/>
          <w:bCs/>
          <w:sz w:val="24"/>
        </w:rPr>
        <w:t>）</w:t>
      </w:r>
      <w:r>
        <w:rPr>
          <w:rFonts w:ascii="宋体" w:hAnsi="宋体" w:eastAsia="宋体" w:cs="仿宋"/>
          <w:bCs/>
          <w:sz w:val="24"/>
        </w:rPr>
        <w:t>的规定，</w:t>
      </w:r>
      <w:r>
        <w:rPr>
          <w:rFonts w:hint="eastAsia" w:ascii="宋体" w:hAnsi="宋体" w:eastAsia="宋体" w:cs="仿宋"/>
          <w:bCs/>
          <w:sz w:val="24"/>
        </w:rPr>
        <w:t>人民</w:t>
      </w:r>
      <w:r>
        <w:rPr>
          <w:rFonts w:ascii="宋体" w:hAnsi="宋体" w:eastAsia="宋体" w:cs="仿宋"/>
          <w:bCs/>
          <w:sz w:val="24"/>
        </w:rPr>
        <w:t>法院受理</w:t>
      </w:r>
      <w:r>
        <w:rPr>
          <w:rFonts w:hint="eastAsia" w:ascii="宋体" w:hAnsi="宋体" w:eastAsia="宋体" w:cs="仿宋"/>
          <w:bCs/>
          <w:sz w:val="24"/>
        </w:rPr>
        <w:t>破产申请</w:t>
      </w:r>
      <w:r>
        <w:rPr>
          <w:rFonts w:ascii="宋体" w:hAnsi="宋体" w:eastAsia="宋体" w:cs="仿宋"/>
          <w:bCs/>
          <w:sz w:val="24"/>
        </w:rPr>
        <w:t>时对债务人享有债权的债权人，均可以向管理人申报债权。未到期的债权，在</w:t>
      </w:r>
      <w:r>
        <w:rPr>
          <w:rFonts w:hint="eastAsia" w:ascii="宋体" w:hAnsi="宋体" w:eastAsia="宋体" w:cs="仿宋"/>
          <w:bCs/>
          <w:sz w:val="24"/>
        </w:rPr>
        <w:t>破产</w:t>
      </w:r>
      <w:r>
        <w:rPr>
          <w:rFonts w:ascii="宋体" w:hAnsi="宋体" w:eastAsia="宋体" w:cs="仿宋"/>
          <w:bCs/>
          <w:sz w:val="24"/>
        </w:rPr>
        <w:t>申请受理时视为到期，附利息的债权自破产申请受理时起停止计息</w:t>
      </w:r>
      <w:r>
        <w:rPr>
          <w:rFonts w:hint="eastAsia" w:ascii="宋体" w:hAnsi="宋体" w:eastAsia="宋体" w:cs="仿宋"/>
          <w:bCs/>
          <w:sz w:val="24"/>
        </w:rPr>
        <w:t>，</w:t>
      </w:r>
      <w:r>
        <w:rPr>
          <w:rFonts w:ascii="宋体" w:hAnsi="宋体" w:eastAsia="宋体" w:cs="仿宋"/>
          <w:bCs/>
          <w:sz w:val="24"/>
        </w:rPr>
        <w:t>相关债权人可以向管理人申报</w:t>
      </w:r>
      <w:r>
        <w:rPr>
          <w:rFonts w:hint="eastAsia" w:ascii="宋体" w:hAnsi="宋体" w:eastAsia="宋体" w:cs="仿宋"/>
          <w:bCs/>
          <w:sz w:val="24"/>
        </w:rPr>
        <w:t>债权</w:t>
      </w:r>
      <w:r>
        <w:rPr>
          <w:rFonts w:ascii="宋体" w:hAnsi="宋体" w:eastAsia="宋体" w:cs="仿宋"/>
          <w:bCs/>
          <w:sz w:val="24"/>
        </w:rPr>
        <w:t>。对于担保债权，附条件、附期限的债权</w:t>
      </w:r>
      <w:r>
        <w:rPr>
          <w:rFonts w:hint="eastAsia" w:ascii="宋体" w:hAnsi="宋体" w:eastAsia="宋体" w:cs="仿宋"/>
          <w:bCs/>
          <w:sz w:val="24"/>
        </w:rPr>
        <w:t>和</w:t>
      </w:r>
      <w:r>
        <w:rPr>
          <w:rFonts w:ascii="宋体" w:hAnsi="宋体" w:eastAsia="宋体" w:cs="仿宋"/>
          <w:bCs/>
          <w:sz w:val="24"/>
        </w:rPr>
        <w:t>诉讼、仲裁未决的债权，有关债权人可以向管理人申报债权。</w:t>
      </w:r>
    </w:p>
    <w:p>
      <w:pPr>
        <w:snapToGrid w:val="0"/>
        <w:spacing w:line="360" w:lineRule="auto"/>
        <w:ind w:firstLine="480" w:firstLineChars="200"/>
        <w:contextualSpacing/>
        <w:rPr>
          <w:rFonts w:ascii="宋体" w:hAnsi="宋体" w:eastAsia="宋体" w:cs="仿宋"/>
          <w:bCs/>
          <w:sz w:val="24"/>
        </w:rPr>
      </w:pPr>
    </w:p>
    <w:p>
      <w:pPr>
        <w:numPr>
          <w:ilvl w:val="0"/>
          <w:numId w:val="1"/>
        </w:numPr>
        <w:snapToGrid w:val="0"/>
        <w:spacing w:line="360" w:lineRule="auto"/>
        <w:ind w:firstLine="480"/>
        <w:contextualSpacing/>
        <w:rPr>
          <w:rFonts w:ascii="宋体" w:hAnsi="宋体" w:eastAsia="宋体" w:cs="仿宋"/>
          <w:b/>
          <w:sz w:val="24"/>
        </w:rPr>
      </w:pPr>
      <w:r>
        <w:rPr>
          <w:rFonts w:hint="eastAsia" w:ascii="宋体" w:hAnsi="宋体" w:eastAsia="宋体" w:cs="仿宋"/>
          <w:b/>
          <w:sz w:val="24"/>
        </w:rPr>
        <w:t>债权申报期限</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
          <w:sz w:val="24"/>
          <w:u w:val="thick"/>
        </w:rPr>
        <w:t>根据开阳法院于发布的（2024）黔0121破</w:t>
      </w:r>
      <w:r>
        <w:rPr>
          <w:rFonts w:hint="eastAsia" w:ascii="宋体" w:hAnsi="宋体" w:eastAsia="宋体" w:cs="仿宋"/>
          <w:b/>
          <w:sz w:val="24"/>
          <w:u w:val="thick"/>
          <w:lang w:val="en-US" w:eastAsia="zh-CN"/>
        </w:rPr>
        <w:t>9</w:t>
      </w:r>
      <w:r>
        <w:rPr>
          <w:rFonts w:hint="eastAsia" w:ascii="宋体" w:hAnsi="宋体" w:eastAsia="宋体" w:cs="仿宋"/>
          <w:b/>
          <w:sz w:val="24"/>
          <w:u w:val="thick"/>
        </w:rPr>
        <w:t>号公告，债权人应当在债权申报期内，即2024年8月1</w:t>
      </w:r>
      <w:r>
        <w:rPr>
          <w:rFonts w:hint="eastAsia" w:ascii="宋体" w:hAnsi="宋体" w:eastAsia="宋体" w:cs="仿宋"/>
          <w:b/>
          <w:sz w:val="24"/>
          <w:u w:val="thick"/>
          <w:lang w:val="en-US" w:eastAsia="zh-CN"/>
        </w:rPr>
        <w:t>5</w:t>
      </w:r>
      <w:r>
        <w:rPr>
          <w:rFonts w:hint="eastAsia" w:ascii="宋体" w:hAnsi="宋体" w:eastAsia="宋体" w:cs="仿宋"/>
          <w:b/>
          <w:sz w:val="24"/>
          <w:u w:val="thick"/>
        </w:rPr>
        <w:t>日前向管理人申报债权</w:t>
      </w:r>
      <w:r>
        <w:rPr>
          <w:rFonts w:hint="eastAsia" w:ascii="宋体" w:hAnsi="宋体" w:eastAsia="宋体" w:cs="仿宋"/>
          <w:b/>
          <w:sz w:val="24"/>
        </w:rPr>
        <w:t>。</w:t>
      </w:r>
      <w:r>
        <w:rPr>
          <w:rFonts w:hint="eastAsia" w:ascii="宋体" w:hAnsi="宋体" w:eastAsia="宋体" w:cs="仿宋"/>
          <w:bCs/>
          <w:sz w:val="24"/>
        </w:rPr>
        <w:t>未在上述期限内申报债权的，可以在破产财产分配方案提交债权人会议讨论前补充申报，但对此前已进行的分配无权要求补充分配，同时要承担为审查和确认补充申报债权所产生的费用。</w:t>
      </w:r>
    </w:p>
    <w:p>
      <w:pPr>
        <w:snapToGrid w:val="0"/>
        <w:spacing w:line="360" w:lineRule="auto"/>
        <w:ind w:firstLine="480" w:firstLineChars="200"/>
        <w:contextualSpacing/>
        <w:rPr>
          <w:rFonts w:ascii="宋体" w:hAnsi="宋体" w:eastAsia="宋体" w:cs="仿宋"/>
          <w:bCs/>
          <w:sz w:val="24"/>
        </w:rPr>
      </w:pPr>
    </w:p>
    <w:p>
      <w:pPr>
        <w:numPr>
          <w:ilvl w:val="0"/>
          <w:numId w:val="1"/>
        </w:numPr>
        <w:snapToGrid w:val="0"/>
        <w:spacing w:line="360" w:lineRule="auto"/>
        <w:ind w:firstLine="480"/>
        <w:contextualSpacing/>
        <w:rPr>
          <w:rFonts w:ascii="宋体" w:hAnsi="宋体" w:eastAsia="宋体" w:cs="仿宋"/>
          <w:b/>
          <w:sz w:val="24"/>
        </w:rPr>
      </w:pPr>
      <w:r>
        <w:rPr>
          <w:rFonts w:hint="eastAsia" w:ascii="宋体" w:hAnsi="宋体" w:eastAsia="宋体" w:cs="仿宋"/>
          <w:b/>
          <w:sz w:val="24"/>
        </w:rPr>
        <w:t>申报方式和现场联系信息</w:t>
      </w:r>
    </w:p>
    <w:p>
      <w:pPr>
        <w:numPr>
          <w:ilvl w:val="0"/>
          <w:numId w:val="2"/>
        </w:numPr>
        <w:snapToGrid w:val="0"/>
        <w:spacing w:line="360" w:lineRule="auto"/>
        <w:ind w:left="420" w:leftChars="200"/>
        <w:contextualSpacing/>
        <w:rPr>
          <w:rFonts w:ascii="宋体" w:hAnsi="宋体" w:eastAsia="宋体" w:cs="仿宋"/>
          <w:bCs/>
          <w:sz w:val="24"/>
        </w:rPr>
      </w:pPr>
      <w:r>
        <w:rPr>
          <w:rFonts w:hint="eastAsia" w:ascii="宋体" w:hAnsi="宋体" w:eastAsia="宋体" w:cs="仿宋"/>
          <w:bCs/>
          <w:sz w:val="24"/>
        </w:rPr>
        <w:t>邮寄方式申报</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为节省各位债权人债权申报成本，提高债权申报及审查效率，债权人采取邮寄方式申报的，应当提供与原件一致的申报债权文件电子版，发送至电子邮箱：dingliping@haikan.net.cn。电子邮件命名格式为：维精装饰债权申报资料+债权人姓名+联系电话，例：维精装饰债权申报资料+张三+132 1234 1234。</w:t>
      </w:r>
    </w:p>
    <w:p>
      <w:pPr>
        <w:numPr>
          <w:ilvl w:val="0"/>
          <w:numId w:val="2"/>
        </w:numPr>
        <w:snapToGrid w:val="0"/>
        <w:spacing w:line="360" w:lineRule="auto"/>
        <w:ind w:left="420" w:leftChars="200"/>
        <w:contextualSpacing/>
        <w:rPr>
          <w:rFonts w:ascii="宋体" w:hAnsi="宋体" w:eastAsia="宋体" w:cs="仿宋"/>
          <w:bCs/>
          <w:sz w:val="24"/>
        </w:rPr>
      </w:pPr>
      <w:r>
        <w:rPr>
          <w:rFonts w:hint="eastAsia" w:ascii="宋体" w:hAnsi="宋体" w:eastAsia="宋体" w:cs="仿宋"/>
          <w:bCs/>
          <w:sz w:val="24"/>
        </w:rPr>
        <w:t>现场联系申报</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联系人：丁丽平、刘春娅</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联系电话：17362256830  15108506547</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联系地址：贵阳市观山湖区恒大中心 E4 栋 B 座 30 层 贵州海瞰律师事务所</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工作时间：工作日上午9：30-12:00，下午14：00-17:30</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
          <w:sz w:val="24"/>
        </w:rPr>
        <w:t>特别提示：债权人通过邮寄发送债权申报信息的，标题命名为“维精装饰债权申报资料+债权人姓名+联系电话”。确需现场申报的，请提前联系管理人预约时间，并在预约时间内准时到访，债权人须自行承担因申报债权产生的相关费用。管理人在完成债权申报审查后且必要时会通知债权人到现场核实相关材料。</w:t>
      </w:r>
    </w:p>
    <w:p>
      <w:pPr>
        <w:snapToGrid w:val="0"/>
        <w:spacing w:line="360" w:lineRule="auto"/>
        <w:ind w:firstLine="480" w:firstLineChars="200"/>
        <w:contextualSpacing/>
        <w:rPr>
          <w:rFonts w:ascii="宋体" w:hAnsi="宋体" w:eastAsia="宋体" w:cs="仿宋"/>
          <w:bCs/>
          <w:sz w:val="24"/>
        </w:rPr>
      </w:pPr>
    </w:p>
    <w:p>
      <w:pPr>
        <w:numPr>
          <w:ilvl w:val="0"/>
          <w:numId w:val="1"/>
        </w:numPr>
        <w:snapToGrid w:val="0"/>
        <w:spacing w:line="360" w:lineRule="auto"/>
        <w:ind w:firstLine="480"/>
        <w:contextualSpacing/>
        <w:rPr>
          <w:rFonts w:ascii="宋体" w:hAnsi="宋体" w:eastAsia="宋体" w:cs="仿宋"/>
          <w:b/>
          <w:sz w:val="24"/>
        </w:rPr>
      </w:pPr>
      <w:r>
        <w:rPr>
          <w:rFonts w:hint="eastAsia" w:ascii="宋体" w:hAnsi="宋体" w:eastAsia="宋体" w:cs="仿宋"/>
          <w:b/>
          <w:sz w:val="24"/>
        </w:rPr>
        <w:t>申报债权的范围</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（一）对债务人享有债权的债权人，均可以向管理人申报债权。</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（二）未到期的债权，自破产清算申请受理日（即2024年7月1日）视为已到期；附利息的债权自破产清算申请受理日（即2024年7月1日）起停止计息（</w:t>
      </w:r>
      <w:r>
        <w:rPr>
          <w:rFonts w:hint="eastAsia" w:ascii="宋体" w:hAnsi="宋体" w:eastAsia="宋体" w:cs="仿宋"/>
          <w:b/>
          <w:sz w:val="24"/>
          <w:u w:val="thick"/>
        </w:rPr>
        <w:t>受理日当天不计息</w:t>
      </w:r>
      <w:r>
        <w:rPr>
          <w:rFonts w:hint="eastAsia" w:ascii="宋体" w:hAnsi="宋体" w:eastAsia="宋体" w:cs="仿宋"/>
          <w:bCs/>
          <w:sz w:val="24"/>
        </w:rPr>
        <w:t>）。</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三）债务人的保证人或者其他连带债务人已经代替债务人清偿债务的，以其对债务人的求偿权申报债权。债务人的保证人或者其他连带债务人尚未代替债务人清偿债务的，以其对债务人的将来求偿权申报债权。但是，债权人已经向管理人申报全部债权的除外。</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（四）债务人作为保证人的，债权人有权申报其对保证人的保证债权。主债务未到期的，保证债权在保证人破产申请受理时视为到期。</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（五）连带债权人可以由其中一人代表全体债权人申报债权，也可以共同申报债权。连带债务人数人被裁定适用《企业破产法》规定的程序的，其债权人有权就全部债权分别在各破产案件中申报债权。</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（六）管理人或者债务人依照《企业破产法》规定解除合同的，对方当事人以因合同解除所产生的损害赔偿请求权申报债权。</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（七）债务人是委托合同的委托人，法院裁定受理债务人破产清算，受托人不知该事实，继续处理委托事务的，受托人以由此产生的请求权申报债权。</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（八）附条件、附期限的债权和诉讼、仲裁未决的债权，债权人可以申报。</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（九）职工债权无需申报，由管理人统一调查核实。</w:t>
      </w:r>
    </w:p>
    <w:p>
      <w:pPr>
        <w:snapToGrid w:val="0"/>
        <w:spacing w:line="360" w:lineRule="auto"/>
        <w:contextualSpacing/>
        <w:rPr>
          <w:rFonts w:ascii="宋体" w:hAnsi="宋体" w:eastAsia="宋体" w:cs="仿宋"/>
          <w:bCs/>
          <w:sz w:val="24"/>
        </w:rPr>
      </w:pPr>
    </w:p>
    <w:p>
      <w:pPr>
        <w:numPr>
          <w:ilvl w:val="0"/>
          <w:numId w:val="1"/>
        </w:numPr>
        <w:snapToGrid w:val="0"/>
        <w:spacing w:line="360" w:lineRule="auto"/>
        <w:ind w:firstLine="480"/>
        <w:contextualSpacing/>
        <w:rPr>
          <w:rFonts w:ascii="宋体" w:hAnsi="宋体" w:eastAsia="宋体" w:cs="仿宋"/>
          <w:b/>
          <w:sz w:val="24"/>
        </w:rPr>
      </w:pPr>
      <w:r>
        <w:rPr>
          <w:rFonts w:hint="eastAsia" w:ascii="宋体" w:hAnsi="宋体" w:eastAsia="宋体" w:cs="仿宋"/>
          <w:b/>
          <w:sz w:val="24"/>
        </w:rPr>
        <w:t>债权申报所需材料</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债权人</w:t>
      </w:r>
      <w:r>
        <w:rPr>
          <w:rFonts w:hint="eastAsia" w:ascii="宋体" w:hAnsi="宋体" w:eastAsia="宋体" w:cs="仿宋"/>
          <w:bCs/>
          <w:sz w:val="24"/>
        </w:rPr>
        <w:t>不论通过邮寄还是</w:t>
      </w:r>
      <w:r>
        <w:rPr>
          <w:rFonts w:ascii="宋体" w:hAnsi="宋体" w:eastAsia="宋体" w:cs="仿宋"/>
          <w:bCs/>
          <w:sz w:val="24"/>
        </w:rPr>
        <w:t>现场申报债权</w:t>
      </w:r>
      <w:r>
        <w:rPr>
          <w:rFonts w:hint="eastAsia" w:ascii="宋体" w:hAnsi="宋体" w:eastAsia="宋体" w:cs="仿宋"/>
          <w:bCs/>
          <w:sz w:val="24"/>
        </w:rPr>
        <w:t>方式，均需</w:t>
      </w:r>
      <w:r>
        <w:rPr>
          <w:rFonts w:ascii="宋体" w:hAnsi="宋体" w:eastAsia="宋体" w:cs="仿宋"/>
          <w:bCs/>
          <w:sz w:val="24"/>
        </w:rPr>
        <w:t>提交以下五类申报材料，并请按照管理人提供的附件范本填写。各类材料</w:t>
      </w:r>
      <w:r>
        <w:rPr>
          <w:rFonts w:hint="eastAsia" w:ascii="宋体" w:hAnsi="宋体" w:eastAsia="宋体" w:cs="仿宋"/>
          <w:bCs/>
          <w:sz w:val="24"/>
        </w:rPr>
        <w:t>一</w:t>
      </w:r>
      <w:r>
        <w:rPr>
          <w:rFonts w:ascii="宋体" w:hAnsi="宋体" w:eastAsia="宋体" w:cs="仿宋"/>
          <w:bCs/>
          <w:sz w:val="24"/>
        </w:rPr>
        <w:t>式</w:t>
      </w:r>
      <w:r>
        <w:rPr>
          <w:rFonts w:hint="eastAsia" w:ascii="宋体" w:hAnsi="宋体" w:eastAsia="宋体" w:cs="仿宋"/>
          <w:bCs/>
          <w:sz w:val="24"/>
        </w:rPr>
        <w:t>两</w:t>
      </w:r>
      <w:r>
        <w:rPr>
          <w:rFonts w:ascii="宋体" w:hAnsi="宋体" w:eastAsia="宋体" w:cs="仿宋"/>
          <w:bCs/>
          <w:sz w:val="24"/>
        </w:rPr>
        <w:t>份，资料用纸统一为 A4 型纸。按照顺序排列装订成完全相同的两册，并加盖骑缝章</w:t>
      </w:r>
      <w:r>
        <w:rPr>
          <w:rFonts w:hint="eastAsia" w:ascii="宋体" w:hAnsi="宋体" w:eastAsia="宋体" w:cs="仿宋"/>
          <w:bCs/>
          <w:sz w:val="24"/>
        </w:rPr>
        <w:t>/按捺手印</w:t>
      </w:r>
      <w:r>
        <w:rPr>
          <w:rFonts w:ascii="宋体" w:hAnsi="宋体" w:eastAsia="宋体" w:cs="仿宋"/>
          <w:bCs/>
          <w:sz w:val="24"/>
        </w:rPr>
        <w:t>。</w:t>
      </w:r>
      <w:r>
        <w:rPr>
          <w:rFonts w:hint="eastAsia" w:ascii="宋体" w:hAnsi="宋体" w:eastAsia="宋体" w:cs="仿宋"/>
          <w:bCs/>
          <w:sz w:val="24"/>
        </w:rPr>
        <w:t>现场</w:t>
      </w:r>
      <w:r>
        <w:rPr>
          <w:rFonts w:ascii="宋体" w:hAnsi="宋体" w:eastAsia="宋体" w:cs="仿宋"/>
          <w:bCs/>
          <w:sz w:val="24"/>
        </w:rPr>
        <w:t>申报时须携带全部材料的原件供核对。</w:t>
      </w:r>
    </w:p>
    <w:p>
      <w:pPr>
        <w:snapToGrid w:val="0"/>
        <w:spacing w:line="360" w:lineRule="auto"/>
        <w:ind w:left="420" w:leftChars="200"/>
        <w:contextualSpacing/>
        <w:rPr>
          <w:rFonts w:ascii="宋体" w:hAnsi="宋体" w:eastAsia="宋体" w:cs="仿宋"/>
          <w:b/>
          <w:sz w:val="24"/>
        </w:rPr>
      </w:pPr>
      <w:r>
        <w:rPr>
          <w:rFonts w:ascii="宋体" w:hAnsi="宋体" w:eastAsia="宋体" w:cs="仿宋"/>
          <w:b/>
          <w:sz w:val="24"/>
        </w:rPr>
        <w:t>特别提示：</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邮寄</w:t>
      </w:r>
      <w:r>
        <w:rPr>
          <w:rFonts w:ascii="宋体" w:hAnsi="宋体" w:eastAsia="宋体" w:cs="仿宋"/>
          <w:bCs/>
          <w:sz w:val="24"/>
        </w:rPr>
        <w:t>申报债权的，债权人还须准备全套申报文件的彩色扫描件并发送至管理人邮箱（</w:t>
      </w:r>
      <w:r>
        <w:rPr>
          <w:rFonts w:hint="eastAsia" w:ascii="宋体" w:hAnsi="宋体" w:eastAsia="宋体" w:cs="仿宋"/>
          <w:bCs/>
          <w:sz w:val="24"/>
        </w:rPr>
        <w:t>dingliping@haikan.net.cn</w:t>
      </w:r>
      <w:r>
        <w:rPr>
          <w:rFonts w:ascii="宋体" w:hAnsi="宋体" w:eastAsia="宋体" w:cs="仿宋"/>
          <w:bCs/>
          <w:sz w:val="24"/>
        </w:rPr>
        <w:t>）。债权人仅将申报材料发送至管理人邮箱</w:t>
      </w:r>
      <w:r>
        <w:rPr>
          <w:rFonts w:hint="eastAsia" w:ascii="宋体" w:hAnsi="宋体" w:eastAsia="宋体" w:cs="仿宋"/>
          <w:bCs/>
          <w:sz w:val="24"/>
        </w:rPr>
        <w:t>后，需以短信/电话方式告知管理人申报信息，管理人以短信/电话方式告知接收讯息</w:t>
      </w:r>
      <w:r>
        <w:rPr>
          <w:rFonts w:ascii="宋体" w:hAnsi="宋体" w:eastAsia="宋体" w:cs="仿宋"/>
          <w:bCs/>
          <w:sz w:val="24"/>
        </w:rPr>
        <w:t>。</w:t>
      </w:r>
    </w:p>
    <w:p>
      <w:pPr>
        <w:snapToGrid w:val="0"/>
        <w:spacing w:line="360" w:lineRule="auto"/>
        <w:ind w:firstLine="480" w:firstLineChars="200"/>
        <w:contextualSpacing/>
        <w:rPr>
          <w:rFonts w:ascii="宋体" w:hAnsi="宋体" w:eastAsia="宋体" w:cs="仿宋"/>
          <w:b/>
          <w:sz w:val="24"/>
        </w:rPr>
      </w:pPr>
      <w:r>
        <w:rPr>
          <w:rFonts w:ascii="宋体" w:hAnsi="宋体" w:eastAsia="宋体" w:cs="仿宋"/>
          <w:b/>
          <w:sz w:val="24"/>
        </w:rPr>
        <w:t>（一）《债权申报材料</w:t>
      </w:r>
      <w:r>
        <w:rPr>
          <w:rFonts w:hint="eastAsia" w:ascii="宋体" w:hAnsi="宋体" w:eastAsia="宋体" w:cs="仿宋"/>
          <w:b/>
          <w:sz w:val="24"/>
        </w:rPr>
        <w:t>清单</w:t>
      </w:r>
      <w:r>
        <w:rPr>
          <w:rFonts w:ascii="宋体" w:hAnsi="宋体" w:eastAsia="宋体" w:cs="仿宋"/>
          <w:b/>
          <w:sz w:val="24"/>
        </w:rPr>
        <w:t>》《债权申报表》（请按照附件填写，可加页）</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1. 申报人应在《债权申报材料清单》中按序填写提交的书面材料名称，并注明份数。</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2</w:t>
      </w:r>
      <w:r>
        <w:rPr>
          <w:rFonts w:ascii="宋体" w:hAnsi="宋体" w:eastAsia="宋体" w:cs="仿宋"/>
          <w:bCs/>
          <w:sz w:val="24"/>
        </w:rPr>
        <w:t>. 申报人应真实、准确、完整填写《债权申报表》，填写债权申报人的基本信息、联系方式、申报债权金额（申报多笔债权的，请</w:t>
      </w:r>
      <w:r>
        <w:rPr>
          <w:rFonts w:hint="eastAsia" w:ascii="宋体" w:hAnsi="宋体" w:eastAsia="宋体" w:cs="仿宋"/>
          <w:bCs/>
          <w:sz w:val="24"/>
        </w:rPr>
        <w:t>填写多份债权申报表，即一笔一表）</w:t>
      </w:r>
      <w:r>
        <w:rPr>
          <w:rFonts w:ascii="宋体" w:hAnsi="宋体" w:eastAsia="宋体" w:cs="仿宋"/>
          <w:bCs/>
          <w:sz w:val="24"/>
        </w:rPr>
        <w:t>、是否存在担保或者诉讼、仲裁等信息。以上信息如有虚假填写，债权人将自行承担法律后果。</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3. 申报人应在《债权申报表》中针对申报债权逐项说明申报类型、债权性质、债权总金额及构成（利息类债权须进一步拆分明细）、债权形成及履行情况、债权担保情况等，涉及利息、违约金等款项的还须说明计算依据及具体计算过程（应另附计算明细表或情况说明文件）。</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4. 机构债权人应在《债权申报材料清单》《债权申报表》上加盖债权人公章</w:t>
      </w:r>
      <w:r>
        <w:rPr>
          <w:rFonts w:hint="eastAsia" w:ascii="宋体" w:hAnsi="宋体" w:eastAsia="宋体" w:cs="仿宋"/>
          <w:bCs/>
          <w:sz w:val="24"/>
        </w:rPr>
        <w:t>并由法定代表人或授权代表签字</w:t>
      </w:r>
      <w:r>
        <w:rPr>
          <w:rFonts w:ascii="宋体" w:hAnsi="宋体" w:eastAsia="宋体" w:cs="仿宋"/>
          <w:bCs/>
          <w:sz w:val="24"/>
        </w:rPr>
        <w:t>，个人债权人应由本人签字并按捺手印。委托代理人申报的，代理人应在前述材料上签字并按捺手印。</w:t>
      </w:r>
    </w:p>
    <w:p>
      <w:pPr>
        <w:snapToGrid w:val="0"/>
        <w:spacing w:line="360" w:lineRule="auto"/>
        <w:ind w:firstLine="480" w:firstLineChars="200"/>
        <w:contextualSpacing/>
        <w:rPr>
          <w:rFonts w:ascii="宋体" w:hAnsi="宋体" w:eastAsia="宋体" w:cs="仿宋"/>
          <w:b/>
          <w:sz w:val="24"/>
        </w:rPr>
      </w:pPr>
      <w:r>
        <w:rPr>
          <w:rFonts w:ascii="宋体" w:hAnsi="宋体" w:eastAsia="宋体" w:cs="仿宋"/>
          <w:b/>
          <w:sz w:val="24"/>
        </w:rPr>
        <w:t>（二）证明债权人主体资格的材料（未注明须提供原件的，提供复印件即可，下同）</w:t>
      </w:r>
    </w:p>
    <w:p>
      <w:pPr>
        <w:snapToGrid w:val="0"/>
        <w:spacing w:line="360" w:lineRule="auto"/>
        <w:ind w:firstLine="601" w:firstLineChars="250"/>
        <w:contextualSpacing/>
        <w:rPr>
          <w:rFonts w:ascii="宋体" w:hAnsi="宋体" w:eastAsia="宋体" w:cs="仿宋"/>
          <w:b/>
          <w:sz w:val="24"/>
        </w:rPr>
      </w:pPr>
      <w:r>
        <w:rPr>
          <w:rFonts w:ascii="宋体" w:hAnsi="宋体" w:eastAsia="宋体" w:cs="仿宋"/>
          <w:b/>
          <w:sz w:val="24"/>
        </w:rPr>
        <w:t>1. 机构债权人应提供如下主体资格证明材料：</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（1）</w:t>
      </w:r>
      <w:r>
        <w:rPr>
          <w:rFonts w:ascii="宋体" w:hAnsi="宋体" w:eastAsia="宋体" w:cs="仿宋"/>
          <w:bCs/>
          <w:sz w:val="24"/>
        </w:rPr>
        <w:t>有效的营业执照或事业单位、社会团体等非营利法人或非法人组织的登记证书或其他合法证明书复印件；</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（2）《</w:t>
      </w:r>
      <w:r>
        <w:rPr>
          <w:rFonts w:ascii="宋体" w:hAnsi="宋体" w:eastAsia="宋体" w:cs="仿宋"/>
          <w:bCs/>
          <w:sz w:val="24"/>
        </w:rPr>
        <w:t>法定代表人（负责人）身份证明书》（请参照范本）；</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（3）</w:t>
      </w:r>
      <w:r>
        <w:rPr>
          <w:rFonts w:ascii="宋体" w:hAnsi="宋体" w:eastAsia="宋体" w:cs="仿宋"/>
          <w:bCs/>
          <w:sz w:val="24"/>
        </w:rPr>
        <w:t>法定代表人（负责人）身份证等个人有效证件复印件；</w:t>
      </w:r>
    </w:p>
    <w:p>
      <w:pPr>
        <w:snapToGrid w:val="0"/>
        <w:spacing w:line="360" w:lineRule="auto"/>
        <w:ind w:firstLine="480" w:firstLineChars="200"/>
        <w:contextualSpacing/>
        <w:rPr>
          <w:rFonts w:ascii="宋体" w:hAnsi="宋体" w:eastAsia="宋体" w:cs="仿宋"/>
          <w:bCs/>
          <w:sz w:val="24"/>
          <w:u w:val="single"/>
        </w:rPr>
      </w:pPr>
      <w:r>
        <w:rPr>
          <w:rFonts w:hint="eastAsia" w:ascii="宋体" w:hAnsi="宋体" w:eastAsia="宋体" w:cs="仿宋"/>
          <w:bCs/>
          <w:sz w:val="24"/>
        </w:rPr>
        <w:t>（4）</w:t>
      </w:r>
      <w:r>
        <w:rPr>
          <w:rFonts w:ascii="宋体" w:hAnsi="宋体" w:eastAsia="宋体" w:cs="仿宋"/>
          <w:bCs/>
          <w:sz w:val="24"/>
          <w:u w:val="single"/>
        </w:rPr>
        <w:t>如机构债权人与债务人发生债权债务后名称发生变更的，还应当提交由市场监督管理机构出具的变更证明文件复印件。</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需要注意的是，对于存在主体注销或吊销的情况，不属于以上名称变更的范围，出现此类情形的机构债权人应由有权承继其权利的适格主体申报债权，并应提交相关证据材料（例如债权转让协议或有权承继的相关资格证明等），前述文件还须加盖公章/签字并按捺手印。</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
          <w:sz w:val="24"/>
        </w:rPr>
        <w:t>2. 个人债权人应提供如下主体资格证明材料：</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（1）</w:t>
      </w:r>
      <w:r>
        <w:rPr>
          <w:rFonts w:ascii="宋体" w:hAnsi="宋体" w:eastAsia="宋体" w:cs="仿宋"/>
          <w:bCs/>
          <w:sz w:val="24"/>
        </w:rPr>
        <w:t>债权人身份证等个人有效证件复印件。前述复印件须签字并按捺手印。</w:t>
      </w:r>
    </w:p>
    <w:p>
      <w:pPr>
        <w:snapToGrid w:val="0"/>
        <w:spacing w:line="360" w:lineRule="auto"/>
        <w:ind w:firstLine="480" w:firstLineChars="200"/>
        <w:contextualSpacing/>
        <w:rPr>
          <w:rFonts w:ascii="宋体" w:hAnsi="宋体" w:eastAsia="宋体" w:cs="仿宋"/>
          <w:b/>
          <w:sz w:val="24"/>
        </w:rPr>
      </w:pPr>
      <w:r>
        <w:rPr>
          <w:rFonts w:ascii="宋体" w:hAnsi="宋体" w:eastAsia="宋体" w:cs="仿宋"/>
          <w:b/>
          <w:sz w:val="24"/>
        </w:rPr>
        <w:t>3. 非法定代表人（负责人）/本人申报债权或参与后续破产程序工作的，应提供如下主体资格证明材料：</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（1）《授权委托书》（请参照范本</w:t>
      </w:r>
      <w:r>
        <w:rPr>
          <w:rFonts w:hint="eastAsia" w:ascii="宋体" w:hAnsi="宋体" w:eastAsia="宋体" w:cs="仿宋"/>
          <w:bCs/>
          <w:sz w:val="24"/>
        </w:rPr>
        <w:t>）</w:t>
      </w:r>
      <w:r>
        <w:rPr>
          <w:rFonts w:ascii="宋体" w:hAnsi="宋体" w:eastAsia="宋体" w:cs="仿宋"/>
          <w:bCs/>
          <w:sz w:val="24"/>
        </w:rPr>
        <w:t>。如是机构债权人的，前述原件须由机构债权人加盖公章</w:t>
      </w:r>
      <w:r>
        <w:rPr>
          <w:rFonts w:hint="eastAsia" w:ascii="宋体" w:hAnsi="宋体" w:eastAsia="宋体" w:cs="仿宋"/>
          <w:bCs/>
          <w:sz w:val="24"/>
        </w:rPr>
        <w:t>并由法定代表人签字或签章</w:t>
      </w:r>
      <w:r>
        <w:rPr>
          <w:rFonts w:ascii="宋体" w:hAnsi="宋体" w:eastAsia="宋体" w:cs="仿宋"/>
          <w:bCs/>
          <w:sz w:val="24"/>
        </w:rPr>
        <w:t>；如是个人债权人的，前述原件须由个人债权人签字并按捺手印；</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（2）委托代理人的个人有效证件复印件。如是机构代理人的，须由机构代理人的法定代表人或负责人签字并加盖公章；如是个人代理人的，须由个人代理人签字并按捺手印；</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（3）如委托代理人为律师的，还应提交律师证复印件以及《律师事务所指派函》原件。律师证复印件须加盖机构债权人公章/个人债权人签字并按捺手印。</w:t>
      </w:r>
      <w:r>
        <w:rPr>
          <w:rFonts w:hint="eastAsia" w:ascii="宋体" w:hAnsi="宋体" w:eastAsia="宋体" w:cs="仿宋"/>
          <w:bCs/>
          <w:sz w:val="24"/>
        </w:rPr>
        <w:t xml:space="preserve">  </w:t>
      </w:r>
    </w:p>
    <w:p>
      <w:pPr>
        <w:snapToGrid w:val="0"/>
        <w:spacing w:line="360" w:lineRule="auto"/>
        <w:ind w:firstLine="480" w:firstLineChars="200"/>
        <w:contextualSpacing/>
        <w:rPr>
          <w:rFonts w:ascii="宋体" w:hAnsi="宋体" w:eastAsia="宋体" w:cs="仿宋"/>
          <w:b/>
          <w:sz w:val="24"/>
        </w:rPr>
      </w:pPr>
      <w:r>
        <w:rPr>
          <w:rFonts w:ascii="宋体" w:hAnsi="宋体" w:eastAsia="宋体" w:cs="仿宋"/>
          <w:b/>
          <w:sz w:val="24"/>
        </w:rPr>
        <w:t>（三）证明债权成立及债权金额、性质的材料（复印件）</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债权人申报债权应提交能够证明债权成立及债权金额、性质的全部书面证据材料，包括但不限于：</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1. 各类合同书（如借/贷合同，购/销服务合同）等债权形成的基础性材料。前述材料</w:t>
      </w:r>
      <w:r>
        <w:rPr>
          <w:rFonts w:hint="eastAsia" w:ascii="宋体" w:hAnsi="宋体" w:eastAsia="宋体" w:cs="仿宋"/>
          <w:bCs/>
          <w:sz w:val="24"/>
        </w:rPr>
        <w:t>如果是复印</w:t>
      </w:r>
      <w:r>
        <w:rPr>
          <w:rFonts w:ascii="宋体" w:hAnsi="宋体" w:eastAsia="宋体" w:cs="仿宋"/>
          <w:bCs/>
          <w:sz w:val="24"/>
        </w:rPr>
        <w:t>件，还须加盖公章/签字并按捺手印后再扫描上传，页数较多的允许在证据目录上加盖公章/签字并按捺手印并加盖骑缝章/按捺骑缝手印。</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2. 相关票据、收据、划账单、汇款单、对账单等合同履行的凭证。前述材料如果是复印件的，还须加盖公章/签字并按捺手印后再扫描上传，页数较多的允许在证据目录上加盖公章/签字并按捺手印并加盖骑缝章/按捺骑缝手印。</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3. 债权如有担保的，还须提交抵押合同、质押合同、保证合同、担保物清单及相关的</w:t>
      </w:r>
      <w:r>
        <w:rPr>
          <w:rFonts w:hint="eastAsia" w:ascii="宋体" w:hAnsi="宋体" w:eastAsia="宋体" w:cs="仿宋"/>
          <w:bCs/>
          <w:sz w:val="24"/>
        </w:rPr>
        <w:t>登记</w:t>
      </w:r>
      <w:r>
        <w:rPr>
          <w:rFonts w:ascii="宋体" w:hAnsi="宋体" w:eastAsia="宋体" w:cs="仿宋"/>
          <w:bCs/>
          <w:sz w:val="24"/>
        </w:rPr>
        <w:t>证件等担保材料。前述材料如果是复印件的，还须加盖公章/签字并按捺手印后再扫描上传，页数较多的允许在证据目录上加盖公章/签字并按捺手印并加盖骑缝章/按捺骑缝手印。</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4. 债权的发生、变更（包括但不限于债权转让、债务承担、合同转让、债务重组、抵销、部分清偿）及存续等原始材料。</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5. 债权人主张债权的相关证明资料，如催收通知等。</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6</w:t>
      </w:r>
      <w:r>
        <w:rPr>
          <w:rFonts w:ascii="宋体" w:hAnsi="宋体" w:eastAsia="宋体" w:cs="仿宋"/>
          <w:bCs/>
          <w:sz w:val="24"/>
        </w:rPr>
        <w:t>. 相关公证文书（如有）。</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7</w:t>
      </w:r>
      <w:r>
        <w:rPr>
          <w:rFonts w:ascii="宋体" w:hAnsi="宋体" w:eastAsia="宋体" w:cs="仿宋"/>
          <w:bCs/>
          <w:sz w:val="24"/>
        </w:rPr>
        <w:t>. 能够证明债权发生、变更、存续，诉讼时效中止、中断、延长的其他材料。前述材料如果是复印件的，还须加盖公章/签字并按捺手印，页数较多的允许在证据目录上加盖公章/签字并按捺手印并加盖骑缝章/按捺骑缝手印。</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8. 债权如涉及诉讼或仲裁的，须提交诉讼、仲裁有关文件的复印件。人民法院出具的生效法律文书（附送达手续或生效证明），如果经过两级法院审理，一、二审法院的法律文书均须提供；仲裁机关出具的生效法律文书，应附上仲裁机关关于法律文书已经生效的函件或双方当事人已签收的送达回执；如已申请人民法院强制执行的，还须提交人民法院执行立案通知书、中止执行裁定书等相关文件。前述复印件须加盖公章/签字并按捺手，页数较多的允许在证据目录上加盖公章/签字并按捺手印并加盖骑缝章/按捺骑缝手印。</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9. 申报人如在诉讼或仲裁程序中申请财产保全的，须提交人民法院作出的保全裁定书等相关文件的复印件。前述复印件须加盖公章/ 签字并按捺手印，页数较多的允许在证据目录上加盖公章/签字并按捺手印并加盖骑缝章/按捺骑缝手印。</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10. 债务如有清偿情形的，须提供清偿凭证、协议等文件。如该等债务清偿系由人民法院判决/裁定确认的，须同时提交相关生效法律文书的复印件。本项义务不随着债权申报工作的结束而终止，如前述情况一经发生，债权人即应及时通知管理人并补充提供前述资料。 前述材料如果是复印件的，还须加盖公章/签字并按捺手印，页数较多的允许在证据目录上加盖公章/签字并按捺手印并加盖骑缝章/按捺骑缝手印。</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11. 申报的债权涉及利息的，根据《企业破产法》第四十六条第二款之规定，利息计算至人民法院依法裁定的破产</w:t>
      </w:r>
      <w:r>
        <w:rPr>
          <w:rFonts w:hint="eastAsia" w:ascii="宋体" w:hAnsi="宋体" w:eastAsia="宋体" w:cs="仿宋"/>
          <w:bCs/>
          <w:sz w:val="24"/>
        </w:rPr>
        <w:t>清算</w:t>
      </w:r>
      <w:r>
        <w:rPr>
          <w:rFonts w:ascii="宋体" w:hAnsi="宋体" w:eastAsia="宋体" w:cs="仿宋"/>
          <w:bCs/>
          <w:sz w:val="24"/>
        </w:rPr>
        <w:t xml:space="preserve">受理之日，即 2024 </w:t>
      </w:r>
      <w:r>
        <w:rPr>
          <w:rFonts w:hint="eastAsia" w:ascii="宋体" w:hAnsi="宋体" w:eastAsia="宋体" w:cs="仿宋"/>
          <w:bCs/>
          <w:sz w:val="24"/>
        </w:rPr>
        <w:t>年</w:t>
      </w:r>
      <w:r>
        <w:rPr>
          <w:rFonts w:hint="eastAsia" w:ascii="宋体" w:hAnsi="宋体" w:eastAsia="宋体" w:cs="仿宋"/>
          <w:bCs/>
          <w:sz w:val="24"/>
          <w:lang w:val="en-US" w:eastAsia="zh-CN"/>
        </w:rPr>
        <w:t>7</w:t>
      </w:r>
      <w:r>
        <w:rPr>
          <w:rFonts w:ascii="宋体" w:hAnsi="宋体" w:eastAsia="宋体" w:cs="仿宋"/>
          <w:bCs/>
          <w:sz w:val="24"/>
        </w:rPr>
        <w:t>月</w:t>
      </w:r>
      <w:r>
        <w:rPr>
          <w:rFonts w:hint="eastAsia" w:ascii="宋体" w:hAnsi="宋体" w:eastAsia="宋体" w:cs="仿宋"/>
          <w:bCs/>
          <w:sz w:val="24"/>
          <w:lang w:val="en-US" w:eastAsia="zh-CN"/>
        </w:rPr>
        <w:t>1</w:t>
      </w:r>
      <w:r>
        <w:rPr>
          <w:rFonts w:ascii="宋体" w:hAnsi="宋体" w:eastAsia="宋体" w:cs="仿宋"/>
          <w:bCs/>
          <w:sz w:val="24"/>
        </w:rPr>
        <w:t>日（受理日当天不计息）</w:t>
      </w:r>
      <w:r>
        <w:rPr>
          <w:rFonts w:hint="eastAsia" w:ascii="宋体" w:hAnsi="宋体" w:eastAsia="宋体" w:cs="仿宋"/>
          <w:bCs/>
          <w:sz w:val="24"/>
        </w:rPr>
        <w:t>。</w:t>
      </w:r>
      <w:r>
        <w:rPr>
          <w:rFonts w:ascii="宋体" w:hAnsi="宋体" w:eastAsia="宋体" w:cs="仿宋"/>
          <w:bCs/>
          <w:sz w:val="24"/>
        </w:rPr>
        <w:t>申报人在申报利息时，应当说明计算标准并另行提供利息计算表，说明利息的计算依据（应当明确指出合同约定利息或违约金涉及的具体条款或生效法律文书涉及的具体判项）、计算方法和计算结果，同时将正常利息、复利、罚息与滞纳金等分开计算。前述计算表须加盖公章/签字并按捺手印。</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12. 如涉及因未履行生效法律文书判决义务所产生的迟延履行期间的债务利息计算，应根据《最高人民法院关于执行程序中计算迟延履行期间的债务利息适用法律若干问题的解释》进行计算。</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13. 如债权本币以外币进行结算/交易的，应以法院受理破产</w:t>
      </w:r>
      <w:r>
        <w:rPr>
          <w:rFonts w:hint="eastAsia" w:ascii="宋体" w:hAnsi="宋体" w:eastAsia="宋体" w:cs="仿宋"/>
          <w:bCs/>
          <w:sz w:val="24"/>
        </w:rPr>
        <w:t>清算</w:t>
      </w:r>
      <w:r>
        <w:rPr>
          <w:rFonts w:ascii="宋体" w:hAnsi="宋体" w:eastAsia="宋体" w:cs="仿宋"/>
          <w:bCs/>
          <w:sz w:val="24"/>
        </w:rPr>
        <w:t>日（即2024</w:t>
      </w:r>
      <w:r>
        <w:rPr>
          <w:rFonts w:hint="eastAsia" w:ascii="宋体" w:hAnsi="宋体" w:eastAsia="宋体" w:cs="仿宋"/>
          <w:bCs/>
          <w:sz w:val="24"/>
        </w:rPr>
        <w:t>年</w:t>
      </w:r>
      <w:r>
        <w:rPr>
          <w:rFonts w:hint="eastAsia" w:ascii="宋体" w:hAnsi="宋体" w:eastAsia="宋体" w:cs="仿宋"/>
          <w:bCs/>
          <w:sz w:val="24"/>
          <w:lang w:val="en-US" w:eastAsia="zh-CN"/>
        </w:rPr>
        <w:t>7</w:t>
      </w:r>
      <w:r>
        <w:rPr>
          <w:rFonts w:ascii="宋体" w:hAnsi="宋体" w:eastAsia="宋体" w:cs="仿宋"/>
          <w:bCs/>
          <w:sz w:val="24"/>
        </w:rPr>
        <w:t>月</w:t>
      </w:r>
      <w:r>
        <w:rPr>
          <w:rFonts w:hint="eastAsia" w:ascii="宋体" w:hAnsi="宋体" w:eastAsia="宋体" w:cs="仿宋"/>
          <w:bCs/>
          <w:sz w:val="24"/>
          <w:lang w:val="en-US" w:eastAsia="zh-CN"/>
        </w:rPr>
        <w:t>1</w:t>
      </w:r>
      <w:r>
        <w:rPr>
          <w:rFonts w:ascii="宋体" w:hAnsi="宋体" w:eastAsia="宋体" w:cs="仿宋"/>
          <w:bCs/>
          <w:sz w:val="24"/>
        </w:rPr>
        <w:t>日）中国人民银行公布的外汇市场交易中间价换算成人民币后进行申报/计算。</w:t>
      </w:r>
    </w:p>
    <w:p>
      <w:pPr>
        <w:snapToGrid w:val="0"/>
        <w:spacing w:line="360" w:lineRule="auto"/>
        <w:ind w:left="420" w:leftChars="200"/>
        <w:contextualSpacing/>
        <w:rPr>
          <w:rFonts w:ascii="宋体" w:hAnsi="宋体" w:eastAsia="宋体" w:cs="仿宋"/>
          <w:b/>
          <w:sz w:val="24"/>
        </w:rPr>
      </w:pPr>
      <w:r>
        <w:rPr>
          <w:rFonts w:ascii="宋体" w:hAnsi="宋体" w:eastAsia="宋体" w:cs="仿宋"/>
          <w:b/>
          <w:sz w:val="24"/>
        </w:rPr>
        <w:t>（四）债权人联系方式确认书</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债权人应填写申报债权人信息和送达地址确认书（请参照范本）并签字、盖章/按捺手印确认，确保管理人/债务人后续能够将</w:t>
      </w:r>
      <w:r>
        <w:rPr>
          <w:rFonts w:hint="eastAsia" w:ascii="宋体" w:hAnsi="宋体" w:eastAsia="宋体" w:cs="仿宋"/>
          <w:bCs/>
          <w:sz w:val="24"/>
        </w:rPr>
        <w:t>清算</w:t>
      </w:r>
      <w:r>
        <w:rPr>
          <w:rFonts w:ascii="宋体" w:hAnsi="宋体" w:eastAsia="宋体" w:cs="仿宋"/>
          <w:bCs/>
          <w:sz w:val="24"/>
        </w:rPr>
        <w:t>程序相关信息有效送达债权人，以保障债权人的合法权益。</w:t>
      </w:r>
    </w:p>
    <w:p>
      <w:pPr>
        <w:snapToGrid w:val="0"/>
        <w:spacing w:line="360" w:lineRule="auto"/>
        <w:ind w:left="420" w:leftChars="200"/>
        <w:contextualSpacing/>
        <w:rPr>
          <w:rFonts w:ascii="宋体" w:hAnsi="宋体" w:eastAsia="宋体" w:cs="仿宋"/>
          <w:b/>
          <w:sz w:val="24"/>
        </w:rPr>
      </w:pPr>
      <w:r>
        <w:rPr>
          <w:rFonts w:ascii="宋体" w:hAnsi="宋体" w:eastAsia="宋体" w:cs="仿宋"/>
          <w:b/>
          <w:sz w:val="24"/>
        </w:rPr>
        <w:t>（五）债权人承诺书</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为保证债权申报工作的严肃性，请各位债权人提交书面的《</w:t>
      </w:r>
      <w:r>
        <w:rPr>
          <w:rFonts w:hint="eastAsia" w:ascii="宋体" w:hAnsi="宋体" w:eastAsia="宋体" w:cs="仿宋"/>
          <w:bCs/>
          <w:sz w:val="24"/>
        </w:rPr>
        <w:t>虚假申报债权法律风险提示及申报人承诺</w:t>
      </w:r>
      <w:r>
        <w:rPr>
          <w:rFonts w:ascii="宋体" w:hAnsi="宋体" w:eastAsia="宋体" w:cs="仿宋"/>
          <w:bCs/>
          <w:sz w:val="24"/>
        </w:rPr>
        <w:t>》（请参照范本），承诺提交的全部材料真实、准确、合法、有效，承诺所有复印件已与原件核对无异，否则由此导致的一切法律后果自行承担。</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 xml:space="preserve"> </w:t>
      </w:r>
    </w:p>
    <w:p>
      <w:pPr>
        <w:snapToGrid w:val="0"/>
        <w:spacing w:line="360" w:lineRule="auto"/>
        <w:ind w:firstLine="480" w:firstLineChars="200"/>
        <w:contextualSpacing/>
        <w:rPr>
          <w:rFonts w:ascii="宋体" w:hAnsi="宋体" w:eastAsia="宋体" w:cs="仿宋"/>
          <w:b/>
          <w:sz w:val="24"/>
        </w:rPr>
      </w:pPr>
      <w:r>
        <w:rPr>
          <w:rFonts w:hint="eastAsia" w:ascii="宋体" w:hAnsi="宋体" w:eastAsia="宋体" w:cs="仿宋"/>
          <w:b/>
          <w:sz w:val="24"/>
        </w:rPr>
        <w:t>六</w:t>
      </w:r>
      <w:r>
        <w:rPr>
          <w:rFonts w:ascii="宋体" w:hAnsi="宋体" w:eastAsia="宋体" w:cs="仿宋"/>
          <w:b/>
          <w:sz w:val="24"/>
        </w:rPr>
        <w:t>、债权申报材料的要求</w:t>
      </w:r>
    </w:p>
    <w:p>
      <w:pPr>
        <w:snapToGrid w:val="0"/>
        <w:spacing w:line="360" w:lineRule="auto"/>
        <w:ind w:firstLine="480" w:firstLineChars="200"/>
        <w:contextualSpacing/>
        <w:rPr>
          <w:rFonts w:ascii="宋体" w:hAnsi="宋体" w:eastAsia="宋体" w:cs="仿宋"/>
          <w:b/>
          <w:sz w:val="24"/>
        </w:rPr>
      </w:pPr>
      <w:r>
        <w:rPr>
          <w:rFonts w:ascii="宋体" w:hAnsi="宋体" w:eastAsia="宋体" w:cs="仿宋"/>
          <w:b/>
          <w:sz w:val="24"/>
        </w:rPr>
        <w:t>（ 一）应在债权申报期限内按如下要求申报债权</w:t>
      </w:r>
    </w:p>
    <w:p>
      <w:pPr>
        <w:numPr>
          <w:ilvl w:val="0"/>
          <w:numId w:val="3"/>
        </w:num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债权人应当在</w:t>
      </w:r>
      <w:r>
        <w:rPr>
          <w:rFonts w:hint="eastAsia" w:ascii="宋体" w:hAnsi="宋体" w:eastAsia="宋体" w:cs="仿宋"/>
          <w:bCs/>
          <w:sz w:val="24"/>
        </w:rPr>
        <w:t>开阳法院</w:t>
      </w:r>
      <w:r>
        <w:rPr>
          <w:rFonts w:ascii="宋体" w:hAnsi="宋体" w:eastAsia="宋体" w:cs="仿宋"/>
          <w:bCs/>
          <w:sz w:val="24"/>
        </w:rPr>
        <w:t>确定的债权申报期限内向管理人申报债权。超过债权申报期限补充申报的，为审查和确认补充申报债权的费用，由补充申报人承担，费用标准将</w:t>
      </w:r>
      <w:r>
        <w:rPr>
          <w:rFonts w:hint="eastAsia" w:ascii="宋体" w:hAnsi="宋体" w:eastAsia="宋体" w:cs="仿宋"/>
          <w:bCs/>
          <w:sz w:val="24"/>
        </w:rPr>
        <w:t>由管理人</w:t>
      </w:r>
      <w:r>
        <w:rPr>
          <w:rFonts w:ascii="宋体" w:hAnsi="宋体" w:eastAsia="宋体" w:cs="仿宋"/>
          <w:bCs/>
          <w:sz w:val="24"/>
        </w:rPr>
        <w:t>综合审查确认难易程度、逾期时间、逾期申报对破产工作的影响等因素加以确定</w:t>
      </w:r>
      <w:r>
        <w:rPr>
          <w:rFonts w:hint="eastAsia" w:ascii="宋体" w:hAnsi="宋体" w:eastAsia="宋体" w:cs="仿宋"/>
          <w:bCs/>
          <w:sz w:val="24"/>
        </w:rPr>
        <w:t>，并由管理人向补充申报人发送缴费</w:t>
      </w:r>
      <w:r>
        <w:rPr>
          <w:rFonts w:ascii="宋体" w:hAnsi="宋体" w:eastAsia="宋体" w:cs="仿宋"/>
          <w:bCs/>
          <w:sz w:val="24"/>
        </w:rPr>
        <w:t>。</w:t>
      </w:r>
    </w:p>
    <w:p>
      <w:pPr>
        <w:numPr>
          <w:ilvl w:val="0"/>
          <w:numId w:val="3"/>
        </w:num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债权人申报债权时应提交相关文件材料以证明债权存在以及金额，管理人如认为其提交文件材料不完整，可要求债权人补充提交文件材料。如债权人未按照要求在合理期限内补充资料，或未补充资料的，所产生的不利法律后果（如视为撤回申报、债权无法确认等）由债权人自行承担。</w:t>
      </w:r>
    </w:p>
    <w:p>
      <w:pPr>
        <w:numPr>
          <w:ilvl w:val="0"/>
          <w:numId w:val="3"/>
        </w:numPr>
        <w:snapToGrid w:val="0"/>
        <w:spacing w:line="360" w:lineRule="auto"/>
        <w:ind w:firstLine="480" w:firstLineChars="200"/>
        <w:contextualSpacing/>
        <w:rPr>
          <w:rFonts w:ascii="宋体" w:hAnsi="宋体" w:eastAsia="宋体" w:cs="仿宋"/>
          <w:b/>
          <w:sz w:val="24"/>
          <w:u w:val="thick"/>
        </w:rPr>
      </w:pPr>
      <w:r>
        <w:rPr>
          <w:rFonts w:ascii="宋体" w:hAnsi="宋体" w:eastAsia="宋体" w:cs="仿宋"/>
          <w:b/>
          <w:sz w:val="24"/>
          <w:u w:val="thick"/>
        </w:rPr>
        <w:t>债权人有义务保证其提交的文件资料与原件相一致，并长期、持续保管相关债权申报资料中复印件所对应的原件，本项承诺在债权人提交复印件资料的同时生效。如债权人无法提供原件或提供的原件与复印件不一致的，所产生的不利法律后果（如债权无法确认等）由债权人自行承担。</w:t>
      </w:r>
    </w:p>
    <w:p>
      <w:pPr>
        <w:numPr>
          <w:ilvl w:val="0"/>
          <w:numId w:val="3"/>
        </w:numPr>
        <w:snapToGrid w:val="0"/>
        <w:spacing w:line="360" w:lineRule="auto"/>
        <w:ind w:firstLine="480" w:firstLineChars="200"/>
        <w:contextualSpacing/>
        <w:rPr>
          <w:rFonts w:ascii="宋体" w:hAnsi="宋体" w:eastAsia="宋体" w:cs="仿宋"/>
          <w:b/>
          <w:sz w:val="24"/>
          <w:u w:val="thick"/>
        </w:rPr>
      </w:pPr>
      <w:r>
        <w:rPr>
          <w:rFonts w:ascii="宋体" w:hAnsi="宋体" w:eastAsia="宋体" w:cs="仿宋"/>
          <w:b/>
          <w:sz w:val="24"/>
          <w:u w:val="thick"/>
        </w:rPr>
        <w:t>本《债权申报指引》以及债权人申报债权资料中提及须由申报人（或其委托代理人）签字盖章/签字并按捺手印之处，公章应以申报人在公安机关备案登记且现行有效的机构公章为准，其他任何印鉴章均不视为有效申报；签名和捺印应为本人亲自完成，他人代签和代按无效。</w:t>
      </w:r>
    </w:p>
    <w:p>
      <w:pPr>
        <w:numPr>
          <w:ilvl w:val="0"/>
          <w:numId w:val="3"/>
        </w:numPr>
        <w:snapToGrid w:val="0"/>
        <w:spacing w:line="360" w:lineRule="auto"/>
        <w:ind w:firstLine="480" w:firstLineChars="200"/>
        <w:contextualSpacing/>
        <w:rPr>
          <w:rFonts w:ascii="宋体" w:hAnsi="宋体" w:eastAsia="宋体" w:cs="仿宋"/>
          <w:b/>
          <w:sz w:val="24"/>
          <w:u w:val="thick"/>
        </w:rPr>
      </w:pPr>
      <w:r>
        <w:rPr>
          <w:rFonts w:ascii="宋体" w:hAnsi="宋体" w:eastAsia="宋体" w:cs="仿宋"/>
          <w:b/>
          <w:sz w:val="24"/>
          <w:u w:val="thick"/>
        </w:rPr>
        <w:t>如复印件数量较多，机构债权人可通过在所提交的复印件加盖骑缝章的形式代替，并在申报材料首页、尾页以及落款页加盖公章；个人债权人可通过在所提交的复印件骑缝处签字并按捺手印的形式代替，并在申报材料首页、尾页以及落款页签字并按捺手印。</w:t>
      </w:r>
    </w:p>
    <w:p>
      <w:pPr>
        <w:snapToGrid w:val="0"/>
        <w:spacing w:line="360" w:lineRule="auto"/>
        <w:ind w:firstLine="480" w:firstLineChars="200"/>
        <w:contextualSpacing/>
        <w:rPr>
          <w:rFonts w:ascii="宋体" w:hAnsi="宋体" w:eastAsia="宋体" w:cs="仿宋"/>
          <w:b/>
          <w:sz w:val="24"/>
        </w:rPr>
      </w:pPr>
      <w:r>
        <w:rPr>
          <w:rFonts w:ascii="宋体" w:hAnsi="宋体" w:eastAsia="宋体" w:cs="仿宋"/>
          <w:b/>
          <w:sz w:val="24"/>
        </w:rPr>
        <w:t>（二）提交资料的公证与认证</w:t>
      </w:r>
    </w:p>
    <w:p>
      <w:pPr>
        <w:snapToGrid w:val="0"/>
        <w:spacing w:line="360" w:lineRule="auto"/>
        <w:ind w:firstLine="480" w:firstLineChars="200"/>
        <w:contextualSpacing/>
        <w:rPr>
          <w:rFonts w:ascii="宋体" w:hAnsi="宋体" w:eastAsia="宋体" w:cs="仿宋"/>
          <w:b/>
          <w:sz w:val="24"/>
        </w:rPr>
      </w:pPr>
      <w:r>
        <w:rPr>
          <w:rFonts w:ascii="宋体" w:hAnsi="宋体" w:eastAsia="宋体" w:cs="仿宋"/>
          <w:bCs/>
          <w:sz w:val="24"/>
        </w:rPr>
        <w:t>如债权人为境外主体的，债权人提交的所有材料均须经过有公证资质的公证机构公证和领事机构或其他指定机构认证。</w:t>
      </w:r>
      <w:r>
        <w:rPr>
          <w:rFonts w:ascii="宋体" w:hAnsi="宋体" w:eastAsia="宋体" w:cs="仿宋"/>
          <w:b/>
          <w:sz w:val="24"/>
          <w:u w:val="thick"/>
        </w:rPr>
        <w:t>以下为部分地区公证认证程序，仅供参考</w:t>
      </w:r>
      <w:r>
        <w:rPr>
          <w:rFonts w:ascii="宋体" w:hAnsi="宋体" w:eastAsia="宋体" w:cs="仿宋"/>
          <w:b/>
          <w:sz w:val="24"/>
        </w:rPr>
        <w:t>：</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1. 中国香港特别行政区/澳门特别行政区的公证认证程序：</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（1）委托中国司法部指定的香港特别行政区/澳门特别行政区公证机构进行公证（包括查核和公证）；</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（2）委托香港特别行政区/澳门特别行政区律师到中国法律服务（香港）有限公司/中国法律服务（澳门）公司加盖</w:t>
      </w:r>
      <w:r>
        <w:rPr>
          <w:rFonts w:hint="eastAsia" w:ascii="宋体" w:hAnsi="宋体" w:eastAsia="宋体" w:cs="仿宋"/>
          <w:bCs/>
          <w:sz w:val="24"/>
        </w:rPr>
        <w:t>专</w:t>
      </w:r>
      <w:r>
        <w:rPr>
          <w:rFonts w:ascii="宋体" w:hAnsi="宋体" w:eastAsia="宋体" w:cs="仿宋"/>
          <w:bCs/>
          <w:sz w:val="24"/>
        </w:rPr>
        <w:t>章。</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2. 中国台湾地区的公证认证程序：</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（1）到中国台湾地区公证机关进行公证；</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（2）中国台湾地区公证机关将公证文书副本寄交大陆公证员协会；</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（3）大陆公证员协会对公证文书进行核证，核证后即可使用。</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3.外国公证认证程序：</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如债权人所属国家或地区属于《取消外国</w:t>
      </w:r>
      <w:r>
        <w:rPr>
          <w:rFonts w:hint="eastAsia" w:ascii="宋体" w:hAnsi="宋体" w:eastAsia="宋体" w:cs="仿宋"/>
          <w:bCs/>
          <w:sz w:val="24"/>
        </w:rPr>
        <w:t>公证</w:t>
      </w:r>
      <w:r>
        <w:rPr>
          <w:rFonts w:ascii="宋体" w:hAnsi="宋体" w:eastAsia="宋体" w:cs="仿宋"/>
          <w:bCs/>
          <w:sz w:val="24"/>
        </w:rPr>
        <w:t>文书认证要求的公约》 （以下简称《公约</w:t>
      </w:r>
      <w:r>
        <w:rPr>
          <w:rFonts w:hint="eastAsia" w:ascii="宋体" w:hAnsi="宋体" w:eastAsia="宋体" w:cs="仿宋"/>
          <w:bCs/>
          <w:sz w:val="24"/>
        </w:rPr>
        <w:t>》</w:t>
      </w:r>
      <w:r>
        <w:rPr>
          <w:rFonts w:ascii="宋体" w:hAnsi="宋体" w:eastAsia="宋体" w:cs="仿宋"/>
          <w:bCs/>
          <w:sz w:val="24"/>
        </w:rPr>
        <w:t>）缔约国，仅需通过有权机关出具“公证文书+ 附加证明书” 的方式完成公证认证，无须再办理该国和中国驻当地使领馆的领事认证。</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如债权人所属国家或地区非《公约》缔约国，则适用以下公证认证程序：</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（1）将进行公证的材料送该国外交部门进行认证；</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（2）将经过该国外交部门认证的材料送中国驻该国使领馆进行认证。</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如债权人提交的是外文材料，应当同时提交中文翻译件，且须经过有公证资质的公证机构进行译文公证，实际程序以所在地公证认证机构意见为准。</w:t>
      </w:r>
    </w:p>
    <w:p>
      <w:pPr>
        <w:snapToGrid w:val="0"/>
        <w:spacing w:line="360" w:lineRule="auto"/>
        <w:ind w:firstLine="480" w:firstLineChars="200"/>
        <w:contextualSpacing/>
        <w:rPr>
          <w:rFonts w:ascii="宋体" w:hAnsi="宋体" w:eastAsia="宋体" w:cs="仿宋"/>
          <w:bCs/>
          <w:sz w:val="24"/>
        </w:rPr>
      </w:pPr>
    </w:p>
    <w:p>
      <w:pPr>
        <w:snapToGrid w:val="0"/>
        <w:spacing w:line="360" w:lineRule="auto"/>
        <w:ind w:firstLine="480" w:firstLineChars="200"/>
        <w:contextualSpacing/>
        <w:rPr>
          <w:rFonts w:ascii="宋体" w:hAnsi="宋体" w:eastAsia="宋体" w:cs="仿宋"/>
          <w:b/>
          <w:sz w:val="24"/>
        </w:rPr>
      </w:pPr>
      <w:r>
        <w:rPr>
          <w:rFonts w:hint="eastAsia" w:ascii="宋体" w:hAnsi="宋体" w:eastAsia="宋体" w:cs="仿宋"/>
          <w:b/>
          <w:sz w:val="24"/>
        </w:rPr>
        <w:t>七</w:t>
      </w:r>
      <w:r>
        <w:rPr>
          <w:rFonts w:ascii="宋体" w:hAnsi="宋体" w:eastAsia="宋体" w:cs="仿宋"/>
          <w:b/>
          <w:sz w:val="24"/>
        </w:rPr>
        <w:t>、其他特别注意事项</w:t>
      </w:r>
    </w:p>
    <w:p>
      <w:pPr>
        <w:snapToGrid w:val="0"/>
        <w:spacing w:line="360" w:lineRule="auto"/>
        <w:ind w:firstLine="480" w:firstLineChars="200"/>
        <w:contextualSpacing/>
        <w:rPr>
          <w:rFonts w:ascii="宋体" w:hAnsi="宋体" w:eastAsia="宋体" w:cs="仿宋"/>
          <w:b/>
          <w:i/>
          <w:iCs/>
          <w:sz w:val="24"/>
          <w:u w:val="thick"/>
        </w:rPr>
      </w:pPr>
      <w:r>
        <w:rPr>
          <w:rFonts w:ascii="宋体" w:hAnsi="宋体" w:eastAsia="宋体" w:cs="仿宋"/>
          <w:b/>
          <w:i/>
          <w:iCs/>
          <w:sz w:val="24"/>
          <w:u w:val="thick"/>
        </w:rPr>
        <w:t>本条载明的特别注意事项均十分重要，请债权人仔细阅读，并据此履行。</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一）本《债权申报指引》只是针对债权人申报债权时注意事项及风险告知的特别提示，文本中加粗字体及下划线部分请债权人予以合理关注。本指引不视为管理人出具给债权人的法律意见，亦不视为管理人或债务人向债权人作出任何形式的承诺或确认。</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二）债权人及其委托代理人务必在债权申报过程中提供并注明有效的联系方式，包括但不限于姓名、手机号码、电子邮箱、通信地址等。管理人将相关文件或信息邮寄到指定地址、通过短信或电子邮件方式发送至指定手机或邮箱均视为有效送达。如前述联系方式发生变化，债权人或其委托代理人请及时向管理人提交书面变更通知。</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（三）如债权本币以外币进行结算/交易的，或债权人以外币申报债权的，应以法院受理破产</w:t>
      </w:r>
      <w:r>
        <w:rPr>
          <w:rFonts w:hint="eastAsia" w:ascii="宋体" w:hAnsi="宋体" w:eastAsia="宋体" w:cs="仿宋"/>
          <w:bCs/>
          <w:sz w:val="24"/>
        </w:rPr>
        <w:t>清算</w:t>
      </w:r>
      <w:r>
        <w:rPr>
          <w:rFonts w:ascii="宋体" w:hAnsi="宋体" w:eastAsia="宋体" w:cs="仿宋"/>
          <w:bCs/>
          <w:sz w:val="24"/>
        </w:rPr>
        <w:t>之日（即2024年7月1日</w:t>
      </w:r>
      <w:r>
        <w:rPr>
          <w:rFonts w:hint="eastAsia" w:ascii="宋体" w:hAnsi="宋体" w:eastAsia="宋体" w:cs="仿宋"/>
          <w:bCs/>
          <w:sz w:val="24"/>
        </w:rPr>
        <w:t>）</w:t>
      </w:r>
      <w:r>
        <w:rPr>
          <w:rFonts w:ascii="宋体" w:hAnsi="宋体" w:eastAsia="宋体" w:cs="仿宋"/>
          <w:bCs/>
          <w:sz w:val="24"/>
        </w:rPr>
        <w:t>中国人民银行公布的外汇市场交易中间价换算成人民币后进行申报/计算。债权人未折算为人民币的，管理人有权按照前述汇率</w:t>
      </w:r>
      <w:r>
        <w:rPr>
          <w:rFonts w:hint="eastAsia" w:ascii="宋体" w:hAnsi="宋体" w:eastAsia="宋体" w:cs="仿宋"/>
          <w:bCs/>
          <w:sz w:val="24"/>
        </w:rPr>
        <w:t>进行</w:t>
      </w:r>
      <w:r>
        <w:rPr>
          <w:rFonts w:ascii="宋体" w:hAnsi="宋体" w:eastAsia="宋体" w:cs="仿宋"/>
          <w:bCs/>
          <w:sz w:val="24"/>
        </w:rPr>
        <w:t>换算为人民币。债权人申报利息的，应以折算为人民币后的本金数额作为计息基数。</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（四）如</w:t>
      </w:r>
      <w:r>
        <w:rPr>
          <w:rFonts w:hint="eastAsia" w:ascii="宋体" w:hAnsi="宋体" w:eastAsia="宋体" w:cs="仿宋"/>
          <w:bCs/>
          <w:sz w:val="24"/>
        </w:rPr>
        <w:t>债务人</w:t>
      </w:r>
      <w:r>
        <w:rPr>
          <w:rFonts w:ascii="宋体" w:hAnsi="宋体" w:eastAsia="宋体" w:cs="仿宋"/>
          <w:bCs/>
          <w:sz w:val="24"/>
        </w:rPr>
        <w:t>存在关联企业、子公司或其他具有法定独立地位的分支机构，且前述机构未纳入本次破产程序的，债权人向管理人申报对前述机构的债权，因主体错误，管理人将不予受理。</w:t>
      </w:r>
    </w:p>
    <w:p>
      <w:pPr>
        <w:snapToGrid w:val="0"/>
        <w:spacing w:line="360" w:lineRule="auto"/>
        <w:ind w:firstLine="480" w:firstLineChars="200"/>
        <w:contextualSpacing/>
        <w:rPr>
          <w:rFonts w:ascii="宋体" w:hAnsi="宋体" w:eastAsia="宋体" w:cs="仿宋"/>
          <w:b/>
          <w:sz w:val="24"/>
        </w:rPr>
      </w:pPr>
      <w:r>
        <w:rPr>
          <w:rFonts w:ascii="宋体" w:hAnsi="宋体" w:eastAsia="宋体" w:cs="仿宋"/>
          <w:b/>
          <w:sz w:val="24"/>
        </w:rPr>
        <w:t>（五）债权人虚假申报债权或提供虚假申报材料，损害其他债权人利益的，债务人将依法追究其法律责任，相关权利将由管理人作为债务人的诉讼代表人享有。</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（六）本指引及风险告知书内容与现行</w:t>
      </w:r>
      <w:r>
        <w:rPr>
          <w:rFonts w:hint="eastAsia" w:ascii="宋体" w:hAnsi="宋体" w:eastAsia="宋体" w:cs="仿宋"/>
          <w:bCs/>
          <w:sz w:val="24"/>
        </w:rPr>
        <w:t>法律法规</w:t>
      </w:r>
      <w:r>
        <w:rPr>
          <w:rFonts w:ascii="宋体" w:hAnsi="宋体" w:eastAsia="宋体" w:cs="仿宋"/>
          <w:bCs/>
          <w:sz w:val="24"/>
        </w:rPr>
        <w:t>、司法解释及人民法院司法文件不一致的，以后者为准。</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（七）管理人指定收发文邮箱为</w:t>
      </w:r>
      <w:r>
        <w:rPr>
          <w:rFonts w:hint="eastAsia" w:ascii="宋体" w:hAnsi="宋体" w:eastAsia="宋体" w:cs="仿宋"/>
          <w:bCs/>
          <w:sz w:val="24"/>
        </w:rPr>
        <w:t>dingliping@haikan.net.cn</w:t>
      </w:r>
      <w:r>
        <w:rPr>
          <w:rFonts w:ascii="宋体" w:hAnsi="宋体" w:eastAsia="宋体" w:cs="仿宋"/>
          <w:bCs/>
          <w:sz w:val="24"/>
        </w:rPr>
        <w:t xml:space="preserve"> ，前述</w:t>
      </w:r>
      <w:r>
        <w:rPr>
          <w:rFonts w:hint="eastAsia" w:ascii="宋体" w:hAnsi="宋体" w:eastAsia="宋体" w:cs="仿宋"/>
          <w:bCs/>
          <w:sz w:val="24"/>
        </w:rPr>
        <w:t>电子</w:t>
      </w:r>
      <w:r>
        <w:rPr>
          <w:rFonts w:ascii="宋体" w:hAnsi="宋体" w:eastAsia="宋体" w:cs="仿宋"/>
          <w:bCs/>
          <w:sz w:val="24"/>
        </w:rPr>
        <w:t>邮箱发出之邮件记录均作为送达和接收的依据</w:t>
      </w:r>
      <w:r>
        <w:rPr>
          <w:rFonts w:hint="eastAsia" w:ascii="宋体" w:hAnsi="宋体" w:eastAsia="宋体" w:cs="仿宋"/>
          <w:bCs/>
          <w:sz w:val="24"/>
        </w:rPr>
        <w:t>，非现场申报的债权人需同时提交电子邮寄版及纸质邮寄版</w:t>
      </w:r>
      <w:r>
        <w:rPr>
          <w:rFonts w:ascii="宋体" w:hAnsi="宋体" w:eastAsia="宋体" w:cs="仿宋"/>
          <w:bCs/>
          <w:sz w:val="24"/>
        </w:rPr>
        <w:t>。</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八）请各位债权人在收到申报通知后及时向管理人提交申报材料。因本案债权人众多，且债权申报截止日期与第一次债权人会议召开日期间隔时间短，如各债权人申报拖延，可能造成大量债权集中于申报截止日前的数日内申报，以致债权申报审查工作难以及时完成，进而影响到债权人表决权的行使。</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（九）债权人申报的债权已经获得以及未来获得</w:t>
      </w:r>
      <w:r>
        <w:rPr>
          <w:rFonts w:hint="eastAsia" w:ascii="宋体" w:hAnsi="宋体" w:eastAsia="宋体" w:cs="仿宋"/>
          <w:bCs/>
          <w:sz w:val="24"/>
        </w:rPr>
        <w:t>维精装饰</w:t>
      </w:r>
      <w:r>
        <w:rPr>
          <w:rFonts w:ascii="宋体" w:hAnsi="宋体" w:eastAsia="宋体" w:cs="仿宋"/>
          <w:bCs/>
          <w:sz w:val="24"/>
        </w:rPr>
        <w:t>或者保证人清偿的，应及时书面通知管理人并提供相关资料，隐瞒债权受偿情况将承担相应的法律责任。</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（十）债权人如邮寄任何资料给管理人，应自行承担包括邮寄费用在内产生的相关费用。债权人前往现场咨询的，应自行承担包括交通费用</w:t>
      </w:r>
      <w:r>
        <w:rPr>
          <w:rFonts w:hint="eastAsia" w:ascii="宋体" w:hAnsi="宋体" w:eastAsia="宋体" w:cs="仿宋"/>
          <w:bCs/>
          <w:sz w:val="24"/>
        </w:rPr>
        <w:t>在内</w:t>
      </w:r>
      <w:r>
        <w:rPr>
          <w:rFonts w:ascii="宋体" w:hAnsi="宋体" w:eastAsia="宋体" w:cs="仿宋"/>
          <w:bCs/>
          <w:sz w:val="24"/>
        </w:rPr>
        <w:t>产生的相关费用。</w:t>
      </w:r>
    </w:p>
    <w:p>
      <w:pPr>
        <w:snapToGrid w:val="0"/>
        <w:spacing w:line="360" w:lineRule="auto"/>
        <w:ind w:firstLine="480" w:firstLineChars="200"/>
        <w:contextualSpacing/>
        <w:rPr>
          <w:rFonts w:ascii="宋体" w:hAnsi="宋体" w:eastAsia="宋体" w:cs="仿宋"/>
          <w:bCs/>
          <w:sz w:val="24"/>
        </w:rPr>
      </w:pPr>
      <w:r>
        <w:rPr>
          <w:rFonts w:ascii="宋体" w:hAnsi="宋体" w:eastAsia="宋体" w:cs="仿宋"/>
          <w:bCs/>
          <w:sz w:val="24"/>
        </w:rPr>
        <w:t>（十一）本次债权申报通知不构成对无效债权（包括但不限于已过诉讼时效/除斥期间/申请执行期间的债权等）的重新有效确认。</w:t>
      </w:r>
    </w:p>
    <w:p>
      <w:pPr>
        <w:snapToGrid w:val="0"/>
        <w:spacing w:line="360" w:lineRule="auto"/>
        <w:contextualSpacing/>
        <w:rPr>
          <w:rFonts w:ascii="宋体" w:hAnsi="宋体" w:eastAsia="宋体" w:cs="仿宋"/>
          <w:bCs/>
          <w:sz w:val="24"/>
        </w:rPr>
      </w:pPr>
    </w:p>
    <w:p>
      <w:pPr>
        <w:snapToGrid w:val="0"/>
        <w:spacing w:line="360" w:lineRule="auto"/>
        <w:ind w:firstLine="480" w:firstLineChars="200"/>
        <w:contextualSpacing/>
        <w:jc w:val="right"/>
        <w:rPr>
          <w:rFonts w:ascii="宋体" w:hAnsi="宋体" w:eastAsia="宋体" w:cs="仿宋"/>
          <w:b/>
          <w:sz w:val="24"/>
        </w:rPr>
      </w:pPr>
      <w:r>
        <w:rPr>
          <w:rFonts w:hint="eastAsia" w:ascii="宋体" w:hAnsi="宋体" w:eastAsia="宋体" w:cs="仿宋"/>
          <w:b/>
          <w:sz w:val="24"/>
        </w:rPr>
        <w:t>开阳维精装饰有限公司</w:t>
      </w:r>
      <w:r>
        <w:rPr>
          <w:rFonts w:ascii="宋体" w:hAnsi="宋体" w:eastAsia="宋体" w:cs="仿宋"/>
          <w:b/>
          <w:sz w:val="24"/>
        </w:rPr>
        <w:t>管理人</w:t>
      </w:r>
    </w:p>
    <w:p>
      <w:pPr>
        <w:snapToGrid w:val="0"/>
        <w:spacing w:line="360" w:lineRule="auto"/>
        <w:ind w:firstLine="480" w:firstLineChars="200"/>
        <w:contextualSpacing/>
        <w:jc w:val="right"/>
        <w:rPr>
          <w:rFonts w:hint="eastAsia" w:ascii="宋体" w:hAnsi="宋体" w:eastAsia="宋体" w:cs="仿宋"/>
          <w:b/>
          <w:sz w:val="24"/>
        </w:rPr>
      </w:pPr>
      <w:r>
        <w:rPr>
          <w:rFonts w:hint="eastAsia" w:ascii="宋体" w:hAnsi="宋体" w:eastAsia="宋体" w:cs="仿宋"/>
          <w:b/>
          <w:sz w:val="24"/>
        </w:rPr>
        <w:t>贵州海瞰律师事务所</w:t>
      </w:r>
      <w:bookmarkStart w:id="0" w:name="_GoBack"/>
      <w:bookmarkEnd w:id="0"/>
    </w:p>
    <w:p>
      <w:pPr>
        <w:snapToGrid w:val="0"/>
        <w:spacing w:line="360" w:lineRule="auto"/>
        <w:ind w:firstLine="480" w:firstLineChars="200"/>
        <w:contextualSpacing/>
        <w:jc w:val="right"/>
        <w:rPr>
          <w:rFonts w:hint="eastAsia" w:ascii="宋体" w:hAnsi="宋体" w:eastAsia="宋体" w:cs="仿宋"/>
          <w:b/>
          <w:sz w:val="24"/>
        </w:rPr>
      </w:pPr>
    </w:p>
    <w:p>
      <w:pPr>
        <w:wordWrap w:val="0"/>
        <w:snapToGrid w:val="0"/>
        <w:spacing w:line="360" w:lineRule="auto"/>
        <w:ind w:firstLine="480" w:firstLineChars="200"/>
        <w:contextualSpacing/>
        <w:jc w:val="right"/>
        <w:rPr>
          <w:rFonts w:ascii="宋体" w:hAnsi="宋体" w:eastAsia="宋体" w:cs="仿宋"/>
          <w:b/>
          <w:sz w:val="24"/>
        </w:rPr>
      </w:pPr>
      <w:r>
        <w:rPr>
          <w:rFonts w:ascii="宋体" w:hAnsi="宋体" w:eastAsia="宋体" w:cs="仿宋"/>
          <w:b/>
          <w:sz w:val="24"/>
        </w:rPr>
        <w:t>二〇二四年七月十五日</w:t>
      </w:r>
    </w:p>
    <w:p>
      <w:pPr>
        <w:snapToGrid w:val="0"/>
        <w:spacing w:line="360" w:lineRule="auto"/>
        <w:ind w:firstLine="480" w:firstLineChars="200"/>
        <w:contextualSpacing/>
        <w:jc w:val="right"/>
        <w:rPr>
          <w:rFonts w:hint="eastAsia" w:ascii="宋体" w:hAnsi="宋体" w:eastAsia="宋体" w:cs="仿宋"/>
          <w:b/>
          <w:sz w:val="24"/>
        </w:rPr>
      </w:pPr>
    </w:p>
    <w:p>
      <w:pPr>
        <w:snapToGrid w:val="0"/>
        <w:spacing w:line="360" w:lineRule="auto"/>
        <w:ind w:firstLine="480" w:firstLineChars="200"/>
        <w:contextualSpacing/>
        <w:jc w:val="right"/>
        <w:rPr>
          <w:rFonts w:ascii="宋体" w:hAnsi="宋体" w:eastAsia="宋体" w:cs="仿宋"/>
          <w:b/>
          <w:sz w:val="24"/>
        </w:rPr>
      </w:pPr>
    </w:p>
    <w:p>
      <w:pPr>
        <w:snapToGrid w:val="0"/>
        <w:spacing w:line="360" w:lineRule="auto"/>
        <w:ind w:firstLine="480" w:firstLineChars="200"/>
        <w:contextualSpacing/>
        <w:rPr>
          <w:rFonts w:ascii="宋体" w:hAnsi="宋体" w:eastAsia="宋体" w:cs="仿宋"/>
          <w:b/>
          <w:sz w:val="24"/>
        </w:rPr>
      </w:pPr>
      <w:r>
        <w:rPr>
          <w:rFonts w:ascii="宋体" w:hAnsi="宋体" w:eastAsia="宋体" w:cs="仿宋"/>
          <w:b/>
          <w:sz w:val="24"/>
        </w:rPr>
        <w:t>附件：</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1.机构债权人债权申报指引之附件</w:t>
      </w:r>
    </w:p>
    <w:p>
      <w:pPr>
        <w:snapToGrid w:val="0"/>
        <w:spacing w:line="360" w:lineRule="auto"/>
        <w:ind w:firstLine="480" w:firstLineChars="200"/>
        <w:contextualSpacing/>
        <w:rPr>
          <w:rFonts w:ascii="宋体" w:hAnsi="宋体" w:eastAsia="宋体" w:cs="仿宋"/>
          <w:bCs/>
          <w:sz w:val="24"/>
        </w:rPr>
      </w:pPr>
      <w:r>
        <w:rPr>
          <w:rFonts w:hint="eastAsia" w:ascii="宋体" w:hAnsi="宋体" w:eastAsia="宋体" w:cs="仿宋"/>
          <w:bCs/>
          <w:sz w:val="24"/>
        </w:rPr>
        <w:t>2.自然人债权人债权申报指引之附件</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微软雅黑">
    <w:altName w:val="汉仪旗黑"/>
    <w:panose1 w:val="020B0503020204020204"/>
    <w:charset w:val="86"/>
    <w:family w:val="swiss"/>
    <w:pitch w:val="default"/>
    <w:sig w:usb0="00000000" w:usb1="00000000" w:usb2="00000016" w:usb3="00000000" w:csb0="0004001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 w:name="Kingsoft Sign">
    <w:panose1 w:val="05050102010706020507"/>
    <w:charset w:val="00"/>
    <w:family w:val="auto"/>
    <w:pitch w:val="default"/>
    <w:sig w:usb0="00000000" w:usb1="10000000" w:usb2="00000000" w:usb3="00000000" w:csb0="00000001" w:csb1="00000000"/>
  </w:font>
  <w:font w:name="方正仿宋_GBK">
    <w:panose1 w:val="02000000000000000000"/>
    <w:charset w:val="86"/>
    <w:family w:val="auto"/>
    <w:pitch w:val="default"/>
    <w:sig w:usb0="A00002BF" w:usb1="38CF7CFA" w:usb2="00082016" w:usb3="00000000" w:csb0="00040001" w:csb1="00000000"/>
  </w:font>
  <w:font w:name="汉仪旗黑">
    <w:panose1 w:val="00020600040101010101"/>
    <w:charset w:val="86"/>
    <w:family w:val="auto"/>
    <w:pitch w:val="default"/>
    <w:sig w:usb0="A00002BF" w:usb1="1ACF7CFA" w:usb2="00000016"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098"/>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posOffset>2202815</wp:posOffset>
              </wp:positionH>
              <wp:positionV relativeFrom="paragraph">
                <wp:posOffset>2540</wp:posOffset>
              </wp:positionV>
              <wp:extent cx="1669415" cy="228600"/>
              <wp:effectExtent l="0" t="0" r="6985" b="0"/>
              <wp:wrapNone/>
              <wp:docPr id="2" name="文本框 2"/>
              <wp:cNvGraphicFramePr/>
              <a:graphic xmlns:a="http://schemas.openxmlformats.org/drawingml/2006/main">
                <a:graphicData uri="http://schemas.microsoft.com/office/word/2010/wordprocessingShape">
                  <wps:wsp>
                    <wps:cNvSpPr txBox="1"/>
                    <wps:spPr>
                      <a:xfrm>
                        <a:off x="0" y="0"/>
                        <a:ext cx="1669472" cy="2286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173.45pt;margin-top:0.2pt;height:18pt;width:131.45pt;mso-position-horizontal-relative:margin;z-index:251659264;mso-width-relative:page;mso-height-relative:page;" filled="f" stroked="f" coordsize="21600,21600" o:gfxdata="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BYAAABkcnMvUEsBAhQAFAAAAAgAh07iQCN8ohjWAAAABwEAAA8AAAAAAAAAAQAgAAAA&#10;OAAAAGRycy9kb3ducmV2LnhtbFBLAQIUABQAAAAIAIdO4kDmlJ0VMAIAAFYEAAAOAAAAAAAAAAEA&#10;IAAAADsBAABkcnMvZTJvRG9jLnhtbFBLBQYAAAAABgAGAFkBAADdBQAAAAA=&#10;">
              <v:fill on="f" focussize="0,0"/>
              <v:stroke on="f" weight="0.5pt"/>
              <v:imagedata o:title=""/>
              <o:lock v:ext="edit" aspectratio="f"/>
              <v:textbox inset="0mm,0mm,0mm,0mm">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CD9F83"/>
    <w:multiLevelType w:val="singleLevel"/>
    <w:tmpl w:val="BECD9F83"/>
    <w:lvl w:ilvl="0" w:tentative="0">
      <w:start w:val="1"/>
      <w:numFmt w:val="chineseCounting"/>
      <w:suff w:val="nothing"/>
      <w:lvlText w:val="（%1）"/>
      <w:lvlJc w:val="left"/>
      <w:rPr>
        <w:rFonts w:hint="eastAsia"/>
      </w:rPr>
    </w:lvl>
  </w:abstractNum>
  <w:abstractNum w:abstractNumId="1">
    <w:nsid w:val="E7CE8884"/>
    <w:multiLevelType w:val="singleLevel"/>
    <w:tmpl w:val="E7CE8884"/>
    <w:lvl w:ilvl="0" w:tentative="0">
      <w:start w:val="1"/>
      <w:numFmt w:val="decimal"/>
      <w:suff w:val="space"/>
      <w:lvlText w:val="%1."/>
      <w:lvlJc w:val="left"/>
    </w:lvl>
  </w:abstractNum>
  <w:abstractNum w:abstractNumId="2">
    <w:nsid w:val="FBFE3EDD"/>
    <w:multiLevelType w:val="singleLevel"/>
    <w:tmpl w:val="FBFE3EDD"/>
    <w:lvl w:ilvl="0" w:tentative="0">
      <w:start w:val="1"/>
      <w:numFmt w:val="chineseCounting"/>
      <w:suff w:val="nothing"/>
      <w:lvlText w:val="%1、"/>
      <w:lvlJc w:val="left"/>
      <w:pPr>
        <w:ind w:left="-6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E57F956C"/>
    <w:rsid w:val="000406A4"/>
    <w:rsid w:val="00052B24"/>
    <w:rsid w:val="00071086"/>
    <w:rsid w:val="00212D43"/>
    <w:rsid w:val="002537AD"/>
    <w:rsid w:val="003675A9"/>
    <w:rsid w:val="00442017"/>
    <w:rsid w:val="00643C31"/>
    <w:rsid w:val="00732493"/>
    <w:rsid w:val="00862278"/>
    <w:rsid w:val="00965E76"/>
    <w:rsid w:val="00A554D6"/>
    <w:rsid w:val="00AC16A9"/>
    <w:rsid w:val="00B955C2"/>
    <w:rsid w:val="00C97D28"/>
    <w:rsid w:val="00D06F4C"/>
    <w:rsid w:val="00D15B21"/>
    <w:rsid w:val="00DA5F5F"/>
    <w:rsid w:val="55BE8506"/>
    <w:rsid w:val="5FF4641A"/>
    <w:rsid w:val="6CDB861E"/>
    <w:rsid w:val="77FCA5BA"/>
    <w:rsid w:val="E57F956C"/>
    <w:rsid w:val="F4FD95BD"/>
    <w:rsid w:val="F73F3ECB"/>
    <w:rsid w:val="FD3F6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8"/>
      <w:szCs w:val="28"/>
      <w:lang w:eastAsia="en-US"/>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rPr>
      <w:sz w:val="24"/>
    </w:rPr>
  </w:style>
  <w:style w:type="character" w:styleId="8">
    <w:name w:val="Hyperlink"/>
    <w:basedOn w:val="7"/>
    <w:qFormat/>
    <w:uiPriority w:val="0"/>
    <w:rPr>
      <w:color w:val="0000FF"/>
      <w:u w:val="single"/>
    </w:rPr>
  </w:style>
  <w:style w:type="paragraph" w:customStyle="1" w:styleId="9">
    <w:name w:val="修订1"/>
    <w:hidden/>
    <w:unhideWhenUsed/>
    <w:uiPriority w:val="99"/>
    <w:rPr>
      <w:rFonts w:asciiTheme="minorHAnsi" w:hAnsiTheme="minorHAnsi" w:eastAsiaTheme="minorEastAsia" w:cstheme="minorBidi"/>
      <w:kern w:val="2"/>
      <w:sz w:val="21"/>
      <w:szCs w:val="24"/>
      <w:lang w:val="en-US" w:eastAsia="zh-CN" w:bidi="ar-SA"/>
    </w:rPr>
  </w:style>
  <w:style w:type="paragraph" w:customStyle="1" w:styleId="10">
    <w:name w:val="Revision"/>
    <w:hidden/>
    <w:unhideWhenUsed/>
    <w:uiPriority w:val="99"/>
    <w:rPr>
      <w:rFonts w:asciiTheme="minorHAnsi" w:hAnsiTheme="minorHAnsi" w:eastAsiaTheme="minorEastAsia" w:cstheme="minorBidi"/>
      <w:kern w:val="2"/>
      <w:sz w:val="21"/>
      <w:szCs w:val="24"/>
      <w:lang w:val="en-US" w:eastAsia="zh-CN" w:bidi="ar-SA"/>
    </w:rPr>
  </w:style>
  <w:style w:type="paragraph" w:customStyle="1" w:styleId="11">
    <w:name w:val="First Paragraph"/>
    <w:basedOn w:val="2"/>
    <w:next w:val="2"/>
    <w:qFormat/>
    <w:uiPriority w:val="0"/>
    <w:pPr>
      <w:widowControl/>
      <w:spacing w:before="180" w:after="180"/>
      <w:jc w:val="left"/>
    </w:pPr>
    <w:rPr>
      <w:rFonts w:asciiTheme="minorHAnsi" w:hAnsiTheme="minorHAnsi" w:eastAsiaTheme="minorHAnsi" w:cstheme="minorBidi"/>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1059</Words>
  <Characters>6038</Characters>
  <Lines>50</Lines>
  <Paragraphs>14</Paragraphs>
  <TotalTime>0</TotalTime>
  <ScaleCrop>false</ScaleCrop>
  <LinksUpToDate>false</LinksUpToDate>
  <CharactersWithSpaces>7083</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2024-07-15T01:11:00Z</dcterms:created>
  <dc:creator>Lawyer</dc:creator>
  <cp:lastModifiedBy>Lawyer</cp:lastModifiedBy>
  <cp:lastPrinted>2024-06-12T16:46:00Z</cp:lastPrinted>
  <dcterms:modified xsi:type="dcterms:W3CDTF">2024-07-17T15:36:58Z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4543E78CEEF1CD89893860663D0CF658_43</vt:lpwstr>
  </property>
</Properties>
</file>