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210" w:line="223" w:lineRule="auto"/>
        <w:ind w:left="7012"/>
        <w:outlineLvl w:val="0"/>
        <w:rPr>
          <w:sz w:val="72"/>
          <w:szCs w:val="72"/>
        </w:rPr>
      </w:pPr>
      <w:r>
        <w:rPr>
          <w:b/>
          <w:bCs/>
          <w:spacing w:val="-39"/>
          <w:sz w:val="72"/>
          <w:szCs w:val="72"/>
        </w:rPr>
        <w:t>公</w:t>
      </w:r>
      <w:r>
        <w:rPr>
          <w:spacing w:val="19"/>
          <w:sz w:val="72"/>
          <w:szCs w:val="72"/>
        </w:rPr>
        <w:t xml:space="preserve"> </w:t>
      </w:r>
      <w:r>
        <w:rPr>
          <w:b/>
          <w:bCs/>
          <w:spacing w:val="-39"/>
          <w:sz w:val="72"/>
          <w:szCs w:val="72"/>
        </w:rPr>
        <w:t>告</w:t>
      </w: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pStyle w:val="3"/>
        <w:spacing w:before="198" w:line="345" w:lineRule="auto"/>
        <w:ind w:right="44" w:firstLine="1228"/>
      </w:pPr>
      <w:r>
        <w:rPr>
          <w:spacing w:val="36"/>
        </w:rPr>
        <w:t>202</w:t>
      </w:r>
      <w:r>
        <w:rPr>
          <w:rFonts w:hint="eastAsia"/>
          <w:spacing w:val="36"/>
          <w:lang w:val="en-US" w:eastAsia="zh-CN"/>
        </w:rPr>
        <w:t>4</w:t>
      </w:r>
      <w:r>
        <w:rPr>
          <w:spacing w:val="36"/>
        </w:rPr>
        <w:t>年</w:t>
      </w:r>
      <w:r>
        <w:rPr>
          <w:rFonts w:hint="eastAsia"/>
          <w:spacing w:val="36"/>
          <w:lang w:val="en-US" w:eastAsia="zh-CN"/>
        </w:rPr>
        <w:t>6</w:t>
      </w:r>
      <w:r>
        <w:rPr>
          <w:spacing w:val="36"/>
        </w:rPr>
        <w:t>月</w:t>
      </w:r>
      <w:r>
        <w:rPr>
          <w:rFonts w:hint="eastAsia"/>
          <w:spacing w:val="36"/>
          <w:lang w:val="en-US" w:eastAsia="zh-CN"/>
        </w:rPr>
        <w:t>28</w:t>
      </w:r>
      <w:r>
        <w:rPr>
          <w:spacing w:val="36"/>
        </w:rPr>
        <w:t>日，永宁</w:t>
      </w:r>
      <w:r>
        <w:rPr>
          <w:spacing w:val="35"/>
        </w:rPr>
        <w:t>县人民法院</w:t>
      </w:r>
      <w:r>
        <w:rPr>
          <w:rFonts w:hint="eastAsia"/>
          <w:spacing w:val="35"/>
          <w:lang w:val="en-US" w:eastAsia="zh-CN"/>
        </w:rPr>
        <w:t>作出</w:t>
      </w:r>
      <w:r>
        <w:rPr>
          <w:spacing w:val="35"/>
          <w:lang w:val="en-US" w:eastAsia="zh-CN"/>
        </w:rPr>
        <w:t>（2022）宁 0121 破 3、4、5 号</w:t>
      </w:r>
      <w:r>
        <w:rPr>
          <w:spacing w:val="-11"/>
        </w:rPr>
        <w:t>裁定</w:t>
      </w:r>
      <w:r>
        <w:rPr>
          <w:rFonts w:hint="eastAsia"/>
          <w:spacing w:val="-11"/>
          <w:lang w:val="en-US" w:eastAsia="zh-CN"/>
        </w:rPr>
        <w:t>书，对</w:t>
      </w:r>
      <w:r>
        <w:rPr>
          <w:rFonts w:hint="eastAsia"/>
          <w:spacing w:val="-11"/>
        </w:rPr>
        <w:t>银川博冠房地产开发有限公司、银川尚质房地产开发有限公司、银川信睦房地产开发有限公司、银川</w:t>
      </w:r>
      <w:r>
        <w:rPr>
          <w:rFonts w:hint="eastAsia"/>
          <w:spacing w:val="-11"/>
          <w:lang w:val="en-US" w:eastAsia="zh-CN"/>
        </w:rPr>
        <w:t>置</w:t>
      </w:r>
      <w:r>
        <w:rPr>
          <w:rFonts w:hint="eastAsia"/>
          <w:spacing w:val="-11"/>
        </w:rPr>
        <w:t>信投资发展有限公司、银川文化旅游投资集团有限公司、银川泰尧投资开发有限公司、银川百亚投资开发有限公司、银川三沙源文化产业发展有限公司、银川三沙源农林有限公司、银川立华信资产管理有限公司、银川拓为房地产开发有限公司、银川森鑫淼文化旅游投资管理有限公司</w:t>
      </w:r>
      <w:r>
        <w:rPr>
          <w:rFonts w:hint="eastAsia"/>
          <w:spacing w:val="-11"/>
          <w:lang w:eastAsia="zh-CN"/>
        </w:rPr>
        <w:t>（</w:t>
      </w:r>
      <w:r>
        <w:rPr>
          <w:rFonts w:hint="eastAsia"/>
          <w:spacing w:val="-11"/>
          <w:lang w:val="en-US" w:eastAsia="zh-CN"/>
        </w:rPr>
        <w:t>以下简称银川置信公司及11家关联公司</w:t>
      </w:r>
      <w:r>
        <w:rPr>
          <w:rFonts w:hint="eastAsia"/>
          <w:spacing w:val="-11"/>
          <w:lang w:eastAsia="zh-CN"/>
        </w:rPr>
        <w:t>）</w:t>
      </w:r>
      <w:r>
        <w:rPr>
          <w:rFonts w:hint="eastAsia"/>
          <w:spacing w:val="-11"/>
        </w:rPr>
        <w:t>合并破产重整</w:t>
      </w:r>
      <w:r>
        <w:rPr>
          <w:rFonts w:hint="eastAsia"/>
          <w:spacing w:val="-11"/>
          <w:lang w:val="en-US" w:eastAsia="zh-CN"/>
        </w:rPr>
        <w:t>申请，并由宁夏宁人律师事务所同时担任上述公司管理人</w:t>
      </w:r>
      <w:r>
        <w:rPr>
          <w:rFonts w:hint="eastAsia"/>
          <w:spacing w:val="-11"/>
        </w:rPr>
        <w:t>。</w:t>
      </w:r>
    </w:p>
    <w:p>
      <w:pPr>
        <w:pStyle w:val="3"/>
        <w:spacing w:before="155" w:line="337" w:lineRule="auto"/>
        <w:ind w:right="521" w:firstLine="1249"/>
        <w:rPr>
          <w:sz w:val="59"/>
          <w:szCs w:val="59"/>
        </w:rPr>
      </w:pPr>
      <w:r>
        <w:rPr>
          <w:spacing w:val="-5"/>
          <w:sz w:val="63"/>
          <w:szCs w:val="63"/>
        </w:rPr>
        <w:t>债权人应自本公告发布之日起至202</w:t>
      </w:r>
      <w:r>
        <w:rPr>
          <w:rFonts w:hint="eastAsia"/>
          <w:spacing w:val="-5"/>
          <w:sz w:val="63"/>
          <w:szCs w:val="63"/>
          <w:lang w:val="en-US" w:eastAsia="zh-CN"/>
        </w:rPr>
        <w:t>4</w:t>
      </w:r>
      <w:r>
        <w:rPr>
          <w:spacing w:val="-5"/>
          <w:sz w:val="63"/>
          <w:szCs w:val="63"/>
        </w:rPr>
        <w:t>年</w:t>
      </w:r>
      <w:r>
        <w:rPr>
          <w:rFonts w:hint="eastAsia"/>
          <w:spacing w:val="-5"/>
          <w:sz w:val="63"/>
          <w:szCs w:val="63"/>
          <w:lang w:val="en-US" w:eastAsia="zh-CN"/>
        </w:rPr>
        <w:t>10</w:t>
      </w:r>
      <w:r>
        <w:rPr>
          <w:spacing w:val="-5"/>
          <w:sz w:val="63"/>
          <w:szCs w:val="63"/>
        </w:rPr>
        <w:t>月</w:t>
      </w:r>
      <w:r>
        <w:rPr>
          <w:rFonts w:hint="eastAsia"/>
          <w:spacing w:val="-5"/>
          <w:sz w:val="63"/>
          <w:szCs w:val="63"/>
          <w:lang w:val="en-US" w:eastAsia="zh-CN"/>
        </w:rPr>
        <w:t>10</w:t>
      </w:r>
      <w:r>
        <w:rPr>
          <w:spacing w:val="-5"/>
          <w:sz w:val="63"/>
          <w:szCs w:val="63"/>
        </w:rPr>
        <w:t>日前以下</w:t>
      </w:r>
      <w:r>
        <w:rPr>
          <w:spacing w:val="-1"/>
          <w:sz w:val="63"/>
          <w:szCs w:val="63"/>
        </w:rPr>
        <w:t>列方式申报债权：(1)登录“破易云”破产办案工作平台</w:t>
      </w:r>
      <w:r>
        <w:rPr>
          <w:spacing w:val="5"/>
          <w:sz w:val="63"/>
          <w:szCs w:val="63"/>
        </w:rPr>
        <w:t xml:space="preserve"> </w:t>
      </w:r>
      <w:r>
        <w:fldChar w:fldCharType="begin"/>
      </w:r>
      <w:r>
        <w:instrText xml:space="preserve"> HYPERLINK "https://www.poyiyun.com/" </w:instrText>
      </w:r>
      <w:r>
        <w:fldChar w:fldCharType="separate"/>
      </w:r>
      <w:r>
        <w:rPr>
          <w:rFonts w:ascii="宋体" w:hAnsi="宋体" w:eastAsia="宋体" w:cs="宋体"/>
          <w:spacing w:val="-39"/>
          <w:sz w:val="63"/>
          <w:szCs w:val="63"/>
          <w:u w:val="single" w:color="auto"/>
        </w:rPr>
        <w:t>https://www.poyiyun.com/</w:t>
      </w:r>
      <w:r>
        <w:rPr>
          <w:rFonts w:ascii="宋体" w:hAnsi="宋体" w:eastAsia="宋体" w:cs="宋体"/>
          <w:spacing w:val="-39"/>
          <w:sz w:val="63"/>
          <w:szCs w:val="63"/>
          <w:u w:val="single" w:color="auto"/>
        </w:rPr>
        <w:fldChar w:fldCharType="end"/>
      </w:r>
      <w:r>
        <w:rPr>
          <w:spacing w:val="-13"/>
          <w:sz w:val="63"/>
          <w:szCs w:val="63"/>
        </w:rPr>
        <w:t>(登陆后选择“债权人”并申报债</w:t>
      </w:r>
      <w:r>
        <w:rPr>
          <w:spacing w:val="-31"/>
          <w:sz w:val="63"/>
          <w:szCs w:val="63"/>
        </w:rPr>
        <w:t>权；购房人申报债权时请勾选“是购房人债权”并填写相应</w:t>
      </w:r>
      <w:r>
        <w:rPr>
          <w:spacing w:val="32"/>
          <w:sz w:val="59"/>
          <w:szCs w:val="59"/>
        </w:rPr>
        <w:t>信息);(2)手机微信扫描二维码自主申报。</w:t>
      </w:r>
    </w:p>
    <w:p>
      <w:pPr>
        <w:pStyle w:val="3"/>
        <w:spacing w:before="212" w:line="307" w:lineRule="auto"/>
        <w:ind w:firstLine="1249"/>
        <w:rPr>
          <w:spacing w:val="5"/>
        </w:rPr>
      </w:pPr>
      <w:r>
        <w:rPr>
          <w:rFonts w:hint="eastAsia"/>
          <w:spacing w:val="-11"/>
        </w:rPr>
        <w:t>银川</w:t>
      </w:r>
      <w:r>
        <w:rPr>
          <w:rFonts w:hint="eastAsia"/>
          <w:spacing w:val="-11"/>
          <w:lang w:val="en-US" w:eastAsia="zh-CN"/>
        </w:rPr>
        <w:t>置</w:t>
      </w:r>
      <w:r>
        <w:rPr>
          <w:rFonts w:hint="eastAsia"/>
          <w:spacing w:val="-11"/>
        </w:rPr>
        <w:t>信投资发展有限公司、银川文化旅游投资集团有限公司、银川泰尧投资开发有限公司、银川百亚投资开发有限公司、银川三沙源文化产业发展有限公司、银川三沙源农林有限公司、银川立华信资产管理有限公司、银川拓为房地产开发有限公司、银川森鑫淼文化旅游投资管理有限公司</w:t>
      </w:r>
      <w:r>
        <w:rPr>
          <w:spacing w:val="-14"/>
        </w:rPr>
        <w:t>(以下简称“</w:t>
      </w:r>
      <w:r>
        <w:rPr>
          <w:rFonts w:hint="eastAsia"/>
          <w:spacing w:val="-14"/>
          <w:lang w:val="en-US" w:eastAsia="zh-CN"/>
        </w:rPr>
        <w:t>银川置信及8家关联</w:t>
      </w:r>
      <w:r>
        <w:rPr>
          <w:spacing w:val="-14"/>
        </w:rPr>
        <w:t>公司”</w:t>
      </w:r>
      <w:r>
        <w:rPr>
          <w:rFonts w:hint="eastAsia"/>
          <w:spacing w:val="-14"/>
          <w:lang w:eastAsia="zh-CN"/>
        </w:rPr>
        <w:t>），</w:t>
      </w:r>
      <w:r>
        <w:rPr>
          <w:rFonts w:hint="eastAsia"/>
          <w:spacing w:val="-14"/>
          <w:lang w:val="en-US" w:eastAsia="zh-CN"/>
        </w:rPr>
        <w:t>案件识别码：112525</w:t>
      </w:r>
    </w:p>
    <w:p>
      <w:pPr>
        <w:pStyle w:val="3"/>
        <w:spacing w:before="212" w:line="307" w:lineRule="auto"/>
        <w:ind w:firstLine="1249"/>
        <w:rPr>
          <w:rFonts w:hint="eastAsia" w:eastAsia="仿宋"/>
          <w:spacing w:val="5"/>
          <w:lang w:eastAsia="zh-CN"/>
        </w:rPr>
      </w:pPr>
      <w:r>
        <w:rPr>
          <w:rFonts w:hint="eastAsia"/>
          <w:spacing w:val="5"/>
          <w:lang w:val="en-US" w:eastAsia="zh-CN"/>
        </w:rPr>
        <w:t xml:space="preserve">   </w:t>
      </w:r>
      <w:r>
        <w:rPr>
          <w:rFonts w:hint="eastAsia" w:eastAsia="仿宋"/>
          <w:spacing w:val="5"/>
          <w:lang w:eastAsia="zh-CN"/>
        </w:rPr>
        <w:drawing>
          <wp:inline distT="0" distB="0" distL="114300" distR="114300">
            <wp:extent cx="6229350" cy="6426835"/>
            <wp:effectExtent l="0" t="0" r="0" b="2540"/>
            <wp:docPr id="3" name="图片 3" descr="自主申报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自主申报二维码"/>
                    <pic:cNvPicPr>
                      <a:picLocks noChangeAspect="1"/>
                    </pic:cNvPicPr>
                  </pic:nvPicPr>
                  <pic:blipFill>
                    <a:blip r:embed="rId6"/>
                    <a:stretch>
                      <a:fillRect/>
                    </a:stretch>
                  </pic:blipFill>
                  <pic:spPr>
                    <a:xfrm>
                      <a:off x="0" y="0"/>
                      <a:ext cx="6229350" cy="6426835"/>
                    </a:xfrm>
                    <a:prstGeom prst="rect">
                      <a:avLst/>
                    </a:prstGeom>
                  </pic:spPr>
                </pic:pic>
              </a:graphicData>
            </a:graphic>
          </wp:inline>
        </w:drawing>
      </w:r>
    </w:p>
    <w:p>
      <w:pPr>
        <w:pStyle w:val="3"/>
        <w:spacing w:before="212" w:line="307" w:lineRule="auto"/>
        <w:rPr>
          <w:rFonts w:hint="eastAsia" w:eastAsia="仿宋"/>
          <w:spacing w:val="5"/>
          <w:lang w:eastAsia="zh-CN"/>
        </w:rPr>
      </w:pPr>
      <w:r>
        <w:rPr>
          <w:rFonts w:hint="eastAsia"/>
          <w:spacing w:val="5"/>
          <w:lang w:val="en-US" w:eastAsia="zh-CN"/>
        </w:rPr>
        <w:t xml:space="preserve">     </w:t>
      </w:r>
    </w:p>
    <w:p>
      <w:pPr>
        <w:pStyle w:val="3"/>
        <w:spacing w:before="376" w:line="356" w:lineRule="auto"/>
        <w:ind w:firstLine="1249"/>
        <w:rPr>
          <w:rFonts w:hint="default"/>
          <w:spacing w:val="5"/>
          <w:lang w:val="en-US" w:eastAsia="zh-CN"/>
        </w:rPr>
      </w:pPr>
      <w:r>
        <w:rPr>
          <w:rFonts w:hint="eastAsia"/>
          <w:spacing w:val="-14"/>
          <w:lang w:val="en-US" w:eastAsia="zh-CN"/>
        </w:rPr>
        <w:t>另：银川博冠房地产开发有限司、</w:t>
      </w:r>
      <w:r>
        <w:rPr>
          <w:spacing w:val="-14"/>
        </w:rPr>
        <w:t>银川尚质房地产开发有限公司</w:t>
      </w:r>
      <w:r>
        <w:rPr>
          <w:rFonts w:hint="eastAsia"/>
          <w:spacing w:val="5"/>
          <w:lang w:val="en-US" w:eastAsia="zh-CN"/>
        </w:rPr>
        <w:t>及</w:t>
      </w:r>
      <w:r>
        <w:rPr>
          <w:spacing w:val="3"/>
          <w:sz w:val="59"/>
          <w:szCs w:val="59"/>
        </w:rPr>
        <w:t>银川信睦房地产开发有限公司</w:t>
      </w:r>
      <w:r>
        <w:rPr>
          <w:rFonts w:hint="eastAsia"/>
          <w:spacing w:val="3"/>
          <w:sz w:val="59"/>
          <w:szCs w:val="59"/>
        </w:rPr>
        <w:t>已申报债权人申报行为仍然有效，无须再行重复申报</w:t>
      </w:r>
      <w:r>
        <w:rPr>
          <w:rFonts w:hint="eastAsia"/>
          <w:spacing w:val="3"/>
          <w:sz w:val="59"/>
          <w:szCs w:val="59"/>
          <w:lang w:eastAsia="zh-CN"/>
        </w:rPr>
        <w:t>。</w:t>
      </w:r>
      <w:r>
        <w:rPr>
          <w:rFonts w:hint="eastAsia"/>
          <w:spacing w:val="5"/>
          <w:lang w:val="en-US" w:eastAsia="zh-CN"/>
        </w:rPr>
        <w:t>补充申报债权继续按照原有债权申报通道及方式登录或扫描原二维码申报。分别为：</w:t>
      </w:r>
    </w:p>
    <w:p>
      <w:pPr>
        <w:pStyle w:val="3"/>
        <w:spacing w:before="212" w:line="307" w:lineRule="auto"/>
        <w:ind w:firstLine="1249"/>
      </w:pPr>
      <w:r>
        <w:rPr>
          <w:spacing w:val="-14"/>
        </w:rPr>
        <w:t>①银川博冠房地产开发有限公司(以下简称“博冠公司”)</w:t>
      </w:r>
      <w:r>
        <w:rPr>
          <w:spacing w:val="5"/>
        </w:rPr>
        <w:t xml:space="preserve"> </w:t>
      </w:r>
      <w:r>
        <w:rPr>
          <w:spacing w:val="-13"/>
        </w:rPr>
        <w:t>案件识别码：112229</w:t>
      </w:r>
    </w:p>
    <w:p>
      <w:pPr>
        <w:pStyle w:val="3"/>
        <w:spacing w:before="376" w:line="356" w:lineRule="auto"/>
        <w:ind w:firstLine="1249"/>
        <w:rPr>
          <w:position w:val="-161"/>
        </w:rPr>
      </w:pPr>
      <w:r>
        <w:rPr>
          <w:rFonts w:hint="eastAsia"/>
          <w:position w:val="-161"/>
          <w:lang w:val="en-US" w:eastAsia="zh-CN"/>
        </w:rPr>
        <w:t xml:space="preserve">       </w:t>
      </w:r>
      <w:r>
        <w:rPr>
          <w:position w:val="-161"/>
        </w:rPr>
        <w:drawing>
          <wp:inline distT="0" distB="0" distL="0" distR="0">
            <wp:extent cx="5409565" cy="5136515"/>
            <wp:effectExtent l="0" t="0" r="635" b="6985"/>
            <wp:docPr id="1" name="IM 2"/>
            <wp:cNvGraphicFramePr/>
            <a:graphic xmlns:a="http://schemas.openxmlformats.org/drawingml/2006/main">
              <a:graphicData uri="http://schemas.openxmlformats.org/drawingml/2006/picture">
                <pic:pic xmlns:pic="http://schemas.openxmlformats.org/drawingml/2006/picture">
                  <pic:nvPicPr>
                    <pic:cNvPr id="1" name="IM 2"/>
                    <pic:cNvPicPr/>
                  </pic:nvPicPr>
                  <pic:blipFill>
                    <a:blip r:embed="rId7"/>
                    <a:stretch>
                      <a:fillRect/>
                    </a:stretch>
                  </pic:blipFill>
                  <pic:spPr>
                    <a:xfrm>
                      <a:off x="0" y="0"/>
                      <a:ext cx="5410100" cy="5136824"/>
                    </a:xfrm>
                    <a:prstGeom prst="rect">
                      <a:avLst/>
                    </a:prstGeom>
                  </pic:spPr>
                </pic:pic>
              </a:graphicData>
            </a:graphic>
          </wp:inline>
        </w:drawing>
      </w:r>
    </w:p>
    <w:p>
      <w:pPr>
        <w:pStyle w:val="3"/>
        <w:spacing w:before="376" w:line="356" w:lineRule="auto"/>
        <w:ind w:firstLine="1249"/>
      </w:pPr>
      <w:r>
        <w:rPr>
          <w:spacing w:val="-14"/>
        </w:rPr>
        <w:t>②银川尚质房地产开发有限公司(以下简称“尚质公司”)</w:t>
      </w:r>
      <w:r>
        <w:rPr>
          <w:spacing w:val="5"/>
        </w:rPr>
        <w:t xml:space="preserve"> </w:t>
      </w:r>
      <w:r>
        <w:rPr>
          <w:spacing w:val="-10"/>
        </w:rPr>
        <w:t>案件识别码：112880</w:t>
      </w:r>
    </w:p>
    <w:p>
      <w:pPr>
        <w:spacing w:line="356" w:lineRule="auto"/>
      </w:pPr>
    </w:p>
    <w:p>
      <w:pPr>
        <w:bidi w:val="0"/>
        <w:rPr>
          <w:lang w:val="en-US" w:eastAsia="en-US"/>
        </w:rPr>
      </w:pPr>
    </w:p>
    <w:p>
      <w:pPr>
        <w:bidi w:val="0"/>
        <w:rPr>
          <w:lang w:val="en-US" w:eastAsia="en-US"/>
        </w:rPr>
      </w:pPr>
    </w:p>
    <w:p>
      <w:pPr>
        <w:bidi w:val="0"/>
        <w:rPr>
          <w:lang w:val="en-US" w:eastAsia="en-US"/>
        </w:rPr>
      </w:pPr>
    </w:p>
    <w:p>
      <w:pPr>
        <w:bidi w:val="0"/>
        <w:rPr>
          <w:lang w:val="en-US" w:eastAsia="en-US"/>
        </w:rPr>
      </w:pPr>
      <w:r>
        <w:rPr>
          <w:rFonts w:hint="eastAsia" w:eastAsia="宋体"/>
          <w:position w:val="-162"/>
          <w:lang w:val="en-US" w:eastAsia="zh-CN"/>
        </w:rPr>
        <w:t xml:space="preserve">                                             </w:t>
      </w:r>
      <w:r>
        <w:rPr>
          <w:position w:val="-162"/>
        </w:rPr>
        <w:drawing>
          <wp:inline distT="0" distB="0" distL="0" distR="0">
            <wp:extent cx="5427980" cy="5163185"/>
            <wp:effectExtent l="0" t="0" r="1270" b="889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8"/>
                    <a:stretch>
                      <a:fillRect/>
                    </a:stretch>
                  </pic:blipFill>
                  <pic:spPr>
                    <a:xfrm>
                      <a:off x="0" y="0"/>
                      <a:ext cx="5428156" cy="5163784"/>
                    </a:xfrm>
                    <a:prstGeom prst="rect">
                      <a:avLst/>
                    </a:prstGeom>
                  </pic:spPr>
                </pic:pic>
              </a:graphicData>
            </a:graphic>
          </wp:inline>
        </w:drawing>
      </w:r>
    </w:p>
    <w:p>
      <w:pPr>
        <w:tabs>
          <w:tab w:val="left" w:pos="2628"/>
        </w:tabs>
        <w:bidi w:val="0"/>
        <w:jc w:val="left"/>
        <w:rPr>
          <w:rFonts w:hint="eastAsia" w:eastAsia="宋体"/>
          <w:lang w:val="en-US" w:eastAsia="zh-CN"/>
        </w:rPr>
      </w:pPr>
      <w:r>
        <w:rPr>
          <w:rFonts w:hint="eastAsia" w:eastAsia="宋体"/>
          <w:lang w:val="en-US" w:eastAsia="zh-CN"/>
        </w:rPr>
        <w:tab/>
      </w:r>
    </w:p>
    <w:p>
      <w:pPr>
        <w:tabs>
          <w:tab w:val="left" w:pos="2628"/>
        </w:tabs>
        <w:bidi w:val="0"/>
        <w:jc w:val="left"/>
        <w:rPr>
          <w:rFonts w:hint="eastAsia" w:eastAsia="宋体"/>
          <w:lang w:val="en-US" w:eastAsia="zh-CN"/>
        </w:rPr>
      </w:pPr>
    </w:p>
    <w:p>
      <w:pPr>
        <w:pStyle w:val="3"/>
        <w:spacing w:before="356" w:line="333" w:lineRule="auto"/>
        <w:ind w:left="50" w:firstLine="1115"/>
        <w:rPr>
          <w:sz w:val="59"/>
          <w:szCs w:val="59"/>
        </w:rPr>
      </w:pPr>
      <w:r>
        <w:rPr>
          <w:spacing w:val="3"/>
          <w:sz w:val="59"/>
          <w:szCs w:val="59"/>
        </w:rPr>
        <w:t>③银川信睦房地产开发有限公司(以下简称“信睦公司”)</w:t>
      </w:r>
      <w:r>
        <w:rPr>
          <w:spacing w:val="13"/>
          <w:sz w:val="59"/>
          <w:szCs w:val="59"/>
        </w:rPr>
        <w:t xml:space="preserve"> </w:t>
      </w:r>
      <w:r>
        <w:rPr>
          <w:spacing w:val="3"/>
          <w:sz w:val="59"/>
          <w:szCs w:val="59"/>
        </w:rPr>
        <w:t>案件识别码：111523</w:t>
      </w:r>
    </w:p>
    <w:p>
      <w:pPr>
        <w:tabs>
          <w:tab w:val="left" w:pos="2628"/>
        </w:tabs>
        <w:bidi w:val="0"/>
        <w:jc w:val="left"/>
        <w:rPr>
          <w:rFonts w:hint="eastAsia" w:eastAsia="宋体"/>
          <w:lang w:val="en-US" w:eastAsia="zh-CN"/>
        </w:rPr>
      </w:pPr>
    </w:p>
    <w:p>
      <w:pPr>
        <w:bidi w:val="0"/>
        <w:rPr>
          <w:rFonts w:hint="eastAsia" w:ascii="Arial" w:hAnsi="Arial" w:eastAsia="Arial" w:cs="Arial"/>
          <w:snapToGrid w:val="0"/>
          <w:color w:val="000000"/>
          <w:kern w:val="0"/>
          <w:sz w:val="21"/>
          <w:szCs w:val="21"/>
          <w:lang w:val="en-US" w:eastAsia="zh-CN" w:bidi="ar-SA"/>
        </w:rPr>
      </w:pPr>
    </w:p>
    <w:p>
      <w:pPr>
        <w:tabs>
          <w:tab w:val="left" w:pos="1734"/>
        </w:tabs>
        <w:bidi w:val="0"/>
        <w:jc w:val="left"/>
        <w:rPr>
          <w:position w:val="-181"/>
        </w:rPr>
      </w:pPr>
      <w:r>
        <w:rPr>
          <w:rFonts w:hint="eastAsia"/>
          <w:lang w:val="en-US" w:eastAsia="zh-CN"/>
        </w:rPr>
        <w:tab/>
      </w:r>
      <w:r>
        <w:rPr>
          <w:rFonts w:hint="eastAsia"/>
          <w:lang w:val="en-US" w:eastAsia="zh-CN"/>
        </w:rPr>
        <w:t xml:space="preserve">         </w:t>
      </w:r>
      <w:r>
        <w:rPr>
          <w:position w:val="-181"/>
        </w:rPr>
        <w:drawing>
          <wp:inline distT="0" distB="0" distL="0" distR="0">
            <wp:extent cx="6005830" cy="576834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9"/>
                    <a:stretch>
                      <a:fillRect/>
                    </a:stretch>
                  </pic:blipFill>
                  <pic:spPr>
                    <a:xfrm>
                      <a:off x="0" y="0"/>
                      <a:ext cx="6006403" cy="5768692"/>
                    </a:xfrm>
                    <a:prstGeom prst="rect">
                      <a:avLst/>
                    </a:prstGeom>
                  </pic:spPr>
                </pic:pic>
              </a:graphicData>
            </a:graphic>
          </wp:inline>
        </w:drawing>
      </w:r>
    </w:p>
    <w:p>
      <w:pPr>
        <w:tabs>
          <w:tab w:val="left" w:pos="1734"/>
        </w:tabs>
        <w:bidi w:val="0"/>
        <w:jc w:val="left"/>
        <w:rPr>
          <w:position w:val="-181"/>
        </w:rPr>
      </w:pPr>
    </w:p>
    <w:p>
      <w:pPr>
        <w:tabs>
          <w:tab w:val="left" w:pos="1734"/>
        </w:tabs>
        <w:bidi w:val="0"/>
        <w:jc w:val="left"/>
        <w:rPr>
          <w:rFonts w:hint="eastAsia"/>
          <w:position w:val="-181"/>
          <w:lang w:val="en-US" w:eastAsia="zh-CN"/>
        </w:rPr>
        <w:sectPr>
          <w:pgSz w:w="22391" w:h="31680"/>
          <w:pgMar w:top="2692" w:right="2930" w:bottom="0" w:left="3317" w:header="0" w:footer="0" w:gutter="0"/>
          <w:cols w:space="720" w:num="1"/>
        </w:sectPr>
      </w:pPr>
    </w:p>
    <w:p>
      <w:pPr>
        <w:pStyle w:val="3"/>
        <w:spacing w:before="192" w:line="353" w:lineRule="auto"/>
        <w:ind w:right="202" w:firstLine="1160" w:firstLineChars="200"/>
        <w:jc w:val="both"/>
        <w:rPr>
          <w:sz w:val="59"/>
          <w:szCs w:val="59"/>
        </w:rPr>
      </w:pPr>
      <w:r>
        <w:rPr>
          <w:spacing w:val="-5"/>
          <w:sz w:val="59"/>
          <w:szCs w:val="59"/>
        </w:rPr>
        <w:t>债权人逾期申报债权，在破产财产分配前可以补充申报，</w:t>
      </w:r>
      <w:r>
        <w:rPr>
          <w:spacing w:val="14"/>
          <w:sz w:val="59"/>
          <w:szCs w:val="59"/>
        </w:rPr>
        <w:t xml:space="preserve"> </w:t>
      </w:r>
      <w:r>
        <w:rPr>
          <w:spacing w:val="6"/>
          <w:sz w:val="59"/>
          <w:szCs w:val="59"/>
        </w:rPr>
        <w:t>此前已经分配的不再补充分配。为审查和确认补充申报债权</w:t>
      </w:r>
      <w:r>
        <w:rPr>
          <w:sz w:val="59"/>
          <w:szCs w:val="59"/>
        </w:rPr>
        <w:t xml:space="preserve"> </w:t>
      </w:r>
      <w:r>
        <w:rPr>
          <w:spacing w:val="5"/>
          <w:sz w:val="59"/>
          <w:szCs w:val="59"/>
        </w:rPr>
        <w:t>所产生的费用由补充申报人承担。</w:t>
      </w:r>
    </w:p>
    <w:p>
      <w:pPr>
        <w:pStyle w:val="3"/>
        <w:spacing w:before="115" w:line="345" w:lineRule="auto"/>
        <w:ind w:left="50" w:right="462" w:firstLine="1115"/>
        <w:jc w:val="both"/>
        <w:rPr>
          <w:spacing w:val="6"/>
          <w:sz w:val="59"/>
          <w:szCs w:val="59"/>
        </w:rPr>
      </w:pPr>
      <w:r>
        <w:rPr>
          <w:rFonts w:hint="eastAsia"/>
          <w:spacing w:val="-14"/>
          <w:lang w:val="en-US" w:eastAsia="zh-CN"/>
        </w:rPr>
        <w:t>银川置信及11家关联</w:t>
      </w:r>
      <w:r>
        <w:rPr>
          <w:spacing w:val="-14"/>
        </w:rPr>
        <w:t>公司</w:t>
      </w:r>
      <w:r>
        <w:rPr>
          <w:spacing w:val="9"/>
          <w:sz w:val="59"/>
          <w:szCs w:val="59"/>
        </w:rPr>
        <w:t>的债务人或财产持有人</w:t>
      </w:r>
      <w:r>
        <w:rPr>
          <w:spacing w:val="7"/>
          <w:sz w:val="59"/>
          <w:szCs w:val="59"/>
        </w:rPr>
        <w:t>应当</w:t>
      </w:r>
      <w:r>
        <w:rPr>
          <w:rFonts w:hint="eastAsia"/>
          <w:spacing w:val="7"/>
          <w:sz w:val="59"/>
          <w:szCs w:val="59"/>
          <w:lang w:val="en-US" w:eastAsia="zh-CN"/>
        </w:rPr>
        <w:t>自</w:t>
      </w:r>
      <w:r>
        <w:rPr>
          <w:spacing w:val="7"/>
          <w:sz w:val="59"/>
          <w:szCs w:val="59"/>
        </w:rPr>
        <w:t>本公告发布之日起向管理人清偿债务</w:t>
      </w:r>
      <w:r>
        <w:rPr>
          <w:spacing w:val="6"/>
          <w:sz w:val="59"/>
          <w:szCs w:val="59"/>
        </w:rPr>
        <w:t>或交付财产。</w:t>
      </w:r>
    </w:p>
    <w:p>
      <w:pPr>
        <w:pStyle w:val="3"/>
        <w:spacing w:before="272" w:line="351" w:lineRule="auto"/>
        <w:ind w:right="201" w:firstLine="1184" w:firstLineChars="200"/>
      </w:pPr>
      <w:r>
        <w:rPr>
          <w:rFonts w:hint="eastAsia"/>
          <w:spacing w:val="-9"/>
          <w:lang w:val="en-US" w:eastAsia="zh-CN"/>
        </w:rPr>
        <w:t>合并破产重整</w:t>
      </w:r>
      <w:r>
        <w:rPr>
          <w:spacing w:val="-9"/>
        </w:rPr>
        <w:t>第一次债权人会议</w:t>
      </w:r>
      <w:r>
        <w:rPr>
          <w:rFonts w:hint="eastAsia"/>
          <w:spacing w:val="-9"/>
          <w:lang w:val="en-US" w:eastAsia="zh-CN"/>
        </w:rPr>
        <w:t>于2024年10月25日上午9:30，</w:t>
      </w:r>
      <w:r>
        <w:rPr>
          <w:spacing w:val="-9"/>
        </w:rPr>
        <w:t>以“破易云”破产案件工作平台线上</w:t>
      </w:r>
      <w:r>
        <w:rPr>
          <w:spacing w:val="41"/>
        </w:rPr>
        <w:t>会议方式召开</w:t>
      </w:r>
      <w:r>
        <w:rPr>
          <w:rFonts w:hint="eastAsia"/>
          <w:spacing w:val="41"/>
          <w:lang w:val="en-US" w:eastAsia="zh-CN"/>
        </w:rPr>
        <w:t>,</w:t>
      </w:r>
      <w:r>
        <w:rPr>
          <w:spacing w:val="-11"/>
        </w:rPr>
        <w:t>依法申报债权的</w:t>
      </w:r>
      <w:r>
        <w:rPr>
          <w:spacing w:val="-12"/>
        </w:rPr>
        <w:t>债权人有权参</w:t>
      </w:r>
      <w:r>
        <w:rPr>
          <w:spacing w:val="-11"/>
        </w:rPr>
        <w:t>加债权人会议。参加会议的债权人系法人或其他组织的，应</w:t>
      </w:r>
      <w:r>
        <w:rPr>
          <w:spacing w:val="-12"/>
        </w:rPr>
        <w:t>提交营业执照副本、法定代表人或负责人身份证明；债权人</w:t>
      </w:r>
      <w:r>
        <w:rPr>
          <w:spacing w:val="-13"/>
        </w:rPr>
        <w:t>系自然人的，应提交个人身份证明。债权人如</w:t>
      </w:r>
      <w:r>
        <w:rPr>
          <w:spacing w:val="-14"/>
        </w:rPr>
        <w:t>委托代理人出</w:t>
      </w:r>
      <w:r>
        <w:rPr>
          <w:spacing w:val="-11"/>
        </w:rPr>
        <w:t>席会议，应提交特别授权委托书、委托代理人的身份证件，</w:t>
      </w:r>
      <w:r>
        <w:rPr>
          <w:spacing w:val="11"/>
        </w:rPr>
        <w:t>委托代理律师需提交律师事务所的指派函原</w:t>
      </w:r>
      <w:r>
        <w:rPr>
          <w:spacing w:val="10"/>
        </w:rPr>
        <w:t>件及律师执业</w:t>
      </w:r>
      <w:r>
        <w:rPr>
          <w:spacing w:val="-21"/>
        </w:rPr>
        <w:t>证复印件。</w:t>
      </w:r>
    </w:p>
    <w:p>
      <w:pPr>
        <w:pStyle w:val="3"/>
        <w:spacing w:before="206" w:line="334" w:lineRule="auto"/>
        <w:ind w:left="8" w:firstLine="1136"/>
      </w:pPr>
      <w:r>
        <w:rPr>
          <w:spacing w:val="-6"/>
        </w:rPr>
        <w:t>管理人团队</w:t>
      </w:r>
      <w:r>
        <w:rPr>
          <w:rFonts w:hint="eastAsia"/>
          <w:spacing w:val="-6"/>
          <w:lang w:val="en-US" w:eastAsia="zh-CN"/>
        </w:rPr>
        <w:t>债权申报</w:t>
      </w:r>
      <w:r>
        <w:rPr>
          <w:spacing w:val="-6"/>
        </w:rPr>
        <w:t>联系人：张文霞，15202670802</w:t>
      </w:r>
      <w:r>
        <w:rPr>
          <w:spacing w:val="-12"/>
        </w:rPr>
        <w:t>。</w:t>
      </w:r>
    </w:p>
    <w:p>
      <w:pPr>
        <w:pStyle w:val="3"/>
        <w:spacing w:before="159" w:line="224" w:lineRule="auto"/>
        <w:ind w:left="1144"/>
      </w:pPr>
      <w:r>
        <w:rPr>
          <w:spacing w:val="-21"/>
        </w:rPr>
        <w:t>特此公告。</w:t>
      </w: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pStyle w:val="3"/>
        <w:spacing w:before="192" w:line="354" w:lineRule="auto"/>
        <w:ind w:right="149" w:firstLine="9030" w:firstLineChars="1500"/>
        <w:rPr>
          <w:spacing w:val="6"/>
          <w:sz w:val="59"/>
          <w:szCs w:val="59"/>
        </w:rPr>
      </w:pPr>
      <w:r>
        <w:rPr>
          <w:spacing w:val="6"/>
          <w:sz w:val="59"/>
          <w:szCs w:val="59"/>
        </w:rPr>
        <w:t>永宁县人民法院</w:t>
      </w:r>
    </w:p>
    <w:p>
      <w:pPr>
        <w:pStyle w:val="3"/>
        <w:spacing w:before="192" w:line="354" w:lineRule="auto"/>
        <w:ind w:right="149" w:firstLine="5400" w:firstLineChars="900"/>
      </w:pPr>
      <w:r>
        <w:rPr>
          <w:spacing w:val="5"/>
          <w:sz w:val="59"/>
          <w:szCs w:val="59"/>
        </w:rPr>
        <w:t xml:space="preserve"> </w:t>
      </w:r>
      <w:r>
        <w:rPr>
          <w:rFonts w:hint="eastAsia"/>
          <w:spacing w:val="5"/>
          <w:sz w:val="59"/>
          <w:szCs w:val="59"/>
          <w:lang w:val="en-US" w:eastAsia="zh-CN"/>
        </w:rPr>
        <w:t xml:space="preserve">           </w:t>
      </w:r>
      <w:r>
        <w:rPr>
          <w:spacing w:val="90"/>
          <w:sz w:val="59"/>
          <w:szCs w:val="59"/>
        </w:rPr>
        <w:t>202</w:t>
      </w:r>
      <w:r>
        <w:rPr>
          <w:rFonts w:hint="eastAsia"/>
          <w:spacing w:val="90"/>
          <w:sz w:val="59"/>
          <w:szCs w:val="59"/>
          <w:lang w:val="en-US" w:eastAsia="zh-CN"/>
        </w:rPr>
        <w:t>4</w:t>
      </w:r>
      <w:r>
        <w:rPr>
          <w:spacing w:val="90"/>
          <w:sz w:val="59"/>
          <w:szCs w:val="59"/>
        </w:rPr>
        <w:t>年</w:t>
      </w:r>
      <w:r>
        <w:rPr>
          <w:rFonts w:hint="eastAsia"/>
          <w:spacing w:val="90"/>
          <w:sz w:val="59"/>
          <w:szCs w:val="59"/>
          <w:lang w:val="en-US" w:eastAsia="zh-CN"/>
        </w:rPr>
        <w:t>7</w:t>
      </w:r>
      <w:r>
        <w:rPr>
          <w:spacing w:val="90"/>
          <w:sz w:val="59"/>
          <w:szCs w:val="59"/>
        </w:rPr>
        <w:t>月</w:t>
      </w:r>
      <w:r>
        <w:rPr>
          <w:rFonts w:hint="eastAsia"/>
          <w:spacing w:val="90"/>
          <w:sz w:val="59"/>
          <w:szCs w:val="59"/>
          <w:lang w:val="en-US" w:eastAsia="zh-CN"/>
        </w:rPr>
        <w:t>25</w:t>
      </w:r>
      <w:r>
        <w:rPr>
          <w:spacing w:val="90"/>
          <w:sz w:val="59"/>
          <w:szCs w:val="59"/>
        </w:rPr>
        <w:t>日</w:t>
      </w:r>
      <w:bookmarkStart w:id="0" w:name="_GoBack"/>
      <w:bookmarkEnd w:id="0"/>
    </w:p>
    <w:sectPr>
      <w:pgSz w:w="22391" w:h="31680"/>
      <w:pgMar w:top="2692" w:right="3236" w:bottom="0" w:left="3358"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33"/>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zEwNTM5NzYwMDRjMzkwZTVkZjY2ODkwMGIxNGU0OTUifQ=="/>
  </w:docVars>
  <w:rsids>
    <w:rsidRoot w:val="00000000"/>
    <w:rsid w:val="02B82852"/>
    <w:rsid w:val="08580C08"/>
    <w:rsid w:val="17295E10"/>
    <w:rsid w:val="2F1F55CC"/>
    <w:rsid w:val="34007FFB"/>
    <w:rsid w:val="36813DF9"/>
    <w:rsid w:val="36CB0CA8"/>
    <w:rsid w:val="3DF76554"/>
    <w:rsid w:val="43630D28"/>
    <w:rsid w:val="5C8F364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rPr>
      <w:rFonts w:ascii="仿宋" w:hAnsi="仿宋" w:eastAsia="仿宋" w:cs="仿宋"/>
      <w:sz w:val="61"/>
      <w:szCs w:val="61"/>
      <w:lang w:eastAsia="zh-CN"/>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1060</Words>
  <Characters>1149</Characters>
  <TotalTime>18</TotalTime>
  <ScaleCrop>false</ScaleCrop>
  <LinksUpToDate>false</LinksUpToDate>
  <CharactersWithSpaces>1243</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2024-07-17T11:39:00Z</dcterms:created>
  <dc:creator>Kingsoft-PDF</dc:creator>
  <cp:lastModifiedBy>chen</cp:lastModifiedBy>
  <dcterms:modified xsi:type="dcterms:W3CDTF">2024-07-26T07:49:20Z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2024-07-17T11:39:23Z</vt:filetime>
  </property>
  <property fmtid="{D5CDD505-2E9C-101B-9397-08002B2CF9AE}" pid="4" name="UsrData">
    <vt:lpwstr>66973ce6e3f935001fb8248ewl</vt:lpwstr>
  </property>
  <property fmtid="{D5CDD505-2E9C-101B-9397-08002B2CF9AE}" pid="5" name="KSOProductBuildVer">
    <vt:lpwstr>2052-12.1.0.16929</vt:lpwstr>
  </property>
  <property fmtid="{D5CDD505-2E9C-101B-9397-08002B2CF9AE}" pid="6" name="ICV">
    <vt:lpwstr>D0FD5256044A47B7899D19453446A1FA_13</vt:lpwstr>
  </property>
</Properties>
</file>