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FBEE48">
      <w:pPr>
        <w:spacing w:line="600" w:lineRule="exact"/>
        <w:jc w:val="center"/>
        <w:rPr>
          <w:rFonts w:ascii="方正小标宋简体" w:hAnsi="宋体" w:eastAsia="方正小标宋简体"/>
          <w:b/>
          <w:bCs/>
          <w:sz w:val="44"/>
          <w:szCs w:val="44"/>
        </w:rPr>
      </w:pPr>
      <w:r>
        <w:rPr>
          <w:rFonts w:ascii="方正小标宋简体" w:hAnsi="宋体" w:eastAsia="方正小标宋简体"/>
          <w:b/>
          <w:bCs/>
          <w:sz w:val="44"/>
          <w:szCs w:val="44"/>
        </w:rPr>
        <w:t>债权申报通知书</w:t>
      </w:r>
    </w:p>
    <w:p w14:paraId="0B644D1B">
      <w:pPr>
        <w:spacing w:line="480" w:lineRule="exact"/>
        <w:rPr>
          <w:rFonts w:ascii="仿宋" w:hAnsi="仿宋" w:eastAsia="仿宋" w:cs="宋体"/>
          <w:sz w:val="32"/>
          <w:szCs w:val="32"/>
        </w:rPr>
      </w:pPr>
    </w:p>
    <w:p w14:paraId="013655D6">
      <w:pPr>
        <w:spacing w:line="480" w:lineRule="exact"/>
        <w:rPr>
          <w:rFonts w:ascii="仿宋" w:hAnsi="仿宋" w:eastAsia="仿宋"/>
          <w:sz w:val="32"/>
          <w:szCs w:val="32"/>
        </w:rPr>
      </w:pPr>
      <w:r>
        <w:rPr>
          <w:rFonts w:hint="eastAsia" w:ascii="仿宋" w:hAnsi="仿宋" w:eastAsia="仿宋" w:cs="宋体"/>
          <w:sz w:val="32"/>
          <w:szCs w:val="32"/>
          <w:lang w:val="en-US" w:eastAsia="zh-CN"/>
        </w:rPr>
        <w:t>福建卓然新能源科技有限公司债权人</w:t>
      </w:r>
      <w:r>
        <w:rPr>
          <w:rFonts w:hint="eastAsia" w:ascii="仿宋" w:hAnsi="仿宋" w:eastAsia="仿宋"/>
          <w:sz w:val="32"/>
          <w:szCs w:val="32"/>
        </w:rPr>
        <w:t>：</w:t>
      </w:r>
    </w:p>
    <w:p w14:paraId="3A27326F">
      <w:pPr>
        <w:spacing w:line="480" w:lineRule="exact"/>
        <w:ind w:firstLine="640" w:firstLineChars="200"/>
        <w:rPr>
          <w:rFonts w:ascii="仿宋" w:hAnsi="仿宋" w:eastAsia="仿宋" w:cs="宋体"/>
          <w:sz w:val="32"/>
          <w:szCs w:val="32"/>
        </w:rPr>
      </w:pPr>
      <w:r>
        <w:rPr>
          <w:rFonts w:hint="eastAsia" w:ascii="仿宋" w:hAnsi="仿宋" w:eastAsia="仿宋" w:cs="MS Mincho"/>
          <w:sz w:val="32"/>
          <w:szCs w:val="32"/>
        </w:rPr>
        <w:t>福州市中级人民法院根据</w:t>
      </w:r>
      <w:r>
        <w:rPr>
          <w:rFonts w:hint="eastAsia" w:ascii="仿宋" w:hAnsi="仿宋" w:eastAsia="仿宋" w:cs="MS Mincho"/>
          <w:sz w:val="32"/>
          <w:szCs w:val="32"/>
          <w:lang w:val="en-US" w:eastAsia="zh-CN"/>
        </w:rPr>
        <w:t>厦门老规矩信息技术有限公司</w:t>
      </w:r>
      <w:r>
        <w:rPr>
          <w:rFonts w:hint="eastAsia" w:ascii="仿宋" w:hAnsi="仿宋" w:eastAsia="仿宋" w:cs="MS Mincho"/>
          <w:sz w:val="32"/>
          <w:szCs w:val="32"/>
        </w:rPr>
        <w:t>的申请，于202</w:t>
      </w:r>
      <w:r>
        <w:rPr>
          <w:rFonts w:hint="eastAsia" w:ascii="仿宋" w:hAnsi="仿宋" w:eastAsia="仿宋" w:cs="MS Mincho"/>
          <w:sz w:val="32"/>
          <w:szCs w:val="32"/>
          <w:lang w:val="en-US" w:eastAsia="zh-CN"/>
        </w:rPr>
        <w:t>4</w:t>
      </w:r>
      <w:r>
        <w:rPr>
          <w:rFonts w:hint="eastAsia" w:ascii="仿宋" w:hAnsi="仿宋" w:eastAsia="仿宋" w:cs="MS Mincho"/>
          <w:sz w:val="32"/>
          <w:szCs w:val="32"/>
        </w:rPr>
        <w:t>年</w:t>
      </w:r>
      <w:r>
        <w:rPr>
          <w:rFonts w:hint="eastAsia" w:ascii="仿宋" w:hAnsi="仿宋" w:eastAsia="仿宋" w:cs="MS Mincho"/>
          <w:sz w:val="32"/>
          <w:szCs w:val="32"/>
          <w:lang w:val="en-US" w:eastAsia="zh-CN"/>
        </w:rPr>
        <w:t>6</w:t>
      </w:r>
      <w:r>
        <w:rPr>
          <w:rFonts w:hint="eastAsia" w:ascii="仿宋" w:hAnsi="仿宋" w:eastAsia="仿宋" w:cs="MS Mincho"/>
          <w:sz w:val="32"/>
          <w:szCs w:val="32"/>
        </w:rPr>
        <w:t>月</w:t>
      </w:r>
      <w:r>
        <w:rPr>
          <w:rFonts w:hint="eastAsia" w:ascii="仿宋" w:hAnsi="仿宋" w:eastAsia="仿宋" w:cs="MS Mincho"/>
          <w:sz w:val="32"/>
          <w:szCs w:val="32"/>
          <w:lang w:val="en-US" w:eastAsia="zh-CN"/>
        </w:rPr>
        <w:t>4</w:t>
      </w:r>
      <w:r>
        <w:rPr>
          <w:rFonts w:hint="eastAsia" w:ascii="仿宋" w:hAnsi="仿宋" w:eastAsia="仿宋" w:cs="MS Mincho"/>
          <w:sz w:val="32"/>
          <w:szCs w:val="32"/>
        </w:rPr>
        <w:t>日裁定受理</w:t>
      </w:r>
      <w:r>
        <w:rPr>
          <w:rFonts w:hint="eastAsia" w:ascii="仿宋" w:hAnsi="仿宋" w:eastAsia="仿宋" w:cs="MS Mincho"/>
          <w:sz w:val="32"/>
          <w:szCs w:val="32"/>
          <w:lang w:eastAsia="zh-CN"/>
        </w:rPr>
        <w:t>福建卓然新能源科技有限公司</w:t>
      </w:r>
      <w:r>
        <w:rPr>
          <w:rFonts w:hint="eastAsia" w:ascii="仿宋" w:hAnsi="仿宋" w:eastAsia="仿宋" w:cs="MS Mincho"/>
          <w:sz w:val="32"/>
          <w:szCs w:val="32"/>
        </w:rPr>
        <w:t>破产清算一案，并指令</w:t>
      </w:r>
      <w:r>
        <w:rPr>
          <w:rFonts w:hint="eastAsia" w:ascii="仿宋" w:hAnsi="仿宋" w:eastAsia="仿宋" w:cs="MS Mincho"/>
          <w:sz w:val="32"/>
          <w:szCs w:val="32"/>
          <w:lang w:val="en-US" w:eastAsia="zh-CN"/>
        </w:rPr>
        <w:t>福建省福州市马尾区人民法院</w:t>
      </w:r>
      <w:r>
        <w:rPr>
          <w:rFonts w:hint="eastAsia" w:ascii="仿宋" w:hAnsi="仿宋" w:eastAsia="仿宋" w:cs="MS Mincho"/>
          <w:sz w:val="32"/>
          <w:szCs w:val="32"/>
        </w:rPr>
        <w:t>审理。</w:t>
      </w:r>
      <w:r>
        <w:rPr>
          <w:rFonts w:hint="eastAsia" w:ascii="仿宋" w:hAnsi="仿宋" w:eastAsia="仿宋" w:cs="MS Mincho"/>
          <w:sz w:val="32"/>
          <w:szCs w:val="32"/>
          <w:lang w:val="en-US" w:eastAsia="zh-CN"/>
        </w:rPr>
        <w:t>经福州市马尾区人民法院随机指定福建新世通律师事务所担任福建卓然新能源科技有限公司管理人</w:t>
      </w:r>
      <w:r>
        <w:rPr>
          <w:rFonts w:ascii="仿宋" w:hAnsi="仿宋" w:eastAsia="仿宋" w:cs="宋体"/>
          <w:sz w:val="32"/>
          <w:szCs w:val="32"/>
        </w:rPr>
        <w:t>。</w:t>
      </w:r>
    </w:p>
    <w:p w14:paraId="0F5BF4CB">
      <w:pPr>
        <w:spacing w:line="480" w:lineRule="exact"/>
        <w:ind w:firstLine="640" w:firstLineChars="200"/>
        <w:rPr>
          <w:rFonts w:ascii="仿宋" w:hAnsi="仿宋" w:eastAsia="仿宋"/>
          <w:sz w:val="32"/>
          <w:szCs w:val="32"/>
        </w:rPr>
      </w:pPr>
      <w:r>
        <w:rPr>
          <w:rFonts w:hint="eastAsia" w:ascii="仿宋" w:hAnsi="仿宋" w:eastAsia="仿宋"/>
          <w:sz w:val="32"/>
          <w:szCs w:val="32"/>
        </w:rPr>
        <w:t>管理人依法负责</w:t>
      </w:r>
      <w:r>
        <w:rPr>
          <w:rFonts w:hint="eastAsia" w:ascii="仿宋" w:hAnsi="仿宋" w:eastAsia="仿宋"/>
          <w:sz w:val="32"/>
          <w:szCs w:val="32"/>
          <w:lang w:eastAsia="zh-CN"/>
        </w:rPr>
        <w:t>福建卓然新能源科技有限公司</w:t>
      </w:r>
      <w:r>
        <w:rPr>
          <w:rFonts w:ascii="仿宋" w:hAnsi="仿宋" w:eastAsia="仿宋"/>
          <w:sz w:val="32"/>
          <w:szCs w:val="32"/>
        </w:rPr>
        <w:t>破产债权登记</w:t>
      </w:r>
      <w:r>
        <w:rPr>
          <w:rFonts w:hint="eastAsia" w:ascii="仿宋" w:hAnsi="仿宋" w:eastAsia="仿宋"/>
          <w:sz w:val="32"/>
          <w:szCs w:val="32"/>
        </w:rPr>
        <w:t>、</w:t>
      </w:r>
      <w:r>
        <w:rPr>
          <w:rFonts w:ascii="仿宋" w:hAnsi="仿宋" w:eastAsia="仿宋"/>
          <w:sz w:val="32"/>
          <w:szCs w:val="32"/>
        </w:rPr>
        <w:t>审核工作</w:t>
      </w:r>
      <w:r>
        <w:rPr>
          <w:rFonts w:hint="eastAsia" w:ascii="仿宋" w:hAnsi="仿宋" w:eastAsia="仿宋"/>
          <w:sz w:val="32"/>
          <w:szCs w:val="32"/>
        </w:rPr>
        <w:t>，</w:t>
      </w:r>
      <w:r>
        <w:rPr>
          <w:rFonts w:ascii="仿宋" w:hAnsi="仿宋" w:eastAsia="仿宋"/>
          <w:sz w:val="32"/>
          <w:szCs w:val="32"/>
        </w:rPr>
        <w:t>现将有关事项通知如下</w:t>
      </w:r>
      <w:r>
        <w:rPr>
          <w:rFonts w:hint="eastAsia" w:ascii="仿宋" w:hAnsi="仿宋" w:eastAsia="仿宋"/>
          <w:sz w:val="32"/>
          <w:szCs w:val="32"/>
        </w:rPr>
        <w:t>：</w:t>
      </w:r>
    </w:p>
    <w:p w14:paraId="5C2B10BA">
      <w:pPr>
        <w:spacing w:line="480" w:lineRule="exact"/>
        <w:ind w:firstLine="640" w:firstLineChars="200"/>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阁下</w:t>
      </w:r>
      <w:r>
        <w:rPr>
          <w:rFonts w:hint="eastAsia" w:ascii="仿宋" w:hAnsi="仿宋" w:eastAsia="仿宋"/>
          <w:sz w:val="32"/>
          <w:szCs w:val="32"/>
        </w:rPr>
        <w:t>应在收到本通知书之日起至20</w:t>
      </w:r>
      <w:r>
        <w:rPr>
          <w:rFonts w:hint="eastAsia" w:ascii="仿宋" w:hAnsi="仿宋" w:eastAsia="仿宋"/>
          <w:sz w:val="32"/>
          <w:szCs w:val="32"/>
          <w:lang w:val="en-US" w:eastAsia="zh-CN"/>
        </w:rPr>
        <w:t>24</w:t>
      </w:r>
      <w:r>
        <w:rPr>
          <w:rFonts w:hint="eastAsia" w:ascii="仿宋" w:hAnsi="仿宋" w:eastAsia="仿宋"/>
          <w:sz w:val="32"/>
          <w:szCs w:val="32"/>
        </w:rPr>
        <w:t>年</w:t>
      </w:r>
      <w:r>
        <w:rPr>
          <w:rFonts w:hint="eastAsia" w:ascii="仿宋" w:hAnsi="仿宋" w:eastAsia="仿宋"/>
          <w:sz w:val="32"/>
          <w:szCs w:val="32"/>
          <w:lang w:val="en-US" w:eastAsia="zh-CN"/>
        </w:rPr>
        <w:t>8</w:t>
      </w:r>
      <w:r>
        <w:rPr>
          <w:rFonts w:hint="eastAsia" w:ascii="仿宋" w:hAnsi="仿宋" w:eastAsia="仿宋"/>
          <w:sz w:val="32"/>
          <w:szCs w:val="32"/>
        </w:rPr>
        <w:t>月</w:t>
      </w:r>
      <w:r>
        <w:rPr>
          <w:rFonts w:hint="eastAsia" w:ascii="仿宋" w:hAnsi="仿宋" w:eastAsia="仿宋"/>
          <w:sz w:val="32"/>
          <w:szCs w:val="32"/>
          <w:lang w:val="en-US" w:eastAsia="zh-CN"/>
        </w:rPr>
        <w:t>9</w:t>
      </w:r>
      <w:r>
        <w:rPr>
          <w:rFonts w:hint="eastAsia" w:ascii="仿宋" w:hAnsi="仿宋" w:eastAsia="仿宋"/>
          <w:sz w:val="32"/>
          <w:szCs w:val="32"/>
        </w:rPr>
        <w:t>日止向管理人</w:t>
      </w:r>
      <w:r>
        <w:rPr>
          <w:rFonts w:ascii="仿宋" w:hAnsi="仿宋" w:eastAsia="仿宋"/>
          <w:sz w:val="32"/>
          <w:szCs w:val="32"/>
        </w:rPr>
        <w:t>申报债权</w:t>
      </w:r>
      <w:r>
        <w:rPr>
          <w:rFonts w:hint="eastAsia" w:ascii="仿宋" w:hAnsi="仿宋" w:eastAsia="仿宋"/>
          <w:sz w:val="32"/>
          <w:szCs w:val="32"/>
        </w:rPr>
        <w:t>。如未能在上述期限内申报债权，可以在破产财产最后分配前补充申报，</w:t>
      </w:r>
      <w:r>
        <w:rPr>
          <w:rFonts w:hint="eastAsia" w:ascii="仿宋" w:hAnsi="仿宋" w:eastAsia="仿宋" w:cs="MS Mincho"/>
          <w:sz w:val="32"/>
          <w:szCs w:val="32"/>
        </w:rPr>
        <w:t>但对此前已进行的分配无权要求补充分配，且</w:t>
      </w:r>
      <w:r>
        <w:rPr>
          <w:rFonts w:ascii="仿宋" w:hAnsi="仿宋" w:eastAsia="仿宋" w:cs="MS Mincho"/>
          <w:sz w:val="32"/>
          <w:szCs w:val="32"/>
        </w:rPr>
        <w:t>要承担</w:t>
      </w:r>
      <w:r>
        <w:rPr>
          <w:rFonts w:ascii="仿宋" w:hAnsi="仿宋" w:eastAsia="仿宋" w:cs="宋体"/>
          <w:sz w:val="32"/>
          <w:szCs w:val="32"/>
        </w:rPr>
        <w:t>为审查</w:t>
      </w:r>
      <w:r>
        <w:rPr>
          <w:rFonts w:ascii="仿宋" w:hAnsi="仿宋" w:eastAsia="仿宋" w:cs="MS Mincho"/>
          <w:sz w:val="32"/>
          <w:szCs w:val="32"/>
        </w:rPr>
        <w:t>和确</w:t>
      </w:r>
      <w:r>
        <w:rPr>
          <w:rFonts w:ascii="仿宋" w:hAnsi="仿宋" w:eastAsia="仿宋" w:cs="宋体"/>
          <w:sz w:val="32"/>
          <w:szCs w:val="32"/>
        </w:rPr>
        <w:t>认补</w:t>
      </w:r>
      <w:r>
        <w:rPr>
          <w:rFonts w:ascii="仿宋" w:hAnsi="仿宋" w:eastAsia="仿宋" w:cs="MS Mincho"/>
          <w:sz w:val="32"/>
          <w:szCs w:val="32"/>
        </w:rPr>
        <w:t>充申</w:t>
      </w:r>
      <w:r>
        <w:rPr>
          <w:rFonts w:ascii="仿宋" w:hAnsi="仿宋" w:eastAsia="仿宋" w:cs="宋体"/>
          <w:sz w:val="32"/>
          <w:szCs w:val="32"/>
        </w:rPr>
        <w:t>报债权所产生的费用。</w:t>
      </w:r>
      <w:r>
        <w:rPr>
          <w:rFonts w:hint="eastAsia" w:ascii="仿宋" w:hAnsi="仿宋" w:eastAsia="仿宋"/>
          <w:sz w:val="32"/>
          <w:szCs w:val="32"/>
        </w:rPr>
        <w:t>未依法申报债权的，不得行使权利。</w:t>
      </w:r>
    </w:p>
    <w:p w14:paraId="04623AC3">
      <w:pPr>
        <w:spacing w:line="480" w:lineRule="exact"/>
        <w:ind w:firstLine="640" w:firstLineChars="200"/>
        <w:jc w:val="left"/>
        <w:rPr>
          <w:rStyle w:val="9"/>
          <w:rFonts w:ascii="仿宋" w:hAnsi="仿宋" w:eastAsia="仿宋"/>
          <w:color w:val="auto"/>
          <w:sz w:val="32"/>
          <w:szCs w:val="32"/>
          <w:u w:val="none"/>
        </w:rPr>
      </w:pPr>
      <w:r>
        <w:rPr>
          <w:rFonts w:ascii="仿宋" w:hAnsi="仿宋" w:eastAsia="仿宋"/>
          <w:sz w:val="32"/>
          <w:szCs w:val="32"/>
        </w:rPr>
        <w:t>2</w:t>
      </w:r>
      <w:r>
        <w:rPr>
          <w:rFonts w:hint="eastAsia" w:ascii="仿宋" w:hAnsi="仿宋" w:eastAsia="仿宋"/>
          <w:sz w:val="32"/>
          <w:szCs w:val="32"/>
        </w:rPr>
        <w:t>、</w:t>
      </w:r>
      <w:r>
        <w:rPr>
          <w:rStyle w:val="9"/>
          <w:rFonts w:hint="eastAsia" w:ascii="仿宋" w:hAnsi="仿宋" w:eastAsia="仿宋"/>
          <w:color w:val="auto"/>
          <w:sz w:val="32"/>
          <w:szCs w:val="32"/>
          <w:u w:val="none"/>
        </w:rPr>
        <w:t>管理人联系方式、债权申报地点及时间</w:t>
      </w:r>
    </w:p>
    <w:p w14:paraId="645D2AA5">
      <w:pPr>
        <w:spacing w:line="480" w:lineRule="exact"/>
        <w:ind w:firstLine="640" w:firstLineChars="200"/>
        <w:rPr>
          <w:rFonts w:ascii="仿宋" w:hAnsi="仿宋" w:eastAsia="仿宋"/>
          <w:sz w:val="32"/>
          <w:szCs w:val="32"/>
        </w:rPr>
      </w:pPr>
      <w:r>
        <w:rPr>
          <w:rStyle w:val="9"/>
          <w:rFonts w:hint="eastAsia" w:ascii="仿宋" w:hAnsi="仿宋" w:eastAsia="仿宋"/>
          <w:color w:val="auto"/>
          <w:sz w:val="32"/>
          <w:szCs w:val="32"/>
          <w:u w:val="none"/>
        </w:rPr>
        <w:t>联系人：陈承正18558714918</w:t>
      </w:r>
      <w:r>
        <w:rPr>
          <w:rFonts w:hint="eastAsia" w:ascii="仿宋" w:hAnsi="仿宋" w:eastAsia="仿宋"/>
          <w:sz w:val="32"/>
          <w:szCs w:val="32"/>
        </w:rPr>
        <w:t>；债权申报</w:t>
      </w:r>
      <w:r>
        <w:rPr>
          <w:rStyle w:val="9"/>
          <w:rFonts w:hint="eastAsia" w:ascii="仿宋" w:hAnsi="仿宋" w:eastAsia="仿宋"/>
          <w:color w:val="auto"/>
          <w:sz w:val="32"/>
          <w:szCs w:val="32"/>
          <w:u w:val="none"/>
        </w:rPr>
        <w:t>地址：</w:t>
      </w:r>
      <w:r>
        <w:rPr>
          <w:rStyle w:val="9"/>
          <w:rFonts w:hint="eastAsia" w:ascii="仿宋" w:hAnsi="仿宋" w:eastAsia="仿宋"/>
          <w:color w:val="auto"/>
          <w:sz w:val="32"/>
          <w:szCs w:val="32"/>
          <w:u w:val="none"/>
          <w:lang w:eastAsia="zh-CN"/>
        </w:rPr>
        <w:t>福建省</w:t>
      </w:r>
      <w:r>
        <w:rPr>
          <w:rFonts w:hint="eastAsia" w:ascii="仿宋" w:hAnsi="仿宋" w:eastAsia="仿宋"/>
          <w:sz w:val="32"/>
          <w:szCs w:val="32"/>
        </w:rPr>
        <w:t>福州市鼓楼区</w:t>
      </w:r>
      <w:r>
        <w:rPr>
          <w:rFonts w:hint="eastAsia" w:ascii="仿宋" w:hAnsi="仿宋" w:eastAsia="仿宋"/>
          <w:sz w:val="32"/>
          <w:szCs w:val="32"/>
          <w:lang w:eastAsia="zh-CN"/>
        </w:rPr>
        <w:t>工业路</w:t>
      </w:r>
      <w:r>
        <w:rPr>
          <w:rFonts w:hint="eastAsia" w:ascii="仿宋" w:hAnsi="仿宋" w:eastAsia="仿宋"/>
          <w:sz w:val="32"/>
          <w:szCs w:val="32"/>
          <w:lang w:val="en-US" w:eastAsia="zh-CN"/>
        </w:rPr>
        <w:t>526号华润万象城三期TB商务楼34层</w:t>
      </w:r>
      <w:r>
        <w:rPr>
          <w:rFonts w:hint="eastAsia" w:ascii="仿宋" w:hAnsi="仿宋" w:eastAsia="仿宋"/>
          <w:sz w:val="32"/>
          <w:szCs w:val="32"/>
        </w:rPr>
        <w:t>；接受申报时间：星期一至星期五上午9:00-</w:t>
      </w:r>
      <w:r>
        <w:rPr>
          <w:rFonts w:ascii="仿宋" w:hAnsi="仿宋" w:eastAsia="仿宋"/>
          <w:sz w:val="32"/>
          <w:szCs w:val="32"/>
        </w:rPr>
        <w:t>12</w:t>
      </w:r>
      <w:r>
        <w:rPr>
          <w:rFonts w:hint="eastAsia" w:ascii="仿宋" w:hAnsi="仿宋" w:eastAsia="仿宋"/>
          <w:sz w:val="32"/>
          <w:szCs w:val="32"/>
        </w:rPr>
        <w:t>:00，下午</w:t>
      </w:r>
      <w:r>
        <w:rPr>
          <w:rFonts w:hint="eastAsia" w:ascii="仿宋" w:hAnsi="仿宋" w:eastAsia="仿宋"/>
          <w:sz w:val="32"/>
          <w:szCs w:val="32"/>
          <w:lang w:val="en-US" w:eastAsia="zh-CN"/>
        </w:rPr>
        <w:t>15</w:t>
      </w:r>
      <w:r>
        <w:rPr>
          <w:rFonts w:hint="eastAsia" w:ascii="仿宋" w:hAnsi="仿宋" w:eastAsia="仿宋"/>
          <w:sz w:val="32"/>
          <w:szCs w:val="32"/>
        </w:rPr>
        <w:t>:</w:t>
      </w:r>
      <w:r>
        <w:rPr>
          <w:rFonts w:hint="eastAsia" w:ascii="仿宋" w:hAnsi="仿宋" w:eastAsia="仿宋"/>
          <w:sz w:val="32"/>
          <w:szCs w:val="32"/>
          <w:lang w:val="en-US" w:eastAsia="zh-CN"/>
        </w:rPr>
        <w:t>0</w:t>
      </w:r>
      <w:r>
        <w:rPr>
          <w:rFonts w:hint="eastAsia" w:ascii="仿宋" w:hAnsi="仿宋" w:eastAsia="仿宋"/>
          <w:sz w:val="32"/>
          <w:szCs w:val="32"/>
        </w:rPr>
        <w:t>0-</w:t>
      </w:r>
      <w:r>
        <w:rPr>
          <w:rFonts w:ascii="仿宋" w:hAnsi="仿宋" w:eastAsia="仿宋"/>
          <w:sz w:val="32"/>
          <w:szCs w:val="32"/>
        </w:rPr>
        <w:t>1</w:t>
      </w:r>
      <w:r>
        <w:rPr>
          <w:rFonts w:hint="eastAsia" w:ascii="仿宋" w:hAnsi="仿宋" w:eastAsia="仿宋"/>
          <w:sz w:val="32"/>
          <w:szCs w:val="32"/>
          <w:lang w:val="en-US" w:eastAsia="zh-CN"/>
        </w:rPr>
        <w:t>8</w:t>
      </w:r>
      <w:r>
        <w:rPr>
          <w:rFonts w:hint="eastAsia" w:ascii="仿宋" w:hAnsi="仿宋" w:eastAsia="仿宋"/>
          <w:sz w:val="32"/>
          <w:szCs w:val="32"/>
        </w:rPr>
        <w:t>:</w:t>
      </w:r>
      <w:r>
        <w:rPr>
          <w:rFonts w:hint="eastAsia" w:ascii="仿宋" w:hAnsi="仿宋" w:eastAsia="仿宋"/>
          <w:sz w:val="32"/>
          <w:szCs w:val="32"/>
          <w:lang w:val="en-US" w:eastAsia="zh-CN"/>
        </w:rPr>
        <w:t>0</w:t>
      </w:r>
      <w:r>
        <w:rPr>
          <w:rFonts w:hint="eastAsia" w:ascii="仿宋" w:hAnsi="仿宋" w:eastAsia="仿宋"/>
          <w:sz w:val="32"/>
          <w:szCs w:val="32"/>
        </w:rPr>
        <w:t>0。</w:t>
      </w:r>
    </w:p>
    <w:p w14:paraId="373AB35E">
      <w:pPr>
        <w:spacing w:line="480" w:lineRule="exact"/>
        <w:ind w:firstLine="640" w:firstLineChars="200"/>
        <w:rPr>
          <w:rFonts w:ascii="仿宋" w:hAnsi="仿宋" w:eastAsia="仿宋"/>
          <w:sz w:val="32"/>
          <w:szCs w:val="32"/>
        </w:rPr>
      </w:pPr>
      <w:r>
        <w:rPr>
          <w:rFonts w:hint="eastAsia" w:ascii="仿宋" w:hAnsi="仿宋" w:eastAsia="仿宋"/>
          <w:sz w:val="32"/>
          <w:szCs w:val="32"/>
        </w:rPr>
        <w:t>3、债权申报方式</w:t>
      </w:r>
    </w:p>
    <w:p w14:paraId="6E918E4A">
      <w:pPr>
        <w:spacing w:line="480" w:lineRule="exact"/>
        <w:ind w:firstLine="643" w:firstLineChars="200"/>
        <w:rPr>
          <w:rFonts w:ascii="仿宋" w:hAnsi="仿宋" w:eastAsia="仿宋"/>
          <w:sz w:val="32"/>
          <w:szCs w:val="32"/>
        </w:rPr>
      </w:pPr>
      <w:r>
        <w:rPr>
          <w:rFonts w:hint="eastAsia" w:ascii="仿宋" w:hAnsi="仿宋" w:eastAsia="仿宋"/>
          <w:b/>
          <w:sz w:val="32"/>
          <w:szCs w:val="32"/>
        </w:rPr>
        <w:t>债权以递交书面申报文件为正式申报。</w:t>
      </w:r>
      <w:r>
        <w:rPr>
          <w:rFonts w:hint="eastAsia" w:ascii="仿宋" w:hAnsi="仿宋" w:eastAsia="仿宋"/>
          <w:sz w:val="32"/>
          <w:szCs w:val="32"/>
        </w:rPr>
        <w:t>应提交债权申报表，书面说明债权数额、有无财产担保及是否属于连带债权等并附相关证明材料（包括债权人身份证明及证明债权成立的证据）。申报债权时应</w:t>
      </w:r>
      <w:r>
        <w:rPr>
          <w:rFonts w:hint="eastAsia" w:ascii="仿宋" w:hAnsi="仿宋" w:eastAsia="仿宋"/>
          <w:b/>
          <w:sz w:val="32"/>
          <w:szCs w:val="32"/>
        </w:rPr>
        <w:t>提交证据原件供管理人核对。或债权人可通过</w:t>
      </w:r>
      <w:r>
        <w:rPr>
          <w:rFonts w:hint="eastAsia" w:ascii="仿宋" w:hAnsi="仿宋" w:eastAsia="仿宋" w:cs="MS Mincho"/>
          <w:sz w:val="32"/>
          <w:szCs w:val="32"/>
        </w:rPr>
        <w:t>网络方式申报，网络申报的地址为：</w:t>
      </w:r>
      <w:r>
        <w:fldChar w:fldCharType="begin"/>
      </w:r>
      <w:r>
        <w:instrText xml:space="preserve"> HYPERLINK "http://pccz.court.gov.cn/pcajxxw/index/xxwsy" </w:instrText>
      </w:r>
      <w:r>
        <w:fldChar w:fldCharType="separate"/>
      </w:r>
      <w:r>
        <w:rPr>
          <w:rStyle w:val="9"/>
          <w:rFonts w:ascii="仿宋" w:hAnsi="仿宋" w:eastAsia="仿宋" w:cs="MS Mincho"/>
          <w:sz w:val="32"/>
          <w:szCs w:val="32"/>
        </w:rPr>
        <w:t>http://pccz.court.gov.cn/pcajxxw/index/xxwsy</w:t>
      </w:r>
      <w:r>
        <w:rPr>
          <w:rStyle w:val="9"/>
          <w:rFonts w:ascii="仿宋" w:hAnsi="仿宋" w:eastAsia="仿宋" w:cs="MS Mincho"/>
          <w:sz w:val="32"/>
          <w:szCs w:val="32"/>
        </w:rPr>
        <w:fldChar w:fldCharType="end"/>
      </w:r>
      <w:r>
        <w:rPr>
          <w:rFonts w:hint="eastAsia" w:ascii="仿宋" w:hAnsi="仿宋" w:eastAsia="仿宋" w:cs="MS Mincho"/>
          <w:sz w:val="32"/>
          <w:szCs w:val="32"/>
        </w:rPr>
        <w:t>。</w:t>
      </w:r>
    </w:p>
    <w:p w14:paraId="2D245F3C">
      <w:pPr>
        <w:spacing w:line="48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、债权申报注意事项</w:t>
      </w:r>
    </w:p>
    <w:p w14:paraId="0EDA9CFC">
      <w:pPr>
        <w:spacing w:line="480" w:lineRule="exact"/>
        <w:ind w:firstLine="555"/>
        <w:rPr>
          <w:rFonts w:ascii="仿宋" w:hAnsi="仿宋" w:eastAsia="仿宋"/>
          <w:b/>
          <w:sz w:val="32"/>
          <w:szCs w:val="32"/>
        </w:rPr>
      </w:pPr>
      <w:r>
        <w:rPr>
          <w:rFonts w:hint="eastAsia" w:ascii="仿宋" w:hAnsi="仿宋" w:eastAsia="仿宋"/>
          <w:b/>
          <w:sz w:val="32"/>
          <w:szCs w:val="32"/>
        </w:rPr>
        <w:t>（1）债权涉及利息（含罚息、复利）的，其利息计算至福州市中级人民法院受理对</w:t>
      </w:r>
      <w:r>
        <w:rPr>
          <w:rFonts w:hint="eastAsia" w:ascii="仿宋" w:hAnsi="仿宋" w:eastAsia="仿宋"/>
          <w:b/>
          <w:sz w:val="32"/>
          <w:szCs w:val="32"/>
          <w:lang w:eastAsia="zh-CN"/>
        </w:rPr>
        <w:t>福建卓然新能源科技有限公司</w:t>
      </w:r>
      <w:r>
        <w:rPr>
          <w:rFonts w:hint="eastAsia" w:ascii="仿宋" w:hAnsi="仿宋" w:eastAsia="仿宋"/>
          <w:b/>
          <w:sz w:val="32"/>
          <w:szCs w:val="32"/>
        </w:rPr>
        <w:t>的破产清算</w:t>
      </w:r>
      <w:r>
        <w:rPr>
          <w:rFonts w:ascii="仿宋" w:hAnsi="仿宋" w:eastAsia="仿宋"/>
          <w:b/>
          <w:sz w:val="32"/>
          <w:szCs w:val="32"/>
        </w:rPr>
        <w:t>申请之日</w:t>
      </w:r>
      <w:r>
        <w:rPr>
          <w:rFonts w:hint="eastAsia" w:ascii="仿宋" w:hAnsi="仿宋" w:eastAsia="仿宋"/>
          <w:b/>
          <w:sz w:val="32"/>
          <w:szCs w:val="32"/>
        </w:rPr>
        <w:t>(即20</w:t>
      </w:r>
      <w:r>
        <w:rPr>
          <w:rFonts w:hint="eastAsia" w:ascii="仿宋" w:hAnsi="仿宋" w:eastAsia="仿宋"/>
          <w:b/>
          <w:sz w:val="32"/>
          <w:szCs w:val="32"/>
          <w:lang w:val="en-US" w:eastAsia="zh-CN"/>
        </w:rPr>
        <w:t>24</w:t>
      </w:r>
      <w:r>
        <w:rPr>
          <w:rFonts w:hint="eastAsia" w:ascii="仿宋" w:hAnsi="仿宋" w:eastAsia="仿宋"/>
          <w:b/>
          <w:sz w:val="32"/>
          <w:szCs w:val="32"/>
        </w:rPr>
        <w:t>年</w:t>
      </w:r>
      <w:r>
        <w:rPr>
          <w:rFonts w:hint="eastAsia" w:ascii="仿宋" w:hAnsi="仿宋" w:eastAsia="仿宋"/>
          <w:b/>
          <w:sz w:val="32"/>
          <w:szCs w:val="32"/>
          <w:lang w:val="en-US" w:eastAsia="zh-CN"/>
        </w:rPr>
        <w:t>6</w:t>
      </w:r>
      <w:r>
        <w:rPr>
          <w:rFonts w:hint="eastAsia" w:ascii="仿宋" w:hAnsi="仿宋" w:eastAsia="仿宋"/>
          <w:b/>
          <w:sz w:val="32"/>
          <w:szCs w:val="32"/>
        </w:rPr>
        <w:t>月</w:t>
      </w:r>
      <w:r>
        <w:rPr>
          <w:rFonts w:hint="eastAsia" w:ascii="仿宋" w:hAnsi="仿宋" w:eastAsia="仿宋"/>
          <w:b/>
          <w:sz w:val="32"/>
          <w:szCs w:val="32"/>
          <w:lang w:val="en-US" w:eastAsia="zh-CN"/>
        </w:rPr>
        <w:t>4</w:t>
      </w:r>
      <w:r>
        <w:rPr>
          <w:rFonts w:hint="eastAsia" w:ascii="仿宋" w:hAnsi="仿宋" w:eastAsia="仿宋"/>
          <w:b/>
          <w:sz w:val="32"/>
          <w:szCs w:val="32"/>
        </w:rPr>
        <w:t>日)止。</w:t>
      </w:r>
    </w:p>
    <w:p w14:paraId="64524C6E">
      <w:pPr>
        <w:spacing w:line="480" w:lineRule="exact"/>
        <w:ind w:firstLine="555"/>
        <w:rPr>
          <w:rFonts w:ascii="仿宋" w:hAnsi="仿宋" w:eastAsia="仿宋"/>
          <w:sz w:val="32"/>
          <w:szCs w:val="32"/>
        </w:rPr>
      </w:pPr>
      <w:r>
        <w:rPr>
          <w:rFonts w:hint="eastAsia" w:ascii="仿宋" w:hAnsi="仿宋" w:eastAsia="仿宋"/>
          <w:sz w:val="32"/>
          <w:szCs w:val="32"/>
        </w:rPr>
        <w:t>（2）债权人为法人或其他组织的，申报债权时应提供营业执照复印件（加盖公章）、法定代表人身份证明（加盖公章）、法定代表人身份证复印件（签字并捺印确认）；债权人为自然人的，应提供公民身份证明复印件（签字并捺印确认）；委托代理人申报的，应提交代理人授权委托书（原件）及代理人身份证件复印件（签字并捺印确认），委托人是律师的，还应提交律师事务所的指派函（原件）及律师执业证复印件。</w:t>
      </w:r>
    </w:p>
    <w:p w14:paraId="46D47C47">
      <w:pPr>
        <w:spacing w:line="480" w:lineRule="exact"/>
        <w:ind w:firstLine="643" w:firstLineChars="200"/>
        <w:rPr>
          <w:rFonts w:ascii="仿宋" w:hAnsi="仿宋" w:eastAsia="仿宋"/>
          <w:sz w:val="32"/>
          <w:szCs w:val="32"/>
        </w:rPr>
      </w:pPr>
      <w:r>
        <w:rPr>
          <w:rFonts w:hint="eastAsia" w:ascii="仿宋" w:hAnsi="仿宋" w:eastAsia="仿宋"/>
          <w:b/>
          <w:sz w:val="32"/>
          <w:szCs w:val="32"/>
        </w:rPr>
        <w:t>5、第一次债权人会议定于20</w:t>
      </w:r>
      <w:r>
        <w:rPr>
          <w:rFonts w:hint="eastAsia" w:ascii="仿宋" w:hAnsi="仿宋" w:eastAsia="仿宋"/>
          <w:b/>
          <w:sz w:val="32"/>
          <w:szCs w:val="32"/>
          <w:lang w:val="en-US" w:eastAsia="zh-CN"/>
        </w:rPr>
        <w:t>24</w:t>
      </w:r>
      <w:r>
        <w:rPr>
          <w:rFonts w:hint="eastAsia" w:ascii="仿宋" w:hAnsi="仿宋" w:eastAsia="仿宋"/>
          <w:b/>
          <w:sz w:val="32"/>
          <w:szCs w:val="32"/>
        </w:rPr>
        <w:t>年</w:t>
      </w:r>
      <w:r>
        <w:rPr>
          <w:rFonts w:hint="eastAsia" w:ascii="仿宋" w:hAnsi="仿宋" w:eastAsia="仿宋"/>
          <w:b/>
          <w:sz w:val="32"/>
          <w:szCs w:val="32"/>
          <w:lang w:val="en-US" w:eastAsia="zh-CN"/>
        </w:rPr>
        <w:t>8</w:t>
      </w:r>
      <w:r>
        <w:rPr>
          <w:rFonts w:hint="eastAsia" w:ascii="仿宋" w:hAnsi="仿宋" w:eastAsia="仿宋"/>
          <w:b/>
          <w:sz w:val="32"/>
          <w:szCs w:val="32"/>
        </w:rPr>
        <w:t>月</w:t>
      </w:r>
      <w:r>
        <w:rPr>
          <w:rFonts w:hint="eastAsia" w:ascii="仿宋" w:hAnsi="仿宋" w:eastAsia="仿宋"/>
          <w:b/>
          <w:sz w:val="32"/>
          <w:szCs w:val="32"/>
          <w:lang w:val="en-US" w:eastAsia="zh-CN"/>
        </w:rPr>
        <w:t>20</w:t>
      </w:r>
      <w:r>
        <w:rPr>
          <w:rFonts w:hint="eastAsia" w:ascii="仿宋" w:hAnsi="仿宋" w:eastAsia="仿宋"/>
          <w:b/>
          <w:sz w:val="32"/>
          <w:szCs w:val="32"/>
        </w:rPr>
        <w:t>日</w:t>
      </w:r>
      <w:r>
        <w:rPr>
          <w:rFonts w:hint="eastAsia" w:ascii="仿宋" w:hAnsi="仿宋" w:eastAsia="仿宋"/>
          <w:b/>
          <w:sz w:val="32"/>
          <w:szCs w:val="32"/>
          <w:lang w:val="en-US" w:eastAsia="zh-CN"/>
        </w:rPr>
        <w:t>下午15:00</w:t>
      </w:r>
      <w:r>
        <w:rPr>
          <w:rStyle w:val="7"/>
          <w:rFonts w:hint="eastAsia" w:ascii="仿宋" w:hAnsi="仿宋" w:eastAsia="仿宋"/>
          <w:color w:val="000000"/>
          <w:sz w:val="32"/>
          <w:szCs w:val="32"/>
        </w:rPr>
        <w:t>（签到时间为</w:t>
      </w:r>
      <w:r>
        <w:rPr>
          <w:rStyle w:val="7"/>
          <w:rFonts w:hint="eastAsia" w:ascii="仿宋" w:hAnsi="仿宋" w:eastAsia="仿宋"/>
          <w:color w:val="000000"/>
          <w:sz w:val="32"/>
          <w:szCs w:val="32"/>
          <w:lang w:val="en-US" w:eastAsia="zh-CN"/>
        </w:rPr>
        <w:t>14</w:t>
      </w:r>
      <w:r>
        <w:rPr>
          <w:rStyle w:val="7"/>
          <w:rFonts w:hint="eastAsia" w:ascii="仿宋" w:hAnsi="仿宋" w:eastAsia="仿宋"/>
          <w:color w:val="000000"/>
          <w:sz w:val="32"/>
          <w:szCs w:val="32"/>
          <w:lang w:eastAsia="zh-CN"/>
        </w:rPr>
        <w:t>：</w:t>
      </w:r>
      <w:r>
        <w:rPr>
          <w:rStyle w:val="7"/>
          <w:rFonts w:hint="eastAsia" w:ascii="仿宋" w:hAnsi="仿宋" w:eastAsia="仿宋"/>
          <w:color w:val="000000"/>
          <w:sz w:val="32"/>
          <w:szCs w:val="32"/>
          <w:lang w:val="en-US" w:eastAsia="zh-CN"/>
        </w:rPr>
        <w:t>00</w:t>
      </w:r>
      <w:r>
        <w:rPr>
          <w:rStyle w:val="7"/>
          <w:rFonts w:hint="eastAsia" w:ascii="仿宋" w:hAnsi="仿宋" w:eastAsia="仿宋"/>
          <w:color w:val="000000"/>
          <w:sz w:val="32"/>
          <w:szCs w:val="32"/>
        </w:rPr>
        <w:t>）</w:t>
      </w:r>
      <w:r>
        <w:rPr>
          <w:rFonts w:hint="eastAsia" w:ascii="仿宋" w:hAnsi="仿宋" w:eastAsia="仿宋"/>
          <w:b/>
          <w:sz w:val="32"/>
          <w:szCs w:val="32"/>
        </w:rPr>
        <w:t>在</w:t>
      </w:r>
      <w:r>
        <w:rPr>
          <w:rFonts w:hint="eastAsia" w:ascii="仿宋" w:hAnsi="仿宋" w:eastAsia="仿宋"/>
          <w:b/>
          <w:sz w:val="32"/>
          <w:szCs w:val="32"/>
          <w:lang w:val="en-US" w:eastAsia="zh-CN"/>
        </w:rPr>
        <w:t>福建省福州市马尾区人民法院自由贸易区法庭</w:t>
      </w:r>
      <w:r>
        <w:rPr>
          <w:rFonts w:ascii="仿宋" w:hAnsi="仿宋" w:eastAsia="仿宋"/>
          <w:b/>
          <w:sz w:val="32"/>
          <w:szCs w:val="32"/>
        </w:rPr>
        <w:t>召开</w:t>
      </w:r>
      <w:r>
        <w:rPr>
          <w:rFonts w:hint="eastAsia" w:ascii="仿宋" w:hAnsi="仿宋" w:eastAsia="仿宋"/>
          <w:b/>
          <w:sz w:val="32"/>
          <w:szCs w:val="32"/>
        </w:rPr>
        <w:t>，你方依法申报债权后有权利参加。</w:t>
      </w:r>
      <w:r>
        <w:rPr>
          <w:rFonts w:hint="eastAsia" w:ascii="仿宋" w:hAnsi="仿宋" w:eastAsia="仿宋"/>
          <w:color w:val="000000"/>
          <w:sz w:val="32"/>
          <w:szCs w:val="32"/>
        </w:rPr>
        <w:t>参加会议的债权人系法人或其他组织的应提交营业执照、法定代表人或负责人身份证明、法定代表人身份证复印件；参加会议的债权人系自然人的，应提供公民身份证明复印件；委托代理人出席会议应提交</w:t>
      </w:r>
      <w:r>
        <w:rPr>
          <w:rStyle w:val="7"/>
          <w:rFonts w:hint="eastAsia" w:ascii="仿宋" w:hAnsi="仿宋" w:eastAsia="仿宋"/>
          <w:color w:val="000000"/>
          <w:sz w:val="32"/>
          <w:szCs w:val="32"/>
        </w:rPr>
        <w:t>特别授权委托书</w:t>
      </w:r>
      <w:r>
        <w:rPr>
          <w:rFonts w:hint="eastAsia" w:ascii="仿宋" w:hAnsi="仿宋" w:eastAsia="仿宋"/>
          <w:color w:val="000000"/>
          <w:sz w:val="32"/>
          <w:szCs w:val="32"/>
        </w:rPr>
        <w:t>及代理人身份证件复印件，受委托人是律师的，还应提交律师事务所的指派函及律师执业证复印件。</w:t>
      </w:r>
    </w:p>
    <w:p w14:paraId="7DB4A806">
      <w:pPr>
        <w:spacing w:line="480" w:lineRule="exact"/>
        <w:ind w:firstLine="640" w:firstLineChars="200"/>
        <w:rPr>
          <w:rFonts w:ascii="仿宋" w:hAnsi="仿宋" w:eastAsia="仿宋"/>
          <w:sz w:val="32"/>
          <w:szCs w:val="32"/>
        </w:rPr>
      </w:pPr>
      <w:r>
        <w:rPr>
          <w:rFonts w:ascii="仿宋" w:hAnsi="仿宋" w:eastAsia="仿宋"/>
          <w:sz w:val="32"/>
          <w:szCs w:val="32"/>
        </w:rPr>
        <w:t>特此通知</w:t>
      </w:r>
      <w:r>
        <w:rPr>
          <w:rFonts w:hint="eastAsia" w:ascii="仿宋" w:hAnsi="仿宋" w:eastAsia="仿宋"/>
          <w:sz w:val="32"/>
          <w:szCs w:val="32"/>
        </w:rPr>
        <w:t>。</w:t>
      </w:r>
    </w:p>
    <w:p w14:paraId="44F07453">
      <w:pPr>
        <w:spacing w:line="480" w:lineRule="exact"/>
        <w:ind w:firstLine="640" w:firstLineChars="200"/>
        <w:rPr>
          <w:rFonts w:hint="eastAsia" w:ascii="仿宋" w:hAnsi="仿宋" w:eastAsia="仿宋"/>
          <w:sz w:val="32"/>
          <w:szCs w:val="32"/>
        </w:rPr>
      </w:pPr>
    </w:p>
    <w:p w14:paraId="408754FD">
      <w:pPr>
        <w:spacing w:after="312" w:afterLines="100" w:line="480" w:lineRule="exact"/>
        <w:jc w:val="right"/>
        <w:rPr>
          <w:rFonts w:hint="eastAsia" w:ascii="仿宋" w:hAnsi="仿宋" w:eastAsia="仿宋"/>
          <w:sz w:val="32"/>
          <w:szCs w:val="32"/>
          <w:lang w:eastAsia="zh-CN"/>
        </w:rPr>
      </w:pPr>
      <w:r>
        <w:rPr>
          <w:rFonts w:ascii="仿宋" w:hAnsi="仿宋" w:eastAsia="仿宋"/>
          <w:sz w:val="32"/>
          <w:szCs w:val="32"/>
        </w:rPr>
        <w:t xml:space="preserve">                 </w:t>
      </w:r>
      <w:r>
        <w:rPr>
          <w:rFonts w:hint="eastAsia" w:ascii="仿宋" w:hAnsi="仿宋" w:eastAsia="仿宋"/>
          <w:sz w:val="32"/>
          <w:szCs w:val="32"/>
          <w:lang w:eastAsia="zh-CN"/>
        </w:rPr>
        <w:t>福建卓然新能源科技有限公司</w:t>
      </w:r>
      <w:r>
        <w:rPr>
          <w:rFonts w:hint="eastAsia" w:ascii="仿宋" w:hAnsi="仿宋" w:eastAsia="仿宋"/>
          <w:color w:val="000000"/>
          <w:sz w:val="32"/>
          <w:szCs w:val="32"/>
          <w:lang w:val="en-US" w:eastAsia="zh-CN"/>
        </w:rPr>
        <w:t>管理人</w:t>
      </w:r>
    </w:p>
    <w:p w14:paraId="6EF77C86">
      <w:pPr>
        <w:wordWrap w:val="0"/>
        <w:spacing w:line="480" w:lineRule="exact"/>
        <w:jc w:val="right"/>
        <w:rPr>
          <w:rFonts w:ascii="仿宋" w:hAnsi="仿宋" w:eastAsia="仿宋"/>
          <w:b/>
          <w:sz w:val="32"/>
          <w:szCs w:val="32"/>
        </w:rPr>
      </w:pP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ascii="仿宋" w:hAnsi="仿宋" w:eastAsia="仿宋"/>
          <w:sz w:val="32"/>
          <w:szCs w:val="32"/>
        </w:rPr>
        <w:t xml:space="preserve">  二〇</w:t>
      </w:r>
      <w:r>
        <w:rPr>
          <w:rFonts w:hint="eastAsia" w:ascii="仿宋" w:hAnsi="仿宋" w:eastAsia="仿宋"/>
          <w:sz w:val="32"/>
          <w:szCs w:val="32"/>
          <w:lang w:val="en-US" w:eastAsia="zh-CN"/>
        </w:rPr>
        <w:t>二四</w:t>
      </w:r>
      <w:r>
        <w:rPr>
          <w:rFonts w:ascii="仿宋" w:hAnsi="仿宋" w:eastAsia="仿宋"/>
          <w:sz w:val="32"/>
          <w:szCs w:val="32"/>
        </w:rPr>
        <w:t>年</w:t>
      </w:r>
      <w:r>
        <w:rPr>
          <w:rFonts w:hint="eastAsia" w:ascii="仿宋" w:hAnsi="仿宋" w:eastAsia="仿宋"/>
          <w:sz w:val="32"/>
          <w:szCs w:val="32"/>
          <w:lang w:val="en-US" w:eastAsia="zh-CN"/>
        </w:rPr>
        <w:t>七</w:t>
      </w:r>
      <w:r>
        <w:rPr>
          <w:rFonts w:hint="eastAsia" w:ascii="仿宋" w:hAnsi="仿宋" w:eastAsia="仿宋"/>
          <w:sz w:val="32"/>
          <w:szCs w:val="32"/>
        </w:rPr>
        <w:t>月</w:t>
      </w:r>
      <w:r>
        <w:rPr>
          <w:rFonts w:hint="eastAsia" w:ascii="仿宋" w:hAnsi="仿宋" w:eastAsia="仿宋"/>
          <w:sz w:val="32"/>
          <w:szCs w:val="32"/>
          <w:lang w:val="en-US" w:eastAsia="zh-CN"/>
        </w:rPr>
        <w:t>九</w:t>
      </w:r>
      <w:bookmarkStart w:id="0" w:name="_GoBack"/>
      <w:bookmarkEnd w:id="0"/>
      <w:r>
        <w:rPr>
          <w:rFonts w:hint="eastAsia" w:ascii="仿宋" w:hAnsi="仿宋" w:eastAsia="仿宋"/>
          <w:sz w:val="32"/>
          <w:szCs w:val="32"/>
        </w:rPr>
        <w:t>日</w:t>
      </w:r>
    </w:p>
    <w:sectPr>
      <w:footerReference r:id="rId3" w:type="default"/>
      <w:pgSz w:w="11906" w:h="16838"/>
      <w:pgMar w:top="1276"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8624276"/>
      <w:docPartObj>
        <w:docPartGallery w:val="autotext"/>
      </w:docPartObj>
    </w:sdtPr>
    <w:sdtContent>
      <w:p w14:paraId="209A568B">
        <w:pPr>
          <w:pStyle w:val="3"/>
          <w:jc w:val="center"/>
        </w:pPr>
        <w:r>
          <w:fldChar w:fldCharType="begin"/>
        </w:r>
        <w:r>
          <w:instrText xml:space="preserve">PAGE   \* MERGEFORMAT</w:instrText>
        </w:r>
        <w:r>
          <w:fldChar w:fldCharType="separate"/>
        </w:r>
        <w:r>
          <w:rPr>
            <w:lang w:val="zh-CN"/>
          </w:rPr>
          <w:t>2</w:t>
        </w:r>
        <w:r>
          <w:fldChar w:fldCharType="end"/>
        </w:r>
      </w:p>
    </w:sdtContent>
  </w:sdt>
  <w:p w14:paraId="4C220A9B">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czMjEzNGYzYmY2ZDAwZTZlMWQ4MDk0YWRhMjQxZGIifQ=="/>
  </w:docVars>
  <w:rsids>
    <w:rsidRoot w:val="008E60CF"/>
    <w:rsid w:val="000109D9"/>
    <w:rsid w:val="00067E3F"/>
    <w:rsid w:val="000B394B"/>
    <w:rsid w:val="000E0138"/>
    <w:rsid w:val="001802F9"/>
    <w:rsid w:val="001B0CAC"/>
    <w:rsid w:val="001F371E"/>
    <w:rsid w:val="00235355"/>
    <w:rsid w:val="0024428D"/>
    <w:rsid w:val="00244405"/>
    <w:rsid w:val="0026568A"/>
    <w:rsid w:val="00272F47"/>
    <w:rsid w:val="00286436"/>
    <w:rsid w:val="00295450"/>
    <w:rsid w:val="002B412D"/>
    <w:rsid w:val="002C2430"/>
    <w:rsid w:val="00324412"/>
    <w:rsid w:val="00351775"/>
    <w:rsid w:val="003B074F"/>
    <w:rsid w:val="003B42FC"/>
    <w:rsid w:val="003C3426"/>
    <w:rsid w:val="003E05F2"/>
    <w:rsid w:val="003F4C97"/>
    <w:rsid w:val="003F6DA6"/>
    <w:rsid w:val="0040784E"/>
    <w:rsid w:val="004C4390"/>
    <w:rsid w:val="004C7E58"/>
    <w:rsid w:val="004E65E3"/>
    <w:rsid w:val="005038C5"/>
    <w:rsid w:val="00530A24"/>
    <w:rsid w:val="00530A49"/>
    <w:rsid w:val="005315C2"/>
    <w:rsid w:val="00557A9A"/>
    <w:rsid w:val="0057399B"/>
    <w:rsid w:val="00622BD1"/>
    <w:rsid w:val="0064342C"/>
    <w:rsid w:val="00674DCD"/>
    <w:rsid w:val="0069654C"/>
    <w:rsid w:val="006F5D29"/>
    <w:rsid w:val="00744814"/>
    <w:rsid w:val="00774053"/>
    <w:rsid w:val="007A221E"/>
    <w:rsid w:val="007A3337"/>
    <w:rsid w:val="007C1CA5"/>
    <w:rsid w:val="007F2F31"/>
    <w:rsid w:val="00806404"/>
    <w:rsid w:val="008755E3"/>
    <w:rsid w:val="008A644B"/>
    <w:rsid w:val="008B5E3A"/>
    <w:rsid w:val="008E1C45"/>
    <w:rsid w:val="008E5553"/>
    <w:rsid w:val="008E60CF"/>
    <w:rsid w:val="008F098B"/>
    <w:rsid w:val="008F2A27"/>
    <w:rsid w:val="008F45C6"/>
    <w:rsid w:val="008F7886"/>
    <w:rsid w:val="009070F1"/>
    <w:rsid w:val="0092468E"/>
    <w:rsid w:val="009367D2"/>
    <w:rsid w:val="00955C9C"/>
    <w:rsid w:val="009E60FF"/>
    <w:rsid w:val="009E64BD"/>
    <w:rsid w:val="00A10B7A"/>
    <w:rsid w:val="00A95304"/>
    <w:rsid w:val="00AA3962"/>
    <w:rsid w:val="00B400D0"/>
    <w:rsid w:val="00B574DB"/>
    <w:rsid w:val="00B81A32"/>
    <w:rsid w:val="00BC7ADD"/>
    <w:rsid w:val="00BE3E0A"/>
    <w:rsid w:val="00C33BC3"/>
    <w:rsid w:val="00C9307C"/>
    <w:rsid w:val="00CC345C"/>
    <w:rsid w:val="00CC5405"/>
    <w:rsid w:val="00CC7C98"/>
    <w:rsid w:val="00CE444D"/>
    <w:rsid w:val="00CF5FE6"/>
    <w:rsid w:val="00D26224"/>
    <w:rsid w:val="00D426D5"/>
    <w:rsid w:val="00D45389"/>
    <w:rsid w:val="00D61C3E"/>
    <w:rsid w:val="00DC1E08"/>
    <w:rsid w:val="00DD6920"/>
    <w:rsid w:val="00E31A30"/>
    <w:rsid w:val="00E76B01"/>
    <w:rsid w:val="00E906A4"/>
    <w:rsid w:val="00ED0D4A"/>
    <w:rsid w:val="00F2548F"/>
    <w:rsid w:val="00F27893"/>
    <w:rsid w:val="00F709F3"/>
    <w:rsid w:val="00F83797"/>
    <w:rsid w:val="00FB251E"/>
    <w:rsid w:val="00FD267C"/>
    <w:rsid w:val="06E77892"/>
    <w:rsid w:val="214B34CF"/>
    <w:rsid w:val="243E4CE8"/>
    <w:rsid w:val="31F5271A"/>
    <w:rsid w:val="34686994"/>
    <w:rsid w:val="360520AD"/>
    <w:rsid w:val="3BE76111"/>
    <w:rsid w:val="57E14F45"/>
    <w:rsid w:val="5EE7752F"/>
    <w:rsid w:val="614930F2"/>
    <w:rsid w:val="64614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FollowedHyperlink"/>
    <w:basedOn w:val="6"/>
    <w:semiHidden/>
    <w:unhideWhenUsed/>
    <w:qFormat/>
    <w:uiPriority w:val="99"/>
    <w:rPr>
      <w:color w:val="954F72" w:themeColor="followedHyperlink"/>
      <w:u w:val="single"/>
      <w14:textFill>
        <w14:solidFill>
          <w14:schemeClr w14:val="folHlink"/>
        </w14:solidFill>
      </w14:textFill>
    </w:rPr>
  </w:style>
  <w:style w:type="character" w:styleId="9">
    <w:name w:val="Hyperlink"/>
    <w:basedOn w:val="6"/>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批注框文本 字符"/>
    <w:basedOn w:val="6"/>
    <w:link w:val="2"/>
    <w:semiHidden/>
    <w:qFormat/>
    <w:uiPriority w:val="99"/>
    <w:rPr>
      <w:sz w:val="18"/>
      <w:szCs w:val="18"/>
    </w:rPr>
  </w:style>
  <w:style w:type="character" w:customStyle="1" w:styleId="12">
    <w:name w:val="页眉 字符"/>
    <w:basedOn w:val="6"/>
    <w:link w:val="4"/>
    <w:qFormat/>
    <w:uiPriority w:val="99"/>
    <w:rPr>
      <w:sz w:val="18"/>
      <w:szCs w:val="18"/>
    </w:rPr>
  </w:style>
  <w:style w:type="character" w:customStyle="1" w:styleId="13">
    <w:name w:val="页脚 字符"/>
    <w:basedOn w:val="6"/>
    <w:link w:val="3"/>
    <w:qFormat/>
    <w:uiPriority w:val="99"/>
    <w:rPr>
      <w:sz w:val="18"/>
      <w:szCs w:val="18"/>
    </w:rPr>
  </w:style>
  <w:style w:type="character" w:customStyle="1" w:styleId="14">
    <w:name w:val="Unresolved Mention"/>
    <w:basedOn w:val="6"/>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DA7169-ADC7-4D37-8386-AFC48A89CD11}">
  <ds:schemaRefs/>
</ds:datastoreItem>
</file>

<file path=docProps/app.xml><?xml version="1.0" encoding="utf-8"?>
<Properties xmlns="http://schemas.openxmlformats.org/officeDocument/2006/extended-properties" xmlns:vt="http://schemas.openxmlformats.org/officeDocument/2006/docPropsVTypes">
  <Template>Normal</Template>
  <Pages>2</Pages>
  <Words>1004</Words>
  <Characters>1102</Characters>
  <Lines>9</Lines>
  <Paragraphs>2</Paragraphs>
  <TotalTime>0</TotalTime>
  <ScaleCrop>false</ScaleCrop>
  <LinksUpToDate>false</LinksUpToDate>
  <CharactersWithSpaces>1143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2018-08-15T13:49:00Z</dcterms:created>
  <dc:creator>2741220269@qq.com</dc:creator>
  <cp:lastModifiedBy>Leah</cp:lastModifiedBy>
  <cp:lastPrinted>2018-04-24T07:51:00Z</cp:lastPrinted>
  <dcterms:modified xsi:type="dcterms:W3CDTF">2024-07-09T10:04:01Z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1D76578120C14050B31FAE61CD6071ED</vt:lpwstr>
  </property>
</Properties>
</file>