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15638DF">
      <w:pPr>
        <w:pStyle w:val="6"/>
        <w:widowControl/>
        <w:spacing w:beforeAutospacing="0" w:afterAutospacing="0" w:line="324" w:lineRule="atLeast"/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福建卓然新能源科技有限公司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破产清算案</w:t>
      </w:r>
    </w:p>
    <w:p w14:paraId="0E0351AD">
      <w:pPr>
        <w:pStyle w:val="6"/>
        <w:widowControl/>
        <w:spacing w:beforeAutospacing="0" w:afterAutospacing="0" w:line="324" w:lineRule="atLeast"/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补充申报债权的审查和确认收费标准</w:t>
      </w:r>
    </w:p>
    <w:p w14:paraId="6F2A5D9C">
      <w:pPr>
        <w:pStyle w:val="6"/>
        <w:widowControl/>
        <w:spacing w:beforeAutospacing="0" w:afterAutospacing="0" w:line="324" w:lineRule="atLeast"/>
        <w:jc w:val="center"/>
        <w:rPr>
          <w:rStyle w:val="9"/>
          <w:rFonts w:ascii="仿宋" w:hAnsi="仿宋" w:eastAsia="仿宋" w:cs="仿宋"/>
          <w:bCs/>
          <w:sz w:val="36"/>
          <w:szCs w:val="36"/>
        </w:rPr>
      </w:pPr>
    </w:p>
    <w:p w14:paraId="710C7958">
      <w:pPr>
        <w:spacing w:after="156" w:afterLines="50" w:line="480" w:lineRule="exact"/>
        <w:rPr>
          <w:rFonts w:ascii="仿宋" w:hAnsi="仿宋" w:eastAsia="仿宋" w:cs="仿宋"/>
          <w:b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sz w:val="28"/>
          <w:szCs w:val="28"/>
          <w:u w:val="single"/>
          <w:lang w:eastAsia="zh-CN"/>
        </w:rPr>
        <w:t>福建卓然新能源科技有限公司</w:t>
      </w:r>
      <w:r>
        <w:rPr>
          <w:rFonts w:hint="eastAsia" w:ascii="仿宋" w:hAnsi="仿宋" w:eastAsia="仿宋" w:cs="仿宋"/>
          <w:b/>
          <w:sz w:val="28"/>
          <w:szCs w:val="28"/>
          <w:u w:val="single"/>
        </w:rPr>
        <w:t>债权人：</w:t>
      </w:r>
    </w:p>
    <w:p w14:paraId="4B84543C">
      <w:pPr>
        <w:spacing w:after="50" w:line="480" w:lineRule="exact"/>
        <w:ind w:firstLine="56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福州市中级人民法院根据</w:t>
      </w:r>
      <w:r>
        <w:rPr>
          <w:rFonts w:hint="eastAsia" w:ascii="仿宋" w:hAnsi="仿宋" w:eastAsia="仿宋" w:cs="仿宋"/>
          <w:sz w:val="28"/>
          <w:lang w:val="en-US" w:eastAsia="zh-CN"/>
        </w:rPr>
        <w:t>厦门老规矩信息技术有限公司</w:t>
      </w:r>
      <w:r>
        <w:rPr>
          <w:rFonts w:hint="eastAsia" w:ascii="仿宋" w:hAnsi="仿宋" w:eastAsia="仿宋" w:cs="仿宋"/>
          <w:sz w:val="28"/>
        </w:rPr>
        <w:t>的申请，于202</w:t>
      </w:r>
      <w:r>
        <w:rPr>
          <w:rFonts w:hint="eastAsia" w:ascii="仿宋" w:hAnsi="仿宋" w:eastAsia="仿宋" w:cs="仿宋"/>
          <w:sz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</w:rPr>
        <w:t>年</w:t>
      </w:r>
      <w:r>
        <w:rPr>
          <w:rFonts w:hint="eastAsia" w:ascii="仿宋" w:hAnsi="仿宋" w:eastAsia="仿宋" w:cs="仿宋"/>
          <w:sz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</w:rPr>
        <w:t>月</w:t>
      </w:r>
      <w:r>
        <w:rPr>
          <w:rFonts w:hint="eastAsia" w:ascii="仿宋" w:hAnsi="仿宋" w:eastAsia="仿宋" w:cs="仿宋"/>
          <w:sz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</w:rPr>
        <w:t>日裁定受理</w:t>
      </w:r>
      <w:r>
        <w:rPr>
          <w:rFonts w:hint="eastAsia" w:ascii="仿宋" w:hAnsi="仿宋" w:eastAsia="仿宋" w:cs="仿宋"/>
          <w:sz w:val="28"/>
          <w:lang w:eastAsia="zh-CN"/>
        </w:rPr>
        <w:t>福建卓然新能源科技有限公司</w:t>
      </w:r>
      <w:r>
        <w:rPr>
          <w:rFonts w:hint="eastAsia" w:ascii="仿宋" w:hAnsi="仿宋" w:eastAsia="仿宋" w:cs="仿宋"/>
          <w:sz w:val="28"/>
        </w:rPr>
        <w:t>破产清算一案，并指令福建省</w:t>
      </w:r>
      <w:r>
        <w:rPr>
          <w:rFonts w:hint="eastAsia" w:ascii="仿宋" w:hAnsi="仿宋" w:eastAsia="仿宋" w:cs="仿宋"/>
          <w:sz w:val="28"/>
          <w:lang w:eastAsia="zh-CN"/>
        </w:rPr>
        <w:t>福州市</w:t>
      </w:r>
      <w:r>
        <w:rPr>
          <w:rFonts w:hint="eastAsia" w:ascii="仿宋" w:hAnsi="仿宋" w:eastAsia="仿宋" w:cs="仿宋"/>
          <w:sz w:val="28"/>
          <w:lang w:val="en-US" w:eastAsia="zh-CN"/>
        </w:rPr>
        <w:t>马尾区</w:t>
      </w:r>
      <w:r>
        <w:rPr>
          <w:rFonts w:hint="eastAsia" w:ascii="仿宋" w:hAnsi="仿宋" w:eastAsia="仿宋" w:cs="仿宋"/>
          <w:sz w:val="28"/>
        </w:rPr>
        <w:t>法院审理。经福建省</w:t>
      </w:r>
      <w:r>
        <w:rPr>
          <w:rFonts w:hint="eastAsia" w:ascii="仿宋" w:hAnsi="仿宋" w:eastAsia="仿宋" w:cs="仿宋"/>
          <w:sz w:val="28"/>
          <w:lang w:eastAsia="zh-CN"/>
        </w:rPr>
        <w:t>福州市</w:t>
      </w:r>
      <w:r>
        <w:rPr>
          <w:rFonts w:hint="eastAsia" w:ascii="仿宋" w:hAnsi="仿宋" w:eastAsia="仿宋" w:cs="仿宋"/>
          <w:sz w:val="28"/>
          <w:lang w:val="en-US" w:eastAsia="zh-CN"/>
        </w:rPr>
        <w:t>马尾区</w:t>
      </w:r>
      <w:r>
        <w:rPr>
          <w:rFonts w:hint="eastAsia" w:ascii="仿宋" w:hAnsi="仿宋" w:eastAsia="仿宋" w:cs="仿宋"/>
          <w:sz w:val="28"/>
        </w:rPr>
        <w:t>法院随机</w:t>
      </w:r>
      <w:r>
        <w:rPr>
          <w:rFonts w:hint="eastAsia" w:ascii="仿宋" w:hAnsi="仿宋" w:eastAsia="仿宋" w:cs="仿宋"/>
          <w:sz w:val="28"/>
          <w:lang w:eastAsia="zh-CN"/>
        </w:rPr>
        <w:t>指</w:t>
      </w:r>
      <w:r>
        <w:rPr>
          <w:rFonts w:hint="eastAsia" w:ascii="仿宋" w:hAnsi="仿宋" w:eastAsia="仿宋" w:cs="仿宋"/>
          <w:sz w:val="28"/>
        </w:rPr>
        <w:t>定福建</w:t>
      </w:r>
      <w:r>
        <w:rPr>
          <w:rFonts w:hint="eastAsia" w:ascii="仿宋" w:hAnsi="仿宋" w:eastAsia="仿宋" w:cs="仿宋"/>
          <w:sz w:val="28"/>
          <w:lang w:eastAsia="zh-CN"/>
        </w:rPr>
        <w:t>新世通</w:t>
      </w:r>
      <w:r>
        <w:rPr>
          <w:rFonts w:hint="eastAsia" w:ascii="仿宋" w:hAnsi="仿宋" w:eastAsia="仿宋" w:cs="仿宋"/>
          <w:sz w:val="28"/>
        </w:rPr>
        <w:t>律师事务所担任</w:t>
      </w:r>
      <w:r>
        <w:rPr>
          <w:rFonts w:hint="eastAsia" w:ascii="仿宋" w:hAnsi="仿宋" w:eastAsia="仿宋" w:cs="仿宋"/>
          <w:sz w:val="28"/>
          <w:lang w:eastAsia="zh-CN"/>
        </w:rPr>
        <w:t>福建卓然新能源科技有限公司</w:t>
      </w:r>
      <w:r>
        <w:rPr>
          <w:rFonts w:hint="eastAsia" w:ascii="仿宋" w:hAnsi="仿宋" w:eastAsia="仿宋" w:cs="仿宋"/>
          <w:sz w:val="28"/>
        </w:rPr>
        <w:t>管理人。</w:t>
      </w:r>
    </w:p>
    <w:p w14:paraId="14FF55D3">
      <w:pPr>
        <w:spacing w:after="50" w:line="480" w:lineRule="exact"/>
        <w:ind w:firstLine="56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依照《中华人民共和国企业破产法》的规定，</w:t>
      </w:r>
      <w:r>
        <w:rPr>
          <w:rFonts w:hint="eastAsia" w:ascii="仿宋" w:hAnsi="仿宋" w:eastAsia="仿宋" w:cs="仿宋"/>
          <w:sz w:val="28"/>
          <w:lang w:eastAsia="zh-CN"/>
        </w:rPr>
        <w:t>福建卓然新能源科技有限公司</w:t>
      </w:r>
      <w:r>
        <w:rPr>
          <w:rFonts w:hint="eastAsia" w:ascii="仿宋" w:hAnsi="仿宋" w:eastAsia="仿宋" w:cs="仿宋"/>
          <w:sz w:val="28"/>
        </w:rPr>
        <w:t>各债权人应当在人民法院确定的债权申报期限内申报债权，未在确定的债权申报期限内申报债权的，可以在破产财产最后分配前补充申报，但应当承担因审查和确认补充申报债权而产生的费用。故此，为保障破产清算程序的顺利进行和全体债权人的利益，同时考虑到尽量减轻逾期申报人的费用成本，经研究决定，管理人将参照人民法院关于财产纠纷案件收费标准基础上下浮20%收取逾期补充申报债权的审查费用。收取逾期补充申报债权的审查费用的三分之一归入</w:t>
      </w:r>
      <w:r>
        <w:rPr>
          <w:rFonts w:hint="eastAsia" w:ascii="仿宋" w:hAnsi="仿宋" w:eastAsia="仿宋" w:cs="仿宋"/>
          <w:sz w:val="28"/>
          <w:lang w:eastAsia="zh-CN"/>
        </w:rPr>
        <w:t>福建卓然新能源科技有限公司</w:t>
      </w:r>
      <w:r>
        <w:rPr>
          <w:rFonts w:hint="eastAsia" w:ascii="仿宋" w:hAnsi="仿宋" w:eastAsia="仿宋" w:cs="仿宋"/>
          <w:sz w:val="28"/>
        </w:rPr>
        <w:t>破产财产范围，三分之二归入</w:t>
      </w:r>
      <w:r>
        <w:rPr>
          <w:rFonts w:hint="eastAsia" w:ascii="仿宋" w:hAnsi="仿宋" w:eastAsia="仿宋" w:cs="仿宋"/>
          <w:sz w:val="28"/>
          <w:lang w:eastAsia="zh-CN"/>
        </w:rPr>
        <w:t>福建卓然新能源科技有限公司</w:t>
      </w:r>
      <w:r>
        <w:rPr>
          <w:rFonts w:hint="eastAsia" w:ascii="仿宋" w:hAnsi="仿宋" w:eastAsia="仿宋" w:cs="仿宋"/>
          <w:sz w:val="28"/>
        </w:rPr>
        <w:t>管理人所有。逾期申报人不按照本办法缴纳相关审查费用的，属于未依法申报债权的情形，管理人将不作为债权登记，逾期申报人也不得依照《中华人民共和国企业破产法》规定的程序行使权利。</w:t>
      </w:r>
    </w:p>
    <w:p w14:paraId="21F5E468">
      <w:pPr>
        <w:spacing w:after="50" w:line="480" w:lineRule="exact"/>
        <w:ind w:firstLine="560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特此告知</w:t>
      </w:r>
    </w:p>
    <w:p w14:paraId="2519C6AF">
      <w:pPr>
        <w:pStyle w:val="6"/>
        <w:widowControl/>
        <w:spacing w:beforeAutospacing="0" w:after="50" w:afterAutospacing="0" w:line="480" w:lineRule="exact"/>
        <w:jc w:val="right"/>
        <w:rPr>
          <w:rStyle w:val="9"/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Style w:val="9"/>
          <w:rFonts w:hint="eastAsia" w:ascii="仿宋" w:hAnsi="仿宋" w:eastAsia="仿宋" w:cs="仿宋"/>
          <w:sz w:val="28"/>
          <w:szCs w:val="28"/>
          <w:lang w:val="en-US" w:eastAsia="zh-CN"/>
        </w:rPr>
        <w:t>福建卓然新能源科技有限公司管理人</w:t>
      </w:r>
    </w:p>
    <w:p w14:paraId="24CB644C">
      <w:pPr>
        <w:pStyle w:val="6"/>
        <w:widowControl/>
        <w:spacing w:beforeAutospacing="0" w:after="50" w:afterAutospacing="0" w:line="480" w:lineRule="exact"/>
        <w:jc w:val="right"/>
        <w:rPr>
          <w:rStyle w:val="9"/>
          <w:rFonts w:ascii="仿宋" w:hAnsi="仿宋" w:eastAsia="仿宋" w:cs="仿宋"/>
          <w:sz w:val="28"/>
          <w:szCs w:val="28"/>
        </w:rPr>
      </w:pPr>
      <w:r>
        <w:rPr>
          <w:rStyle w:val="9"/>
          <w:rFonts w:hint="eastAsia" w:ascii="仿宋" w:hAnsi="仿宋" w:eastAsia="仿宋" w:cs="仿宋"/>
          <w:sz w:val="28"/>
          <w:szCs w:val="28"/>
        </w:rPr>
        <w:t>二〇</w:t>
      </w:r>
      <w:r>
        <w:rPr>
          <w:rStyle w:val="9"/>
          <w:rFonts w:hint="eastAsia" w:ascii="仿宋" w:hAnsi="仿宋" w:eastAsia="仿宋" w:cs="仿宋"/>
          <w:sz w:val="28"/>
          <w:szCs w:val="28"/>
          <w:lang w:val="en-US" w:eastAsia="zh-CN"/>
        </w:rPr>
        <w:t>二四</w:t>
      </w:r>
      <w:r>
        <w:rPr>
          <w:rStyle w:val="9"/>
          <w:rFonts w:hint="eastAsia" w:ascii="仿宋" w:hAnsi="仿宋" w:eastAsia="仿宋" w:cs="仿宋"/>
          <w:sz w:val="28"/>
          <w:szCs w:val="28"/>
        </w:rPr>
        <w:t>年</w:t>
      </w:r>
      <w:r>
        <w:rPr>
          <w:rStyle w:val="9"/>
          <w:rFonts w:hint="eastAsia" w:ascii="仿宋" w:hAnsi="仿宋" w:eastAsia="仿宋" w:cs="仿宋"/>
          <w:sz w:val="28"/>
          <w:szCs w:val="28"/>
          <w:lang w:val="en-US" w:eastAsia="zh-CN"/>
        </w:rPr>
        <w:t>七</w:t>
      </w:r>
      <w:r>
        <w:rPr>
          <w:rStyle w:val="9"/>
          <w:rFonts w:hint="eastAsia" w:ascii="仿宋" w:hAnsi="仿宋" w:eastAsia="仿宋" w:cs="仿宋"/>
          <w:sz w:val="28"/>
          <w:szCs w:val="28"/>
        </w:rPr>
        <w:t>月</w:t>
      </w:r>
      <w:r>
        <w:rPr>
          <w:rStyle w:val="9"/>
          <w:rFonts w:hint="eastAsia" w:ascii="仿宋" w:hAnsi="仿宋" w:eastAsia="仿宋" w:cs="仿宋"/>
          <w:sz w:val="28"/>
          <w:szCs w:val="28"/>
          <w:lang w:val="en-US" w:eastAsia="zh-CN"/>
        </w:rPr>
        <w:t>九</w:t>
      </w:r>
      <w:bookmarkStart w:id="0" w:name="_GoBack"/>
      <w:bookmarkEnd w:id="0"/>
      <w:r>
        <w:rPr>
          <w:rStyle w:val="9"/>
          <w:rFonts w:hint="eastAsia" w:ascii="仿宋" w:hAnsi="仿宋" w:eastAsia="仿宋" w:cs="仿宋"/>
          <w:sz w:val="28"/>
          <w:szCs w:val="28"/>
        </w:rPr>
        <w:t>日</w:t>
      </w:r>
    </w:p>
    <w:p w14:paraId="608DA915">
      <w:pPr>
        <w:pStyle w:val="6"/>
        <w:widowControl/>
        <w:spacing w:beforeAutospacing="0" w:after="50" w:afterAutospacing="0" w:line="480" w:lineRule="exact"/>
        <w:ind w:left="3780" w:firstLine="420"/>
        <w:jc w:val="center"/>
        <w:rPr>
          <w:rStyle w:val="9"/>
          <w:rFonts w:ascii="仿宋" w:hAnsi="仿宋" w:eastAsia="仿宋" w:cs="仿宋"/>
          <w:sz w:val="28"/>
          <w:szCs w:val="28"/>
        </w:rPr>
      </w:pPr>
    </w:p>
    <w:p w14:paraId="0E4FCB80">
      <w:pPr>
        <w:pStyle w:val="6"/>
        <w:widowControl/>
        <w:spacing w:beforeAutospacing="0" w:after="50" w:afterAutospacing="0" w:line="480" w:lineRule="exact"/>
        <w:rPr>
          <w:rFonts w:ascii="仿宋" w:hAnsi="仿宋" w:eastAsia="仿宋" w:cs="仿宋"/>
          <w:sz w:val="28"/>
          <w:szCs w:val="28"/>
        </w:rPr>
      </w:pPr>
      <w:r>
        <w:rPr>
          <w:rStyle w:val="9"/>
          <w:rFonts w:hint="eastAsia" w:ascii="仿宋" w:hAnsi="仿宋" w:eastAsia="仿宋" w:cs="仿宋"/>
          <w:sz w:val="28"/>
          <w:szCs w:val="28"/>
        </w:rPr>
        <w:t>附：人民法院关于财产纠纷案件收费标准</w:t>
      </w:r>
    </w:p>
    <w:p w14:paraId="108B4E83">
      <w:pPr>
        <w:pStyle w:val="6"/>
        <w:widowControl/>
        <w:spacing w:beforeAutospacing="0" w:after="50" w:afterAutospacing="0" w:line="48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财产案件根据诉讼请求的金额或者价额，按照下列比例分段累计交纳：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1.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不超过1万元的，每件交纳50元；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2.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超过1万元至10万元的部分，按照2.5％交纳；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3.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超过10万元至20万元的部分，按照2％交纳；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4.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超过20万元至50万元的部分，按照1.5％交纳；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5.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超过50万元至100万元的部分，按照1％交纳；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6.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超过100万元至200万元的部分，按照0.9％交纳；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7.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超过200万元至500万元的部分，按照0.8％交纳；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8.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超过500万元至1000万元的部分，按照0.7％交纳；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9.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超过1000万元至2000万元的部分，按照0.6％交纳；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10.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超过2000万元的部分，按照0.5％交纳。</w:t>
      </w:r>
    </w:p>
    <w:p w14:paraId="698F02C6">
      <w:pPr>
        <w:spacing w:after="50" w:line="480" w:lineRule="exact"/>
        <w:rPr>
          <w:rFonts w:ascii="仿宋" w:hAnsi="仿宋" w:eastAsia="仿宋" w:cs="仿宋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28571954"/>
      <w:docPartObj>
        <w:docPartGallery w:val="autotext"/>
      </w:docPartObj>
    </w:sdtPr>
    <w:sdtContent>
      <w:p w14:paraId="0BC0335B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6D2B237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zMjEzNGYzYmY2ZDAwZTZlMWQ4MDk0YWRhMjQxZGIifQ=="/>
  </w:docVars>
  <w:rsids>
    <w:rsidRoot w:val="5A551108"/>
    <w:rsid w:val="00046A86"/>
    <w:rsid w:val="0006085D"/>
    <w:rsid w:val="0008120A"/>
    <w:rsid w:val="001072AE"/>
    <w:rsid w:val="00152F29"/>
    <w:rsid w:val="00157252"/>
    <w:rsid w:val="001619EB"/>
    <w:rsid w:val="001870ED"/>
    <w:rsid w:val="001B59C2"/>
    <w:rsid w:val="002114BF"/>
    <w:rsid w:val="00366833"/>
    <w:rsid w:val="00384FB6"/>
    <w:rsid w:val="003C415C"/>
    <w:rsid w:val="004C1C54"/>
    <w:rsid w:val="004D724B"/>
    <w:rsid w:val="00591018"/>
    <w:rsid w:val="00604049"/>
    <w:rsid w:val="006500BD"/>
    <w:rsid w:val="00746564"/>
    <w:rsid w:val="00827C8A"/>
    <w:rsid w:val="00837140"/>
    <w:rsid w:val="00850407"/>
    <w:rsid w:val="008A29DA"/>
    <w:rsid w:val="00954BEE"/>
    <w:rsid w:val="00A2697A"/>
    <w:rsid w:val="00A87F3B"/>
    <w:rsid w:val="00AD69BC"/>
    <w:rsid w:val="00B51A5C"/>
    <w:rsid w:val="00BA5FC0"/>
    <w:rsid w:val="00BB147D"/>
    <w:rsid w:val="00C10B3A"/>
    <w:rsid w:val="00C428FE"/>
    <w:rsid w:val="00CF3414"/>
    <w:rsid w:val="00D12103"/>
    <w:rsid w:val="00D732F0"/>
    <w:rsid w:val="00DC4002"/>
    <w:rsid w:val="00EE6AE8"/>
    <w:rsid w:val="00EF2D56"/>
    <w:rsid w:val="00F50F5B"/>
    <w:rsid w:val="00FC2A1E"/>
    <w:rsid w:val="0D6748F7"/>
    <w:rsid w:val="0DFB2FE7"/>
    <w:rsid w:val="0EA249C6"/>
    <w:rsid w:val="0FDD014C"/>
    <w:rsid w:val="216A58F8"/>
    <w:rsid w:val="220412B4"/>
    <w:rsid w:val="257B699E"/>
    <w:rsid w:val="319841B0"/>
    <w:rsid w:val="34025BC2"/>
    <w:rsid w:val="346F5941"/>
    <w:rsid w:val="35416678"/>
    <w:rsid w:val="38B74411"/>
    <w:rsid w:val="3F311486"/>
    <w:rsid w:val="445C0C06"/>
    <w:rsid w:val="4B3507DD"/>
    <w:rsid w:val="559D3DB3"/>
    <w:rsid w:val="5A551108"/>
    <w:rsid w:val="5C5F6E48"/>
    <w:rsid w:val="6B3E4416"/>
    <w:rsid w:val="6CDE3845"/>
    <w:rsid w:val="6EB3699C"/>
    <w:rsid w:val="762D7445"/>
    <w:rsid w:val="77887259"/>
    <w:rsid w:val="7A141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qFormat/>
    <w:uiPriority w:val="0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字符"/>
    <w:basedOn w:val="8"/>
    <w:link w:val="3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日期 字符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777</Words>
  <Characters>840</Characters>
  <Lines>6</Lines>
  <Paragraphs>1</Paragraphs>
  <TotalTime>1</TotalTime>
  <ScaleCrop>false</ScaleCrop>
  <LinksUpToDate>false</LinksUpToDate>
  <CharactersWithSpaces>854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2018-04-24T07:11:00Z</dcterms:created>
  <dc:creator>Administrator</dc:creator>
  <cp:lastModifiedBy>Leah</cp:lastModifiedBy>
  <cp:lastPrinted>2017-07-26T06:09:00Z</cp:lastPrinted>
  <dcterms:modified xsi:type="dcterms:W3CDTF">2024-07-09T09:46:35Z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D8C48409D96744FAA201FB3F9F8C03F5</vt:lpwstr>
  </property>
</Properties>
</file>