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89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江西赣南制药有限公司</w:t>
      </w:r>
      <w:r>
        <w:rPr>
          <w:rFonts w:ascii="宋体" w:hAnsi="宋体" w:eastAsia="宋体"/>
          <w:b/>
          <w:bCs/>
          <w:sz w:val="44"/>
          <w:szCs w:val="44"/>
        </w:rPr>
        <w:t>破产清算案</w:t>
      </w:r>
    </w:p>
    <w:p w14:paraId="2187FA44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ascii="宋体" w:hAnsi="宋体" w:eastAsia="宋体"/>
          <w:b/>
          <w:bCs/>
          <w:sz w:val="44"/>
          <w:szCs w:val="44"/>
        </w:rPr>
        <w:t>债权申报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说明</w:t>
      </w:r>
    </w:p>
    <w:p w14:paraId="7D5D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江西赣南制药有限公司</w:t>
      </w:r>
      <w:r>
        <w:rPr>
          <w:rFonts w:hint="eastAsia" w:ascii="仿宋" w:hAnsi="仿宋" w:eastAsia="仿宋" w:cs="仿宋"/>
          <w:sz w:val="30"/>
          <w:szCs w:val="30"/>
        </w:rPr>
        <w:t>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资不抵债，江西省南昌市东湖区人民法院</w:t>
      </w:r>
      <w:r>
        <w:rPr>
          <w:rFonts w:hint="eastAsia" w:ascii="仿宋" w:hAnsi="仿宋" w:eastAsia="仿宋" w:cs="仿宋"/>
          <w:i w:val="0"/>
          <w:color w:val="000000"/>
          <w:sz w:val="30"/>
          <w:szCs w:val="30"/>
        </w:rPr>
        <w:t>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出</w:t>
      </w:r>
      <w:bookmarkStart w:id="0" w:name="Book_8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（2024）赣0102破申7号</w:t>
      </w:r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民事裁定书，裁定受理江西赣南制药有限公司破产清算，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2024年7月22日作出（2024）赣0102破5号决定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书，指定北京市京师（南昌）律师事务所担任管理人。管理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接受指定后</w:t>
      </w:r>
      <w:r>
        <w:rPr>
          <w:rFonts w:hint="eastAsia" w:ascii="仿宋" w:hAnsi="仿宋" w:eastAsia="仿宋" w:cs="仿宋"/>
          <w:sz w:val="30"/>
          <w:szCs w:val="30"/>
        </w:rPr>
        <w:t>随即开展工作，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进行接管、债权申报等工作，现管理人对债权申报工作，作出以下说明。</w:t>
      </w:r>
    </w:p>
    <w:p w14:paraId="3A30F3A7">
      <w:pPr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一、债权申报主体</w:t>
      </w:r>
    </w:p>
    <w:p w14:paraId="4A754257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（一）认为其在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南昌市东湖区人民法院</w:t>
      </w:r>
      <w:r>
        <w:rPr>
          <w:rFonts w:hint="eastAsia" w:ascii="仿宋" w:hAnsi="仿宋" w:eastAsia="仿宋" w:cs="仿宋"/>
          <w:sz w:val="30"/>
          <w:szCs w:val="30"/>
        </w:rPr>
        <w:t>（下称“人民法院”）受理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江西赣南制药有限公司</w:t>
      </w:r>
      <w:r>
        <w:rPr>
          <w:rFonts w:hint="eastAsia" w:ascii="仿宋" w:hAnsi="仿宋" w:eastAsia="仿宋" w:cs="仿宋"/>
          <w:sz w:val="30"/>
          <w:szCs w:val="30"/>
        </w:rPr>
        <w:t>（下称“债务人”）破产清算时对债务人享有到期或未到期债权的自然人、法人或其他组织，均可申报债权。</w:t>
      </w:r>
    </w:p>
    <w:p w14:paraId="78991711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（二）债权人为法人或其他组织的债权统称为“机构债权”；债权人为个人的债权统称为“个人债权”。</w:t>
      </w:r>
    </w:p>
    <w:p w14:paraId="5F6ECC17">
      <w:pPr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二、债权登记机构</w:t>
      </w:r>
    </w:p>
    <w:p w14:paraId="24A276E7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根据《中华人民共和国企业破产法》第四十八条之规定，债权人应向人民法院指定的债务人破产清算管理人（下称“管理人”）申报债权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北京京师（南昌）律师事务所王隆彬担任管理人负责人。联系人：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万律师18017902391，胡律师18296141096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26DE6845">
      <w:pPr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三、登记受理时间</w:t>
      </w:r>
    </w:p>
    <w:p w14:paraId="3EDEA3E7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债权登记期间自公告之日起至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日止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受理时间为登记期间工作日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:00-17:00。</w:t>
      </w:r>
    </w:p>
    <w:p w14:paraId="5AFF8CAC">
      <w:pPr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四、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申报方式</w:t>
      </w:r>
    </w:p>
    <w:p w14:paraId="062FC255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债权人可以邮寄申报材料。债权申报地址：江西省南昌市红谷滩新区金融大街777号博能金融中心7楼北京市京师（南昌）律师事务所；收件人：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万律师18017902391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胡律师18296141096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38C912E3">
      <w:pPr>
        <w:spacing w:line="360" w:lineRule="auto"/>
        <w:ind w:firstLine="600" w:firstLineChars="200"/>
        <w:contextualSpacing/>
        <w:rPr>
          <w:rFonts w:hint="default" w:ascii="仿宋" w:hAnsi="仿宋" w:eastAsia="宋体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债权人可以通过电子方式申报，登录破产案件一体化管理平台（https://www.pcgl.com.cn）实名注册，预留电子邮件、短信、微信等有效联系方式并上传有效身份信息后申报债权，提交有关申报材料。</w:t>
      </w:r>
    </w:p>
    <w:p w14:paraId="285CF401">
      <w:pPr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五、债权申报程序及所需提交的资料</w:t>
      </w:r>
    </w:p>
    <w:p w14:paraId="5D27B9E7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（一）领取并填写债权申报登记表</w:t>
      </w:r>
    </w:p>
    <w:p w14:paraId="39CD4B8F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债权人可以到登记地点领取或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者联系北京市京师（南昌）律师事务所领取《</w:t>
      </w:r>
      <w:r>
        <w:rPr>
          <w:rFonts w:hint="eastAsia" w:ascii="仿宋" w:hAnsi="仿宋" w:eastAsia="仿宋" w:cs="仿宋"/>
          <w:sz w:val="30"/>
          <w:szCs w:val="30"/>
        </w:rPr>
        <w:t>债权申报登记表》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、《联系地址确认书》、《江西赣南制药有限公司破产清算案债权申报说明》</w:t>
      </w:r>
      <w:r>
        <w:rPr>
          <w:rFonts w:hint="eastAsia" w:ascii="仿宋" w:hAnsi="仿宋" w:eastAsia="仿宋" w:cs="仿宋"/>
          <w:sz w:val="30"/>
          <w:szCs w:val="30"/>
        </w:rPr>
        <w:t>，并按格式要求填写（填写方法详见第六部分）。</w:t>
      </w:r>
    </w:p>
    <w:p w14:paraId="6E6A53BE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（二）申报、登记</w:t>
      </w:r>
    </w:p>
    <w:p w14:paraId="17367DE5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债权人申报债权时必须提交以下材料：</w:t>
      </w:r>
    </w:p>
    <w:p w14:paraId="3CD8ADA1">
      <w:pPr>
        <w:numPr>
          <w:ilvl w:val="0"/>
          <w:numId w:val="1"/>
        </w:num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债权申报登记表</w:t>
      </w:r>
    </w:p>
    <w:p w14:paraId="55F202AA">
      <w:pPr>
        <w:numPr>
          <w:ilvl w:val="0"/>
          <w:numId w:val="1"/>
        </w:num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联系地址确认书</w:t>
      </w:r>
    </w:p>
    <w:p w14:paraId="3108C5DF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、证明债权申报人主体资格的材料：</w:t>
      </w:r>
    </w:p>
    <w:p w14:paraId="2E00F669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（1）机构债权人须提交的材料：有效的企业法人营业执照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复印件</w:t>
      </w:r>
      <w:r>
        <w:rPr>
          <w:rFonts w:hint="eastAsia" w:ascii="仿宋" w:hAnsi="仿宋" w:eastAsia="仿宋" w:cs="仿宋"/>
          <w:sz w:val="30"/>
          <w:szCs w:val="30"/>
        </w:rPr>
        <w:t>、事业和社团法人登记证书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复印件</w:t>
      </w:r>
      <w:r>
        <w:rPr>
          <w:rFonts w:hint="eastAsia" w:ascii="仿宋" w:hAnsi="仿宋" w:eastAsia="仿宋" w:cs="仿宋"/>
          <w:sz w:val="30"/>
          <w:szCs w:val="30"/>
        </w:rPr>
        <w:t>或其他合法证明书复印件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负责人身份证明书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原件；</w:t>
      </w:r>
      <w:r>
        <w:rPr>
          <w:rFonts w:hint="eastAsia" w:ascii="仿宋" w:hAnsi="仿宋" w:eastAsia="仿宋" w:cs="仿宋"/>
          <w:sz w:val="30"/>
          <w:szCs w:val="30"/>
        </w:rPr>
        <w:t>法定代表人或负责人个人身份证复印件；法定代表人或负责人之外的人到现场申报的，还须提交授权委托书、代理人的身份证等个人有效证件复印件。</w:t>
      </w:r>
    </w:p>
    <w:p w14:paraId="3E011B13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（2）个人债权人须提交的材料：债权人身份证等个人有效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身份</w:t>
      </w:r>
      <w:r>
        <w:rPr>
          <w:rFonts w:hint="eastAsia" w:ascii="仿宋" w:hAnsi="仿宋" w:eastAsia="仿宋" w:cs="仿宋"/>
          <w:sz w:val="30"/>
          <w:szCs w:val="30"/>
        </w:rPr>
        <w:t>证件复印件；委托他人申报的，还需提交授权委托书和代理人的身份证等个人有效证件复印件。</w:t>
      </w:r>
    </w:p>
    <w:p w14:paraId="2597FDD8">
      <w:pPr>
        <w:spacing w:line="360" w:lineRule="auto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4</w:t>
      </w:r>
      <w:r>
        <w:rPr>
          <w:rFonts w:hint="eastAsia" w:ascii="仿宋" w:hAnsi="仿宋" w:eastAsia="仿宋" w:cs="仿宋"/>
          <w:sz w:val="30"/>
          <w:szCs w:val="30"/>
        </w:rPr>
        <w:t>、证明债权发生事实及其数额的材料：</w:t>
      </w:r>
    </w:p>
    <w:p w14:paraId="7F1008C5">
      <w:pPr>
        <w:spacing w:line="360" w:lineRule="auto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（1）各类合同书、发货清单、收货确认单、对账单等债权原始材料及票据、划账单等原始履行凭证原件及复印件。</w:t>
      </w:r>
    </w:p>
    <w:p w14:paraId="686713A1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（2）债权如有担保的，还须提交抵押合同、质押合同、保证合同及相关的登记证件等担保原始材料原件及复印件。</w:t>
      </w:r>
    </w:p>
    <w:p w14:paraId="14AC3515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债权如涉及诉讼或仲裁，则须提交诉讼、仲裁有关的文件（包括已经完成或正在进行案件的民事诉状、仲裁申请书、诉讼保全申请、保全裁定，生效判决、裁定、执行申请、法院执行裁定、法院执行案件通知书等）原件及复印件。</w:t>
      </w:r>
    </w:p>
    <w:p w14:paraId="7CA17C16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（4）能够证明债权发生、变更、存续、诉讼时效中止、中断、延长及债权金额的其他原始材料原件及复印件。</w:t>
      </w:r>
    </w:p>
    <w:p w14:paraId="24956F71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（三）债权人提交的资料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只</w:t>
      </w:r>
      <w:r>
        <w:rPr>
          <w:rFonts w:hint="eastAsia" w:ascii="仿宋" w:hAnsi="仿宋" w:eastAsia="仿宋" w:cs="仿宋"/>
          <w:sz w:val="30"/>
          <w:szCs w:val="30"/>
        </w:rPr>
        <w:t>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份。债权人提交的材料原件由管理人核对后归还，复印件需加盖单位公章。</w:t>
      </w:r>
    </w:p>
    <w:p w14:paraId="70B9F470">
      <w:pPr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六、《债权申报登记表》填报说明</w:t>
      </w:r>
    </w:p>
    <w:p w14:paraId="3BFCC61F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）机构债权，须加盖单位公章；个人债权，须由债权人本人或其代理人签名。</w:t>
      </w:r>
    </w:p>
    <w:p w14:paraId="31B03876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）有关金额或数字之填写，一律以阿拉伯数字为之；金额之填写，除人民币外，均应表明其币别。外币须折合人民币的，均以申报日前一交易日之收盘汇率为计算标准。</w:t>
      </w:r>
    </w:p>
    <w:p w14:paraId="6749B5BD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）申报人填写《债权申报登记表》所列各栏时，若其中有部分项目无可填报或毋庸填报者，应填写“无”或“本栏空白”等字样或以斜线划去，不可保留空栏。</w:t>
      </w:r>
    </w:p>
    <w:p w14:paraId="609F7BE8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）申报人填写《债权申报登记表》时，应避免书写错误，若有增、删、涂改，应于增、删、涂改处盖章或签字。</w:t>
      </w:r>
    </w:p>
    <w:p w14:paraId="2B0D993E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）《债权申报登记表》所列应申报项目各栏如不敷填写时，申报人得依各项目之内容与规格，另行制作表格填写，附于该申报表之后，注明页数，并于骑缝处盖章或签字。</w:t>
      </w:r>
    </w:p>
    <w:p w14:paraId="27E516DD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）申报人于申报登记时，对《债权申报登记表》各栏应填写之事项有需补充说明者，得于“备注”栏内按填写事项之先后顺序逐一说明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债权人应当对债权的性质、利息作出明确说明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95CDF1F">
      <w:pPr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七、债权申报中的通知和公告</w:t>
      </w:r>
    </w:p>
    <w:p w14:paraId="00886528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（一）为全体债权人利益考虑，管理人将通过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报纸、</w:t>
      </w:r>
      <w:r>
        <w:rPr>
          <w:rFonts w:hint="eastAsia" w:ascii="仿宋" w:hAnsi="仿宋" w:eastAsia="仿宋" w:cs="仿宋"/>
          <w:sz w:val="30"/>
          <w:szCs w:val="30"/>
        </w:rPr>
        <w:t>网络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 w:cs="仿宋"/>
          <w:sz w:val="30"/>
          <w:szCs w:val="30"/>
        </w:rPr>
        <w:t>发布各项公告和通知。</w:t>
      </w:r>
    </w:p>
    <w:p w14:paraId="53AA282F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（二）如债权人因未能及时浏览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报纸、</w:t>
      </w:r>
      <w:r>
        <w:rPr>
          <w:rFonts w:hint="eastAsia" w:ascii="仿宋" w:hAnsi="仿宋" w:eastAsia="仿宋" w:cs="仿宋"/>
          <w:sz w:val="30"/>
          <w:szCs w:val="30"/>
        </w:rPr>
        <w:t>网页而导致相应权利的丧失，管理人不承担未通知债权人的责任。</w:t>
      </w:r>
    </w:p>
    <w:p w14:paraId="4E1F54F9">
      <w:pPr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（三）就破产清算中发生的各种问题，债权人也可致电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管理</w:t>
      </w:r>
      <w:r>
        <w:rPr>
          <w:rFonts w:hint="eastAsia" w:ascii="仿宋" w:hAnsi="仿宋" w:eastAsia="仿宋" w:cs="仿宋"/>
          <w:sz w:val="30"/>
          <w:szCs w:val="30"/>
        </w:rPr>
        <w:t>人进行电话咨询。</w:t>
      </w:r>
    </w:p>
    <w:p w14:paraId="6C3A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contextualSpacing/>
        <w:jc w:val="right"/>
        <w:textAlignment w:val="auto"/>
        <w:outlineLvl w:val="9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江西赣南制药有限公司</w:t>
      </w:r>
      <w:r>
        <w:rPr>
          <w:rFonts w:hint="eastAsia" w:ascii="仿宋" w:hAnsi="仿宋" w:eastAsia="仿宋" w:cs="仿宋"/>
          <w:b/>
          <w:sz w:val="30"/>
          <w:szCs w:val="30"/>
        </w:rPr>
        <w:t>管理人</w:t>
      </w:r>
    </w:p>
    <w:p w14:paraId="652D5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C00000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sz w:val="30"/>
          <w:szCs w:val="30"/>
        </w:rPr>
        <w:t>二〇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二四</w:t>
      </w:r>
      <w:r>
        <w:rPr>
          <w:rFonts w:hint="eastAsia" w:ascii="仿宋" w:hAnsi="仿宋" w:eastAsia="仿宋" w:cs="仿宋"/>
          <w:b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二十四</w:t>
      </w:r>
      <w:bookmarkStart w:id="1" w:name="_GoBack"/>
      <w:bookmarkEnd w:id="1"/>
      <w:r>
        <w:rPr>
          <w:rFonts w:hint="eastAsia" w:ascii="仿宋" w:hAnsi="仿宋" w:eastAsia="仿宋" w:cs="仿宋"/>
          <w:b/>
          <w:color w:val="auto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31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7857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7857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6AB97"/>
    <w:multiLevelType w:val="singleLevel"/>
    <w:tmpl w:val="56E6AB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YmNiNjk1YTBjNDI0MTJjN2RlOWM5MGI3MWUwMGUifQ=="/>
  </w:docVars>
  <w:rsids>
    <w:rsidRoot w:val="5B9524D8"/>
    <w:rsid w:val="020C62E0"/>
    <w:rsid w:val="0A4C7CDF"/>
    <w:rsid w:val="0BC06A0A"/>
    <w:rsid w:val="102B119E"/>
    <w:rsid w:val="14882B8D"/>
    <w:rsid w:val="26F36EEB"/>
    <w:rsid w:val="2B990AB3"/>
    <w:rsid w:val="2BDEBA9B"/>
    <w:rsid w:val="2ED04EC8"/>
    <w:rsid w:val="325A3CFA"/>
    <w:rsid w:val="33D678EB"/>
    <w:rsid w:val="38AE5E8C"/>
    <w:rsid w:val="3BE43D54"/>
    <w:rsid w:val="3F4B4F4A"/>
    <w:rsid w:val="400B4232"/>
    <w:rsid w:val="427E0CFF"/>
    <w:rsid w:val="43911F75"/>
    <w:rsid w:val="49DB1DED"/>
    <w:rsid w:val="4C6C31D0"/>
    <w:rsid w:val="4D7F4173"/>
    <w:rsid w:val="4DA54367"/>
    <w:rsid w:val="4E4A0AB9"/>
    <w:rsid w:val="52B23CBC"/>
    <w:rsid w:val="5587384F"/>
    <w:rsid w:val="5AAD3471"/>
    <w:rsid w:val="5B3118B4"/>
    <w:rsid w:val="5B9524D8"/>
    <w:rsid w:val="5D660B12"/>
    <w:rsid w:val="60222C5A"/>
    <w:rsid w:val="62540537"/>
    <w:rsid w:val="64283A29"/>
    <w:rsid w:val="690179D9"/>
    <w:rsid w:val="69101B64"/>
    <w:rsid w:val="6BEC752B"/>
    <w:rsid w:val="6DA7970F"/>
    <w:rsid w:val="6E942994"/>
    <w:rsid w:val="6F1350EA"/>
    <w:rsid w:val="6FFB6495"/>
    <w:rsid w:val="71A3212B"/>
    <w:rsid w:val="76623577"/>
    <w:rsid w:val="7DFC39CF"/>
    <w:rsid w:val="7EB326DD"/>
    <w:rsid w:val="7F516D6F"/>
    <w:rsid w:val="AFFF0B8E"/>
    <w:rsid w:val="FAFF5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1918</Words>
  <Characters>2014</Characters>
  <Lines>0</Lines>
  <Paragraphs>0</Paragraphs>
  <TotalTime>1</TotalTime>
  <ScaleCrop>false</ScaleCrop>
  <LinksUpToDate>false</LinksUpToDate>
  <CharactersWithSpaces>2053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2018-07-04T11:55:00Z</dcterms:created>
  <dc:creator>lenovo</dc:creator>
  <cp:lastModifiedBy>胡律丨京师南昌</cp:lastModifiedBy>
  <cp:lastPrinted>2018-07-04T15:16:00Z</cp:lastPrinted>
  <dcterms:modified xsi:type="dcterms:W3CDTF">2024-07-24T04:48:36Z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37C4DD8678FB415E9115D9B59CC51B3E_13</vt:lpwstr>
  </property>
</Properties>
</file>