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BF817B">
      <w:pPr>
        <w:pStyle w:val="3"/>
        <w:widowControl/>
        <w:spacing w:line="500" w:lineRule="exact"/>
        <w:jc w:val="center"/>
        <w:rPr>
          <w:rFonts w:ascii="微软雅黑" w:hAnsi="微软雅黑" w:eastAsia="微软雅黑" w:cs="微软雅黑"/>
          <w:b/>
          <w:bCs/>
          <w:sz w:val="40"/>
          <w:szCs w:val="40"/>
          <w:highlight w:val="none"/>
        </w:rPr>
      </w:pPr>
      <w:r>
        <w:rPr>
          <w:rFonts w:hint="eastAsia" w:ascii="微软雅黑" w:hAnsi="微软雅黑" w:eastAsia="微软雅黑" w:cs="微软雅黑"/>
          <w:b/>
          <w:bCs/>
          <w:sz w:val="40"/>
          <w:szCs w:val="40"/>
          <w:highlight w:val="none"/>
        </w:rPr>
        <w:t>竞买公告</w:t>
      </w:r>
    </w:p>
    <w:p w14:paraId="45A10099">
      <w:pPr>
        <w:pStyle w:val="3"/>
        <w:widowControl/>
        <w:spacing w:line="500" w:lineRule="exact"/>
        <w:ind w:firstLine="480" w:firstLineChars="200"/>
        <w:jc w:val="both"/>
        <w:rPr>
          <w:rFonts w:ascii="微软雅黑" w:hAnsi="微软雅黑" w:eastAsia="微软雅黑" w:cs="微软雅黑"/>
          <w:highlight w:val="none"/>
        </w:rPr>
      </w:pPr>
      <w:r>
        <w:rPr>
          <w:rFonts w:hint="eastAsia" w:ascii="微软雅黑" w:hAnsi="微软雅黑" w:eastAsia="微软雅黑" w:cs="微软雅黑"/>
          <w:highlight w:val="none"/>
          <w:lang w:val="en-US" w:eastAsia="zh-CN"/>
        </w:rPr>
        <w:t>武汉缤购城置业有限公司</w:t>
      </w:r>
      <w:r>
        <w:rPr>
          <w:rFonts w:hint="eastAsia" w:ascii="微软雅黑" w:hAnsi="微软雅黑" w:eastAsia="微软雅黑" w:cs="微软雅黑"/>
          <w:highlight w:val="none"/>
        </w:rPr>
        <w:t>管理人将于</w:t>
      </w:r>
      <w:r>
        <w:rPr>
          <w:rFonts w:hint="eastAsia" w:ascii="微软雅黑" w:hAnsi="微软雅黑" w:eastAsia="微软雅黑" w:cs="微软雅黑"/>
          <w:b/>
          <w:bCs/>
          <w:color w:val="FF0000"/>
          <w:highlight w:val="none"/>
        </w:rPr>
        <w:t>20</w:t>
      </w:r>
      <w:r>
        <w:rPr>
          <w:rFonts w:ascii="微软雅黑" w:hAnsi="微软雅黑" w:eastAsia="微软雅黑" w:cs="微软雅黑"/>
          <w:b/>
          <w:bCs/>
          <w:color w:val="FF0000"/>
          <w:highlight w:val="none"/>
        </w:rPr>
        <w:t>2</w:t>
      </w:r>
      <w:r>
        <w:rPr>
          <w:rFonts w:hint="eastAsia" w:ascii="微软雅黑" w:hAnsi="微软雅黑" w:eastAsia="微软雅黑" w:cs="微软雅黑"/>
          <w:b/>
          <w:bCs/>
          <w:color w:val="FF0000"/>
          <w:highlight w:val="none"/>
          <w:lang w:val="en-US" w:eastAsia="zh-CN"/>
        </w:rPr>
        <w:t>4</w:t>
      </w:r>
      <w:r>
        <w:rPr>
          <w:rFonts w:hint="eastAsia" w:ascii="微软雅黑" w:hAnsi="微软雅黑" w:eastAsia="微软雅黑" w:cs="微软雅黑"/>
          <w:b/>
          <w:bCs/>
          <w:color w:val="FF0000"/>
          <w:highlight w:val="none"/>
        </w:rPr>
        <w:t>年</w:t>
      </w:r>
      <w:r>
        <w:rPr>
          <w:rFonts w:hint="eastAsia" w:ascii="微软雅黑" w:hAnsi="微软雅黑" w:eastAsia="微软雅黑" w:cs="微软雅黑"/>
          <w:b/>
          <w:bCs/>
          <w:color w:val="FF0000"/>
          <w:highlight w:val="none"/>
          <w:lang w:val="en-US" w:eastAsia="zh-CN"/>
        </w:rPr>
        <w:t>8</w:t>
      </w:r>
      <w:r>
        <w:rPr>
          <w:rFonts w:hint="eastAsia" w:ascii="微软雅黑" w:hAnsi="微软雅黑" w:eastAsia="微软雅黑" w:cs="微软雅黑"/>
          <w:b/>
          <w:bCs/>
          <w:color w:val="FF0000"/>
          <w:highlight w:val="none"/>
        </w:rPr>
        <w:t>月</w:t>
      </w:r>
      <w:r>
        <w:rPr>
          <w:rFonts w:hint="eastAsia" w:ascii="微软雅黑" w:hAnsi="微软雅黑" w:eastAsia="微软雅黑" w:cs="微软雅黑"/>
          <w:b/>
          <w:bCs/>
          <w:color w:val="FF0000"/>
          <w:highlight w:val="none"/>
          <w:lang w:val="en-US" w:eastAsia="zh-CN"/>
        </w:rPr>
        <w:t>19</w:t>
      </w:r>
      <w:r>
        <w:rPr>
          <w:rFonts w:hint="eastAsia" w:ascii="微软雅黑" w:hAnsi="微软雅黑" w:eastAsia="微软雅黑" w:cs="微软雅黑"/>
          <w:b/>
          <w:bCs/>
          <w:color w:val="FF0000"/>
          <w:highlight w:val="none"/>
        </w:rPr>
        <w:t>日</w:t>
      </w:r>
      <w:r>
        <w:rPr>
          <w:rFonts w:hint="eastAsia" w:ascii="微软雅黑" w:hAnsi="微软雅黑" w:eastAsia="微软雅黑" w:cs="微软雅黑"/>
          <w:b/>
          <w:bCs/>
          <w:color w:val="FF0000"/>
          <w:highlight w:val="none"/>
          <w:lang w:val="en-US" w:eastAsia="zh-CN"/>
        </w:rPr>
        <w:t>10</w:t>
      </w:r>
      <w:r>
        <w:rPr>
          <w:rFonts w:hint="eastAsia" w:ascii="微软雅黑" w:hAnsi="微软雅黑" w:eastAsia="微软雅黑" w:cs="微软雅黑"/>
          <w:b/>
          <w:bCs/>
          <w:color w:val="FF0000"/>
          <w:highlight w:val="none"/>
        </w:rPr>
        <w:t>时至20</w:t>
      </w:r>
      <w:r>
        <w:rPr>
          <w:rFonts w:ascii="微软雅黑" w:hAnsi="微软雅黑" w:eastAsia="微软雅黑" w:cs="微软雅黑"/>
          <w:b/>
          <w:bCs/>
          <w:color w:val="FF0000"/>
          <w:highlight w:val="none"/>
        </w:rPr>
        <w:t>2</w:t>
      </w:r>
      <w:r>
        <w:rPr>
          <w:rFonts w:hint="eastAsia" w:ascii="微软雅黑" w:hAnsi="微软雅黑" w:eastAsia="微软雅黑" w:cs="微软雅黑"/>
          <w:b/>
          <w:bCs/>
          <w:color w:val="FF0000"/>
          <w:highlight w:val="none"/>
          <w:lang w:val="en-US" w:eastAsia="zh-CN"/>
        </w:rPr>
        <w:t>4</w:t>
      </w:r>
      <w:r>
        <w:rPr>
          <w:rFonts w:hint="eastAsia" w:ascii="微软雅黑" w:hAnsi="微软雅黑" w:eastAsia="微软雅黑" w:cs="微软雅黑"/>
          <w:b/>
          <w:bCs/>
          <w:color w:val="FF0000"/>
          <w:highlight w:val="none"/>
        </w:rPr>
        <w:t>年</w:t>
      </w:r>
      <w:r>
        <w:rPr>
          <w:rFonts w:hint="eastAsia" w:ascii="微软雅黑" w:hAnsi="微软雅黑" w:eastAsia="微软雅黑" w:cs="微软雅黑"/>
          <w:b/>
          <w:bCs/>
          <w:color w:val="FF0000"/>
          <w:highlight w:val="none"/>
          <w:lang w:val="en-US" w:eastAsia="zh-CN"/>
        </w:rPr>
        <w:t>8</w:t>
      </w:r>
      <w:r>
        <w:rPr>
          <w:rFonts w:hint="eastAsia" w:ascii="微软雅黑" w:hAnsi="微软雅黑" w:eastAsia="微软雅黑" w:cs="微软雅黑"/>
          <w:b/>
          <w:bCs/>
          <w:color w:val="FF0000"/>
          <w:highlight w:val="none"/>
        </w:rPr>
        <w:t>月</w:t>
      </w:r>
      <w:r>
        <w:rPr>
          <w:rFonts w:hint="eastAsia" w:ascii="微软雅黑" w:hAnsi="微软雅黑" w:eastAsia="微软雅黑" w:cs="微软雅黑"/>
          <w:b/>
          <w:bCs/>
          <w:color w:val="FF0000"/>
          <w:highlight w:val="none"/>
          <w:lang w:val="en-US" w:eastAsia="zh-CN"/>
        </w:rPr>
        <w:t>20</w:t>
      </w:r>
      <w:r>
        <w:rPr>
          <w:rFonts w:hint="eastAsia" w:ascii="微软雅黑" w:hAnsi="微软雅黑" w:eastAsia="微软雅黑" w:cs="微软雅黑"/>
          <w:b/>
          <w:bCs/>
          <w:color w:val="FF0000"/>
          <w:highlight w:val="none"/>
        </w:rPr>
        <w:t>日</w:t>
      </w:r>
      <w:r>
        <w:rPr>
          <w:rFonts w:hint="eastAsia" w:ascii="微软雅黑" w:hAnsi="微软雅黑" w:eastAsia="微软雅黑" w:cs="微软雅黑"/>
          <w:b/>
          <w:bCs/>
          <w:color w:val="FF0000"/>
          <w:highlight w:val="none"/>
          <w:lang w:val="en-US" w:eastAsia="zh-CN"/>
        </w:rPr>
        <w:t>10</w:t>
      </w:r>
      <w:r>
        <w:rPr>
          <w:rFonts w:hint="eastAsia" w:ascii="微软雅黑" w:hAnsi="微软雅黑" w:eastAsia="微软雅黑" w:cs="微软雅黑"/>
          <w:b/>
          <w:bCs/>
          <w:color w:val="FF0000"/>
          <w:highlight w:val="none"/>
        </w:rPr>
        <w:t>时</w:t>
      </w:r>
      <w:r>
        <w:rPr>
          <w:rFonts w:hint="eastAsia" w:ascii="微软雅黑" w:hAnsi="微软雅黑" w:eastAsia="微软雅黑" w:cs="微软雅黑"/>
          <w:highlight w:val="none"/>
        </w:rPr>
        <w:t>止（延时的除外）在京东网络竞价平台上（网址：http://sifa.jd.com/）进行公开竞价活动，现公告如下：</w:t>
      </w:r>
    </w:p>
    <w:p w14:paraId="6A206F3E">
      <w:pPr>
        <w:pStyle w:val="3"/>
        <w:widowControl/>
        <w:spacing w:line="500" w:lineRule="exact"/>
        <w:ind w:firstLine="480" w:firstLineChars="200"/>
        <w:jc w:val="both"/>
        <w:rPr>
          <w:rFonts w:ascii="微软雅黑" w:hAnsi="微软雅黑" w:eastAsia="微软雅黑" w:cs="微软雅黑"/>
          <w:b/>
          <w:bCs/>
          <w:highlight w:val="none"/>
        </w:rPr>
      </w:pPr>
      <w:r>
        <w:rPr>
          <w:rFonts w:hint="eastAsia" w:ascii="微软雅黑" w:hAnsi="微软雅黑" w:eastAsia="微软雅黑" w:cs="微软雅黑"/>
          <w:b/>
          <w:bCs/>
          <w:highlight w:val="none"/>
        </w:rPr>
        <w:t>一、竞价标的</w:t>
      </w:r>
    </w:p>
    <w:p w14:paraId="05254ED1">
      <w:pPr>
        <w:pStyle w:val="3"/>
        <w:widowControl/>
        <w:spacing w:line="500" w:lineRule="exact"/>
        <w:ind w:firstLine="480" w:firstLineChars="200"/>
        <w:jc w:val="both"/>
        <w:rPr>
          <w:rFonts w:hint="eastAsia" w:ascii="微软雅黑" w:hAnsi="微软雅黑" w:eastAsia="微软雅黑" w:cs="微软雅黑"/>
          <w:highlight w:val="none"/>
          <w:lang w:val="en-US" w:eastAsia="zh-CN"/>
        </w:rPr>
      </w:pPr>
      <w:r>
        <w:rPr>
          <w:rFonts w:hint="eastAsia" w:ascii="微软雅黑" w:hAnsi="微软雅黑" w:eastAsia="微软雅黑" w:cs="微软雅黑"/>
          <w:highlight w:val="none"/>
          <w:lang w:val="en-US" w:eastAsia="zh-CN"/>
        </w:rPr>
        <w:t>武汉缤购城置业有限公司集中商业地下负一层商业资产</w:t>
      </w:r>
    </w:p>
    <w:p w14:paraId="2711DC7F">
      <w:pPr>
        <w:pStyle w:val="3"/>
        <w:widowControl/>
        <w:spacing w:line="500" w:lineRule="exact"/>
        <w:ind w:firstLine="480" w:firstLineChars="200"/>
        <w:jc w:val="both"/>
        <w:rPr>
          <w:rFonts w:hint="eastAsia" w:ascii="微软雅黑" w:hAnsi="微软雅黑" w:eastAsia="微软雅黑" w:cs="微软雅黑"/>
          <w:b/>
          <w:bCs/>
          <w:color w:val="FF0000"/>
          <w:highlight w:val="none"/>
          <w:lang w:val="en-US" w:eastAsia="zh-CN"/>
        </w:rPr>
      </w:pPr>
      <w:r>
        <w:rPr>
          <w:rFonts w:hint="eastAsia" w:ascii="微软雅黑" w:hAnsi="微软雅黑" w:eastAsia="微软雅黑" w:cs="微软雅黑"/>
          <w:b/>
          <w:bCs/>
          <w:color w:val="FF0000"/>
          <w:highlight w:val="none"/>
          <w:lang w:val="en-US" w:eastAsia="zh-CN"/>
        </w:rPr>
        <w:t>起拍价：</w:t>
      </w:r>
      <w:r>
        <w:rPr>
          <w:rFonts w:hint="default" w:ascii="微软雅黑" w:hAnsi="微软雅黑" w:eastAsia="微软雅黑" w:cs="微软雅黑"/>
          <w:b/>
          <w:bCs/>
          <w:color w:val="FF0000"/>
          <w:highlight w:val="none"/>
          <w:lang w:eastAsia="zh-CN"/>
        </w:rPr>
        <w:t>164,5</w:t>
      </w:r>
      <w:r>
        <w:rPr>
          <w:rFonts w:hint="eastAsia" w:ascii="微软雅黑" w:hAnsi="微软雅黑" w:eastAsia="微软雅黑" w:cs="微软雅黑"/>
          <w:b/>
          <w:bCs/>
          <w:color w:val="FF0000"/>
          <w:highlight w:val="none"/>
          <w:lang w:val="en-US" w:eastAsia="zh-CN"/>
        </w:rPr>
        <w:t>00</w:t>
      </w:r>
      <w:r>
        <w:rPr>
          <w:rFonts w:hint="default" w:ascii="微软雅黑" w:hAnsi="微软雅黑" w:eastAsia="微软雅黑" w:cs="微软雅黑"/>
          <w:b/>
          <w:bCs/>
          <w:color w:val="FF0000"/>
          <w:highlight w:val="none"/>
          <w:lang w:eastAsia="zh-CN"/>
        </w:rPr>
        <w:t>,</w:t>
      </w:r>
      <w:r>
        <w:rPr>
          <w:rFonts w:hint="eastAsia" w:ascii="微软雅黑" w:hAnsi="微软雅黑" w:eastAsia="微软雅黑" w:cs="微软雅黑"/>
          <w:b/>
          <w:bCs/>
          <w:color w:val="FF0000"/>
          <w:highlight w:val="none"/>
          <w:lang w:val="en-US" w:eastAsia="zh-CN"/>
        </w:rPr>
        <w:t>000元，保证金：5000万元，增价幅度：10</w:t>
      </w:r>
      <w:r>
        <w:rPr>
          <w:rFonts w:hint="default" w:ascii="微软雅黑" w:hAnsi="微软雅黑" w:eastAsia="微软雅黑" w:cs="微软雅黑"/>
          <w:b/>
          <w:bCs/>
          <w:color w:val="FF0000"/>
          <w:highlight w:val="none"/>
          <w:lang w:eastAsia="zh-CN"/>
        </w:rPr>
        <w:t>0</w:t>
      </w:r>
      <w:r>
        <w:rPr>
          <w:rFonts w:hint="eastAsia" w:ascii="微软雅黑" w:hAnsi="微软雅黑" w:eastAsia="微软雅黑" w:cs="微软雅黑"/>
          <w:b/>
          <w:bCs/>
          <w:color w:val="FF0000"/>
          <w:highlight w:val="none"/>
          <w:lang w:val="en-US" w:eastAsia="zh-CN"/>
        </w:rPr>
        <w:t>万元。</w:t>
      </w:r>
    </w:p>
    <w:tbl>
      <w:tblPr>
        <w:tblStyle w:val="4"/>
        <w:tblW w:w="713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06"/>
        <w:gridCol w:w="850"/>
        <w:gridCol w:w="1712"/>
        <w:gridCol w:w="1688"/>
        <w:gridCol w:w="988"/>
        <w:gridCol w:w="1087"/>
      </w:tblGrid>
      <w:tr w14:paraId="5D0D09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806" w:type="dxa"/>
            <w:tcBorders>
              <w:top w:val="single" w:color="auto" w:sz="4" w:space="0"/>
              <w:left w:val="single" w:color="auto" w:sz="4" w:space="0"/>
              <w:bottom w:val="single" w:color="auto" w:sz="4" w:space="0"/>
              <w:right w:val="single" w:color="auto" w:sz="4" w:space="0"/>
            </w:tcBorders>
            <w:shd w:val="clear" w:color="auto" w:fill="auto"/>
            <w:vAlign w:val="center"/>
          </w:tcPr>
          <w:p w14:paraId="0E8A7B29">
            <w:pPr>
              <w:jc w:val="center"/>
              <w:rPr>
                <w:rFonts w:hint="eastAsia" w:ascii="Arial" w:hAnsi="Arial" w:eastAsia="等线" w:cs="Arial"/>
                <w:i w:val="0"/>
                <w:iCs w:val="0"/>
                <w:color w:val="000000"/>
                <w:sz w:val="20"/>
                <w:szCs w:val="20"/>
                <w:highlight w:val="none"/>
                <w:u w:val="none"/>
              </w:rPr>
            </w:pP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43BED7">
            <w:pPr>
              <w:keepNext w:val="0"/>
              <w:keepLines w:val="0"/>
              <w:widowControl/>
              <w:suppressLineNumbers w:val="0"/>
              <w:jc w:val="center"/>
              <w:textAlignment w:val="center"/>
              <w:rPr>
                <w:rFonts w:hint="default" w:ascii="Arial" w:hAnsi="Arial" w:eastAsia="等线" w:cs="Arial"/>
                <w:b/>
                <w:bCs/>
                <w:i w:val="0"/>
                <w:iCs w:val="0"/>
                <w:color w:val="000000"/>
                <w:sz w:val="20"/>
                <w:szCs w:val="20"/>
                <w:highlight w:val="none"/>
                <w:u w:val="none"/>
              </w:rPr>
            </w:pPr>
            <w:r>
              <w:rPr>
                <w:rStyle w:val="6"/>
                <w:highlight w:val="none"/>
                <w:lang w:val="en-US" w:eastAsia="zh-CN" w:bidi="ar"/>
              </w:rPr>
              <w:t>所在层</w:t>
            </w:r>
          </w:p>
        </w:tc>
        <w:tc>
          <w:tcPr>
            <w:tcW w:w="1712" w:type="dxa"/>
            <w:tcBorders>
              <w:top w:val="single" w:color="auto" w:sz="4" w:space="0"/>
              <w:left w:val="single" w:color="auto" w:sz="4" w:space="0"/>
              <w:bottom w:val="single" w:color="auto" w:sz="4" w:space="0"/>
              <w:right w:val="single" w:color="auto" w:sz="4" w:space="0"/>
            </w:tcBorders>
            <w:shd w:val="clear" w:color="auto" w:fill="auto"/>
            <w:vAlign w:val="center"/>
          </w:tcPr>
          <w:p w14:paraId="5F22AD0E">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本次商业评估范围建筑面积（㎡）</w:t>
            </w:r>
          </w:p>
        </w:tc>
        <w:tc>
          <w:tcPr>
            <w:tcW w:w="1688" w:type="dxa"/>
            <w:tcBorders>
              <w:top w:val="single" w:color="auto" w:sz="4" w:space="0"/>
              <w:left w:val="single" w:color="auto" w:sz="4" w:space="0"/>
              <w:bottom w:val="single" w:color="auto" w:sz="4" w:space="0"/>
              <w:right w:val="single" w:color="auto" w:sz="4" w:space="0"/>
            </w:tcBorders>
            <w:shd w:val="clear" w:color="auto" w:fill="auto"/>
            <w:vAlign w:val="center"/>
          </w:tcPr>
          <w:p w14:paraId="22B76A71">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评估总价（元）</w:t>
            </w:r>
          </w:p>
        </w:tc>
        <w:tc>
          <w:tcPr>
            <w:tcW w:w="988" w:type="dxa"/>
            <w:tcBorders>
              <w:top w:val="single" w:color="auto" w:sz="4" w:space="0"/>
              <w:left w:val="single" w:color="auto" w:sz="4" w:space="0"/>
              <w:bottom w:val="single" w:color="auto" w:sz="4" w:space="0"/>
              <w:right w:val="single" w:color="auto" w:sz="4" w:space="0"/>
            </w:tcBorders>
            <w:shd w:val="clear" w:color="auto" w:fill="auto"/>
            <w:vAlign w:val="center"/>
          </w:tcPr>
          <w:p w14:paraId="11F7D764">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单价（元/㎡）</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75B01510">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highlight w:val="none"/>
                <w:u w:val="none"/>
                <w:lang w:val="en-US" w:eastAsia="zh-CN" w:bidi="ar"/>
              </w:rPr>
            </w:pPr>
            <w:r>
              <w:rPr>
                <w:rFonts w:hint="eastAsia" w:ascii="宋体" w:hAnsi="宋体" w:eastAsia="宋体" w:cs="宋体"/>
                <w:b/>
                <w:bCs/>
                <w:i w:val="0"/>
                <w:iCs w:val="0"/>
                <w:color w:val="000000"/>
                <w:kern w:val="0"/>
                <w:sz w:val="20"/>
                <w:szCs w:val="20"/>
                <w:highlight w:val="none"/>
                <w:u w:val="none"/>
                <w:lang w:val="en-US" w:eastAsia="zh-CN" w:bidi="ar"/>
              </w:rPr>
              <w:t>备注</w:t>
            </w:r>
          </w:p>
        </w:tc>
      </w:tr>
      <w:tr w14:paraId="37D13F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jc w:val="center"/>
        </w:trPr>
        <w:tc>
          <w:tcPr>
            <w:tcW w:w="806" w:type="dxa"/>
            <w:tcBorders>
              <w:top w:val="single" w:color="auto" w:sz="4" w:space="0"/>
              <w:left w:val="single" w:color="auto" w:sz="4" w:space="0"/>
              <w:bottom w:val="single" w:color="auto" w:sz="4" w:space="0"/>
              <w:right w:val="single" w:color="auto" w:sz="4" w:space="0"/>
            </w:tcBorders>
            <w:shd w:val="clear" w:color="auto" w:fill="auto"/>
            <w:vAlign w:val="center"/>
          </w:tcPr>
          <w:p w14:paraId="5FB8FCB0">
            <w:pPr>
              <w:jc w:val="center"/>
              <w:rPr>
                <w:rFonts w:hint="eastAsia" w:ascii="宋体" w:hAnsi="宋体" w:eastAsia="宋体" w:cs="宋体"/>
                <w:b/>
                <w:bCs/>
                <w:i w:val="0"/>
                <w:iCs w:val="0"/>
                <w:color w:val="000000"/>
                <w:sz w:val="20"/>
                <w:szCs w:val="20"/>
                <w:highlight w:val="none"/>
                <w:u w:val="none"/>
                <w:lang w:val="en-US" w:eastAsia="zh-CN"/>
              </w:rPr>
            </w:pPr>
            <w:r>
              <w:rPr>
                <w:rFonts w:hint="eastAsia" w:ascii="宋体" w:hAnsi="宋体" w:eastAsia="宋体" w:cs="宋体"/>
                <w:b/>
                <w:bCs/>
                <w:i w:val="0"/>
                <w:iCs w:val="0"/>
                <w:color w:val="000000"/>
                <w:sz w:val="20"/>
                <w:szCs w:val="20"/>
                <w:highlight w:val="none"/>
                <w:u w:val="none"/>
                <w:lang w:val="en-US" w:eastAsia="zh-CN"/>
              </w:rPr>
              <w:t>集中商业</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55F05C">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highlight w:val="none"/>
                <w:u w:val="none"/>
                <w:lang w:val="en-US" w:eastAsia="zh-CN" w:bidi="ar"/>
              </w:rPr>
            </w:pPr>
            <w:r>
              <w:rPr>
                <w:rFonts w:hint="eastAsia" w:ascii="宋体" w:hAnsi="宋体" w:eastAsia="宋体" w:cs="宋体"/>
                <w:b/>
                <w:bCs/>
                <w:i w:val="0"/>
                <w:iCs w:val="0"/>
                <w:color w:val="000000"/>
                <w:kern w:val="0"/>
                <w:sz w:val="20"/>
                <w:szCs w:val="20"/>
                <w:highlight w:val="none"/>
                <w:u w:val="none"/>
                <w:lang w:val="en-US" w:eastAsia="zh-CN" w:bidi="ar"/>
              </w:rPr>
              <w:t>负一层</w:t>
            </w:r>
          </w:p>
        </w:tc>
        <w:tc>
          <w:tcPr>
            <w:tcW w:w="17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167A20">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highlight w:val="none"/>
                <w:u w:val="none"/>
                <w:lang w:val="en-US" w:eastAsia="zh-CN" w:bidi="ar"/>
              </w:rPr>
            </w:pPr>
            <w:r>
              <w:rPr>
                <w:rFonts w:hint="default" w:ascii="宋体" w:hAnsi="宋体" w:eastAsia="宋体" w:cs="宋体"/>
                <w:b/>
                <w:bCs/>
                <w:i w:val="0"/>
                <w:iCs w:val="0"/>
                <w:color w:val="000000"/>
                <w:kern w:val="0"/>
                <w:sz w:val="20"/>
                <w:szCs w:val="20"/>
                <w:highlight w:val="none"/>
                <w:u w:val="none"/>
                <w:lang w:val="en-US" w:eastAsia="zh-CN" w:bidi="ar"/>
              </w:rPr>
              <w:t xml:space="preserve">17,837.05 </w:t>
            </w:r>
          </w:p>
        </w:tc>
        <w:tc>
          <w:tcPr>
            <w:tcW w:w="16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272458">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highlight w:val="none"/>
                <w:u w:val="none"/>
                <w:lang w:val="en-US" w:eastAsia="zh-CN" w:bidi="ar"/>
              </w:rPr>
            </w:pPr>
            <w:r>
              <w:rPr>
                <w:rFonts w:hint="default" w:ascii="宋体" w:hAnsi="宋体" w:eastAsia="宋体" w:cs="宋体"/>
                <w:b/>
                <w:bCs/>
                <w:i w:val="0"/>
                <w:iCs w:val="0"/>
                <w:color w:val="000000"/>
                <w:kern w:val="0"/>
                <w:sz w:val="20"/>
                <w:szCs w:val="20"/>
                <w:highlight w:val="none"/>
                <w:u w:val="none"/>
                <w:lang w:val="en-US" w:eastAsia="zh-CN" w:bidi="ar"/>
              </w:rPr>
              <w:t>235,000,000</w:t>
            </w:r>
          </w:p>
        </w:tc>
        <w:tc>
          <w:tcPr>
            <w:tcW w:w="9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108EE5">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highlight w:val="none"/>
                <w:u w:val="none"/>
                <w:lang w:val="en-US" w:eastAsia="zh-CN" w:bidi="ar"/>
              </w:rPr>
            </w:pPr>
            <w:r>
              <w:rPr>
                <w:rFonts w:hint="default" w:ascii="宋体" w:hAnsi="宋体" w:eastAsia="宋体" w:cs="宋体"/>
                <w:b/>
                <w:bCs/>
                <w:i w:val="0"/>
                <w:iCs w:val="0"/>
                <w:color w:val="000000"/>
                <w:kern w:val="0"/>
                <w:sz w:val="20"/>
                <w:szCs w:val="20"/>
                <w:highlight w:val="none"/>
                <w:u w:val="none"/>
                <w:lang w:val="en-US" w:eastAsia="zh-CN" w:bidi="ar"/>
              </w:rPr>
              <w:t>13,1</w:t>
            </w:r>
            <w:r>
              <w:rPr>
                <w:rFonts w:hint="eastAsia" w:ascii="宋体" w:hAnsi="宋体" w:eastAsia="宋体" w:cs="宋体"/>
                <w:b/>
                <w:bCs/>
                <w:i w:val="0"/>
                <w:iCs w:val="0"/>
                <w:color w:val="000000"/>
                <w:kern w:val="0"/>
                <w:sz w:val="20"/>
                <w:szCs w:val="20"/>
                <w:highlight w:val="none"/>
                <w:u w:val="none"/>
                <w:lang w:val="en-US" w:eastAsia="zh-CN" w:bidi="ar"/>
              </w:rPr>
              <w:t>60</w:t>
            </w:r>
          </w:p>
        </w:tc>
        <w:tc>
          <w:tcPr>
            <w:tcW w:w="108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3D033B">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highlight w:val="none"/>
                <w:u w:val="none"/>
                <w:lang w:val="en-US" w:eastAsia="zh-CN" w:bidi="ar"/>
              </w:rPr>
            </w:pPr>
            <w:r>
              <w:rPr>
                <w:rFonts w:hint="eastAsia" w:ascii="宋体" w:hAnsi="宋体" w:eastAsia="宋体" w:cs="宋体"/>
                <w:b/>
                <w:bCs/>
                <w:i w:val="0"/>
                <w:iCs w:val="0"/>
                <w:color w:val="000000"/>
                <w:kern w:val="0"/>
                <w:sz w:val="20"/>
                <w:szCs w:val="20"/>
                <w:highlight w:val="none"/>
                <w:u w:val="none"/>
                <w:lang w:val="en-US" w:eastAsia="zh-CN" w:bidi="ar"/>
              </w:rPr>
              <w:t>未抵押</w:t>
            </w:r>
          </w:p>
        </w:tc>
      </w:tr>
      <w:tr w14:paraId="37E0D5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jc w:val="center"/>
        </w:trPr>
        <w:tc>
          <w:tcPr>
            <w:tcW w:w="7131"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256147FD">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highlight w:val="none"/>
                <w:u w:val="none"/>
                <w:lang w:val="en-US" w:eastAsia="zh-CN" w:bidi="ar"/>
              </w:rPr>
            </w:pPr>
            <w:r>
              <w:rPr>
                <w:rFonts w:hint="eastAsia" w:ascii="Arial" w:hAnsi="Arial" w:eastAsia="等线" w:cs="Arial"/>
                <w:b/>
                <w:bCs/>
                <w:i w:val="0"/>
                <w:iCs w:val="0"/>
                <w:color w:val="000000"/>
                <w:kern w:val="0"/>
                <w:sz w:val="20"/>
                <w:szCs w:val="20"/>
                <w:highlight w:val="none"/>
                <w:u w:val="none"/>
                <w:lang w:val="en-US" w:eastAsia="zh-CN" w:bidi="ar"/>
              </w:rPr>
              <w:t>以上面积为预测面积，</w:t>
            </w:r>
            <w:r>
              <w:rPr>
                <w:rFonts w:hint="default" w:ascii="Arial" w:hAnsi="Arial" w:eastAsia="等线" w:cs="Arial"/>
                <w:b/>
                <w:bCs/>
                <w:i w:val="0"/>
                <w:iCs w:val="0"/>
                <w:color w:val="000000"/>
                <w:kern w:val="0"/>
                <w:sz w:val="20"/>
                <w:szCs w:val="20"/>
                <w:highlight w:val="none"/>
                <w:u w:val="none"/>
                <w:lang w:val="en-US" w:eastAsia="zh-CN" w:bidi="ar"/>
              </w:rPr>
              <w:t>最终</w:t>
            </w:r>
            <w:r>
              <w:rPr>
                <w:rFonts w:hint="eastAsia" w:ascii="Arial" w:hAnsi="Arial" w:eastAsia="等线" w:cs="Arial"/>
                <w:b/>
                <w:bCs/>
                <w:i w:val="0"/>
                <w:iCs w:val="0"/>
                <w:color w:val="000000"/>
                <w:kern w:val="0"/>
                <w:sz w:val="20"/>
                <w:szCs w:val="20"/>
                <w:highlight w:val="none"/>
                <w:u w:val="none"/>
                <w:lang w:val="en-US" w:eastAsia="zh-CN" w:bidi="ar"/>
              </w:rPr>
              <w:t>面积以</w:t>
            </w:r>
            <w:r>
              <w:rPr>
                <w:rFonts w:hint="default" w:ascii="Arial" w:hAnsi="Arial" w:eastAsia="等线" w:cs="Arial"/>
                <w:b/>
                <w:bCs/>
                <w:i w:val="0"/>
                <w:iCs w:val="0"/>
                <w:color w:val="000000"/>
                <w:kern w:val="0"/>
                <w:sz w:val="20"/>
                <w:szCs w:val="20"/>
                <w:highlight w:val="none"/>
                <w:u w:val="none"/>
                <w:lang w:val="en-US" w:eastAsia="zh-CN" w:bidi="ar"/>
              </w:rPr>
              <w:t>实测为准</w:t>
            </w:r>
          </w:p>
        </w:tc>
      </w:tr>
    </w:tbl>
    <w:p w14:paraId="2505D6C6">
      <w:pPr>
        <w:pStyle w:val="3"/>
        <w:keepNext w:val="0"/>
        <w:keepLines w:val="0"/>
        <w:pageBreakBefore w:val="0"/>
        <w:widowControl/>
        <w:kinsoku/>
        <w:wordWrap/>
        <w:overflowPunct/>
        <w:topLinePunct w:val="0"/>
        <w:autoSpaceDE/>
        <w:autoSpaceDN/>
        <w:bidi w:val="0"/>
        <w:adjustRightInd/>
        <w:snapToGrid/>
        <w:spacing w:beforeAutospacing="0" w:afterAutospacing="0" w:line="500" w:lineRule="exact"/>
        <w:ind w:firstLine="480" w:firstLineChars="200"/>
        <w:jc w:val="both"/>
        <w:textAlignment w:val="auto"/>
        <w:rPr>
          <w:rFonts w:hint="eastAsia" w:ascii="微软雅黑" w:hAnsi="微软雅黑" w:eastAsia="微软雅黑" w:cs="微软雅黑"/>
          <w:b/>
          <w:bCs/>
          <w:color w:val="FF0000"/>
          <w:highlight w:val="none"/>
          <w:lang w:val="en-US" w:eastAsia="zh-CN"/>
        </w:rPr>
      </w:pPr>
      <w:r>
        <w:rPr>
          <w:rFonts w:hint="eastAsia" w:ascii="微软雅黑" w:hAnsi="微软雅黑" w:eastAsia="微软雅黑" w:cs="微软雅黑"/>
          <w:b/>
          <w:bCs/>
          <w:color w:val="FF0000"/>
          <w:highlight w:val="none"/>
          <w:lang w:val="en-US" w:eastAsia="zh-CN"/>
        </w:rPr>
        <w:t>特别说明：</w:t>
      </w:r>
    </w:p>
    <w:p w14:paraId="308EE853">
      <w:pPr>
        <w:pStyle w:val="3"/>
        <w:keepNext w:val="0"/>
        <w:keepLines w:val="0"/>
        <w:widowControl/>
        <w:suppressLineNumbers w:val="0"/>
        <w:autoSpaceDE w:val="0"/>
        <w:autoSpaceDN/>
        <w:spacing w:before="0" w:beforeAutospacing="1" w:after="0" w:afterAutospacing="1" w:line="500" w:lineRule="exact"/>
        <w:ind w:left="0" w:right="0" w:firstLine="480" w:firstLineChars="200"/>
        <w:jc w:val="both"/>
        <w:rPr>
          <w:rFonts w:hint="default" w:ascii="微软雅黑" w:hAnsi="微软雅黑" w:eastAsia="微软雅黑" w:cs="微软雅黑"/>
          <w:b/>
          <w:bCs/>
          <w:color w:val="FF0000"/>
          <w:highlight w:val="none"/>
          <w:lang w:val="en-US" w:eastAsia="zh-CN"/>
        </w:rPr>
      </w:pPr>
      <w:r>
        <w:rPr>
          <w:rFonts w:hint="default" w:ascii="微软雅黑" w:hAnsi="微软雅黑" w:eastAsia="微软雅黑" w:cs="微软雅黑"/>
          <w:b/>
          <w:bCs/>
          <w:color w:val="FF0000"/>
          <w:kern w:val="0"/>
          <w:sz w:val="24"/>
          <w:szCs w:val="24"/>
          <w:lang w:val="en-US" w:eastAsia="zh-CN" w:bidi="ar"/>
        </w:rPr>
        <w:t>标的状况为在建工程现状，交付状态为现状交付，</w:t>
      </w:r>
      <w:r>
        <w:rPr>
          <w:rFonts w:hint="default" w:ascii="微软雅黑" w:hAnsi="微软雅黑" w:eastAsia="微软雅黑" w:cs="微软雅黑"/>
          <w:b/>
          <w:bCs/>
          <w:color w:val="FF0000"/>
          <w:kern w:val="0"/>
          <w:sz w:val="24"/>
          <w:szCs w:val="24"/>
          <w:lang w:eastAsia="zh-CN" w:bidi="ar"/>
        </w:rPr>
        <w:t>未</w:t>
      </w:r>
      <w:r>
        <w:rPr>
          <w:rFonts w:hint="default" w:ascii="微软雅黑" w:hAnsi="微软雅黑" w:eastAsia="微软雅黑" w:cs="微软雅黑"/>
          <w:b/>
          <w:bCs/>
          <w:color w:val="FF0000"/>
          <w:kern w:val="0"/>
          <w:sz w:val="24"/>
          <w:szCs w:val="24"/>
          <w:lang w:val="en-US" w:eastAsia="zh-CN" w:bidi="ar"/>
        </w:rPr>
        <w:t>竣备，请竞拍人知悉</w:t>
      </w:r>
      <w:r>
        <w:rPr>
          <w:rFonts w:hint="eastAsia" w:ascii="微软雅黑" w:hAnsi="微软雅黑" w:eastAsia="微软雅黑" w:cs="微软雅黑"/>
          <w:b/>
          <w:bCs/>
          <w:color w:val="FF0000"/>
          <w:highlight w:val="none"/>
          <w:lang w:val="en-US" w:eastAsia="zh-CN"/>
        </w:rPr>
        <w:t>。</w:t>
      </w:r>
    </w:p>
    <w:p w14:paraId="20EB5A73">
      <w:pPr>
        <w:pStyle w:val="3"/>
        <w:widowControl/>
        <w:spacing w:beforeAutospacing="0" w:afterAutospacing="0" w:line="500" w:lineRule="exact"/>
        <w:jc w:val="both"/>
        <w:rPr>
          <w:rFonts w:ascii="微软雅黑" w:hAnsi="微软雅黑" w:eastAsia="微软雅黑" w:cs="微软雅黑"/>
          <w:b/>
          <w:bCs/>
          <w:highlight w:val="none"/>
        </w:rPr>
      </w:pPr>
    </w:p>
    <w:p w14:paraId="1956542D">
      <w:pPr>
        <w:pStyle w:val="3"/>
        <w:widowControl/>
        <w:spacing w:beforeAutospacing="0" w:afterAutospacing="0" w:line="500" w:lineRule="exact"/>
        <w:jc w:val="both"/>
        <w:rPr>
          <w:b/>
          <w:bCs/>
          <w:highlight w:val="none"/>
        </w:rPr>
      </w:pPr>
      <w:r>
        <w:rPr>
          <w:rFonts w:hint="eastAsia" w:ascii="微软雅黑" w:hAnsi="微软雅黑" w:eastAsia="微软雅黑" w:cs="微软雅黑"/>
          <w:b/>
          <w:bCs/>
          <w:highlight w:val="none"/>
        </w:rPr>
        <w:t>二、咨询、展示看样的时间与方式</w:t>
      </w:r>
    </w:p>
    <w:p w14:paraId="494511EB">
      <w:pPr>
        <w:pStyle w:val="3"/>
        <w:widowControl/>
        <w:spacing w:beforeAutospacing="0" w:afterAutospacing="0" w:line="500" w:lineRule="exact"/>
        <w:ind w:firstLine="480" w:firstLineChars="200"/>
        <w:jc w:val="both"/>
        <w:rPr>
          <w:highlight w:val="none"/>
        </w:rPr>
      </w:pPr>
      <w:r>
        <w:rPr>
          <w:rFonts w:hint="eastAsia" w:ascii="微软雅黑" w:hAnsi="微软雅黑" w:eastAsia="微软雅黑" w:cs="微软雅黑"/>
          <w:highlight w:val="none"/>
        </w:rPr>
        <w:t>自</w:t>
      </w:r>
      <w:r>
        <w:rPr>
          <w:rFonts w:hint="eastAsia" w:ascii="微软雅黑" w:hAnsi="微软雅黑" w:eastAsia="微软雅黑" w:cs="微软雅黑"/>
          <w:b/>
          <w:bCs/>
          <w:color w:val="FF0000"/>
          <w:highlight w:val="none"/>
        </w:rPr>
        <w:t>20</w:t>
      </w:r>
      <w:r>
        <w:rPr>
          <w:rFonts w:hint="eastAsia" w:ascii="微软雅黑" w:hAnsi="微软雅黑" w:eastAsia="微软雅黑" w:cs="微软雅黑"/>
          <w:b/>
          <w:bCs/>
          <w:color w:val="FF0000"/>
          <w:highlight w:val="none"/>
          <w:lang w:val="en-US" w:eastAsia="zh-CN"/>
        </w:rPr>
        <w:t>24</w:t>
      </w:r>
      <w:r>
        <w:rPr>
          <w:rFonts w:hint="eastAsia" w:ascii="微软雅黑" w:hAnsi="微软雅黑" w:eastAsia="微软雅黑" w:cs="微软雅黑"/>
          <w:b/>
          <w:bCs/>
          <w:color w:val="FF0000"/>
          <w:highlight w:val="none"/>
        </w:rPr>
        <w:t>年</w:t>
      </w:r>
      <w:r>
        <w:rPr>
          <w:rFonts w:hint="eastAsia" w:ascii="微软雅黑" w:hAnsi="微软雅黑" w:eastAsia="微软雅黑" w:cs="微软雅黑"/>
          <w:b/>
          <w:bCs/>
          <w:color w:val="FF0000"/>
          <w:highlight w:val="none"/>
          <w:lang w:val="en-US" w:eastAsia="zh-CN"/>
        </w:rPr>
        <w:t>7</w:t>
      </w:r>
      <w:r>
        <w:rPr>
          <w:rFonts w:hint="eastAsia" w:ascii="微软雅黑" w:hAnsi="微软雅黑" w:eastAsia="微软雅黑" w:cs="微软雅黑"/>
          <w:b/>
          <w:bCs/>
          <w:color w:val="FF0000"/>
          <w:highlight w:val="none"/>
        </w:rPr>
        <w:t>月</w:t>
      </w:r>
      <w:r>
        <w:rPr>
          <w:rFonts w:hint="eastAsia" w:ascii="微软雅黑" w:hAnsi="微软雅黑" w:eastAsia="微软雅黑" w:cs="微软雅黑"/>
          <w:b/>
          <w:bCs/>
          <w:color w:val="FF0000"/>
          <w:highlight w:val="none"/>
          <w:lang w:val="en-US" w:eastAsia="zh-CN"/>
        </w:rPr>
        <w:t>17</w:t>
      </w:r>
      <w:r>
        <w:rPr>
          <w:rFonts w:hint="eastAsia" w:ascii="微软雅黑" w:hAnsi="微软雅黑" w:eastAsia="微软雅黑" w:cs="微软雅黑"/>
          <w:b/>
          <w:bCs/>
          <w:color w:val="FF0000"/>
          <w:highlight w:val="none"/>
        </w:rPr>
        <w:t>日起至20</w:t>
      </w:r>
      <w:r>
        <w:rPr>
          <w:rFonts w:ascii="微软雅黑" w:hAnsi="微软雅黑" w:eastAsia="微软雅黑" w:cs="微软雅黑"/>
          <w:b/>
          <w:bCs/>
          <w:color w:val="FF0000"/>
          <w:highlight w:val="none"/>
        </w:rPr>
        <w:t>2</w:t>
      </w:r>
      <w:r>
        <w:rPr>
          <w:rFonts w:hint="eastAsia" w:ascii="微软雅黑" w:hAnsi="微软雅黑" w:eastAsia="微软雅黑" w:cs="微软雅黑"/>
          <w:b/>
          <w:bCs/>
          <w:color w:val="FF0000"/>
          <w:highlight w:val="none"/>
          <w:lang w:val="en-US" w:eastAsia="zh-CN"/>
        </w:rPr>
        <w:t>4</w:t>
      </w:r>
      <w:r>
        <w:rPr>
          <w:rFonts w:hint="eastAsia" w:ascii="微软雅黑" w:hAnsi="微软雅黑" w:eastAsia="微软雅黑" w:cs="微软雅黑"/>
          <w:b/>
          <w:bCs/>
          <w:color w:val="FF0000"/>
          <w:highlight w:val="none"/>
        </w:rPr>
        <w:t>年</w:t>
      </w:r>
      <w:r>
        <w:rPr>
          <w:rFonts w:hint="eastAsia" w:ascii="微软雅黑" w:hAnsi="微软雅黑" w:eastAsia="微软雅黑" w:cs="微软雅黑"/>
          <w:b/>
          <w:bCs/>
          <w:color w:val="FF0000"/>
          <w:highlight w:val="none"/>
          <w:lang w:val="en-US" w:eastAsia="zh-CN"/>
        </w:rPr>
        <w:t>8</w:t>
      </w:r>
      <w:r>
        <w:rPr>
          <w:rFonts w:hint="eastAsia" w:ascii="微软雅黑" w:hAnsi="微软雅黑" w:eastAsia="微软雅黑" w:cs="微软雅黑"/>
          <w:b/>
          <w:bCs/>
          <w:color w:val="FF0000"/>
          <w:highlight w:val="none"/>
        </w:rPr>
        <w:t>月</w:t>
      </w:r>
      <w:r>
        <w:rPr>
          <w:rFonts w:hint="eastAsia" w:ascii="微软雅黑" w:hAnsi="微软雅黑" w:eastAsia="微软雅黑" w:cs="微软雅黑"/>
          <w:b/>
          <w:bCs/>
          <w:color w:val="FF0000"/>
          <w:highlight w:val="none"/>
          <w:lang w:val="en-US" w:eastAsia="zh-CN"/>
        </w:rPr>
        <w:t>18</w:t>
      </w:r>
      <w:r>
        <w:rPr>
          <w:rFonts w:hint="eastAsia" w:ascii="微软雅黑" w:hAnsi="微软雅黑" w:eastAsia="微软雅黑" w:cs="微软雅黑"/>
          <w:b/>
          <w:bCs/>
          <w:color w:val="FF0000"/>
          <w:highlight w:val="none"/>
        </w:rPr>
        <w:t>日</w:t>
      </w:r>
      <w:r>
        <w:rPr>
          <w:rFonts w:hint="eastAsia" w:ascii="微软雅黑" w:hAnsi="微软雅黑" w:eastAsia="微软雅黑" w:cs="微软雅黑"/>
          <w:b/>
          <w:bCs/>
          <w:color w:val="FF0000"/>
          <w:highlight w:val="none"/>
          <w:lang w:val="en-US" w:eastAsia="zh-CN"/>
        </w:rPr>
        <w:t>17</w:t>
      </w:r>
      <w:r>
        <w:rPr>
          <w:rFonts w:hint="eastAsia" w:ascii="微软雅黑" w:hAnsi="微软雅黑" w:eastAsia="微软雅黑" w:cs="微软雅黑"/>
          <w:b/>
          <w:bCs/>
          <w:color w:val="FF0000"/>
          <w:highlight w:val="none"/>
        </w:rPr>
        <w:t>时</w:t>
      </w:r>
      <w:r>
        <w:rPr>
          <w:rFonts w:hint="eastAsia" w:ascii="微软雅黑" w:hAnsi="微软雅黑" w:eastAsia="微软雅黑" w:cs="微软雅黑"/>
          <w:highlight w:val="none"/>
        </w:rPr>
        <w:t>止（节假日除外）接受咨询，联系人：</w:t>
      </w:r>
      <w:r>
        <w:rPr>
          <w:rFonts w:hint="eastAsia" w:ascii="微软雅黑" w:hAnsi="微软雅黑" w:eastAsia="微软雅黑" w:cs="微软雅黑"/>
          <w:highlight w:val="none"/>
          <w:lang w:val="en-US" w:eastAsia="zh-CN"/>
        </w:rPr>
        <w:t>谢景斌、周玲、张睿</w:t>
      </w:r>
      <w:r>
        <w:rPr>
          <w:rFonts w:hint="eastAsia" w:ascii="微软雅黑" w:hAnsi="微软雅黑" w:eastAsia="微软雅黑" w:cs="微软雅黑"/>
          <w:highlight w:val="none"/>
        </w:rPr>
        <w:t>，咨询电话：</w:t>
      </w:r>
      <w:r>
        <w:rPr>
          <w:rFonts w:hint="eastAsia" w:ascii="微软雅黑" w:hAnsi="微软雅黑" w:eastAsia="微软雅黑" w:cs="微软雅黑"/>
          <w:highlight w:val="none"/>
          <w:lang w:val="en-US" w:eastAsia="zh-CN"/>
        </w:rPr>
        <w:t>027-88739033 15927216639</w:t>
      </w:r>
      <w:r>
        <w:rPr>
          <w:rFonts w:hint="eastAsia" w:ascii="微软雅黑" w:hAnsi="微软雅黑" w:eastAsia="微软雅黑" w:cs="微软雅黑"/>
          <w:highlight w:val="none"/>
        </w:rPr>
        <w:t>。有意者可自行看样，或与联系人沟通具体看样方式。</w:t>
      </w:r>
    </w:p>
    <w:p w14:paraId="11E12F4C">
      <w:pPr>
        <w:pStyle w:val="3"/>
        <w:widowControl/>
        <w:spacing w:beforeAutospacing="0" w:afterAutospacing="0" w:line="500" w:lineRule="exact"/>
        <w:jc w:val="both"/>
        <w:rPr>
          <w:rFonts w:ascii="微软雅黑" w:hAnsi="微软雅黑" w:eastAsia="微软雅黑" w:cs="微软雅黑"/>
          <w:b/>
          <w:bCs/>
          <w:highlight w:val="none"/>
        </w:rPr>
      </w:pPr>
    </w:p>
    <w:p w14:paraId="7FA533D2">
      <w:pPr>
        <w:pStyle w:val="3"/>
        <w:widowControl/>
        <w:spacing w:beforeAutospacing="0" w:afterAutospacing="0" w:line="500" w:lineRule="exact"/>
        <w:jc w:val="both"/>
        <w:rPr>
          <w:b/>
          <w:bCs/>
          <w:highlight w:val="none"/>
        </w:rPr>
      </w:pPr>
      <w:r>
        <w:rPr>
          <w:rFonts w:hint="eastAsia" w:ascii="微软雅黑" w:hAnsi="微软雅黑" w:eastAsia="微软雅黑" w:cs="微软雅黑"/>
          <w:b/>
          <w:bCs/>
          <w:highlight w:val="none"/>
        </w:rPr>
        <w:t>三、标的已知优先购买权人：</w:t>
      </w:r>
      <w:r>
        <w:rPr>
          <w:rFonts w:hint="default" w:ascii="微软雅黑" w:hAnsi="微软雅黑" w:eastAsia="微软雅黑" w:cs="微软雅黑"/>
          <w:b/>
          <w:bCs/>
          <w:highlight w:val="none"/>
        </w:rPr>
        <w:t>缤购城公司的债权人</w:t>
      </w:r>
      <w:r>
        <w:rPr>
          <w:rFonts w:hint="eastAsia" w:ascii="微软雅黑" w:hAnsi="微软雅黑" w:eastAsia="微软雅黑" w:cs="微软雅黑"/>
          <w:b/>
          <w:bCs/>
          <w:highlight w:val="none"/>
          <w:lang w:val="en-US" w:eastAsia="zh-CN"/>
        </w:rPr>
        <w:t>及其成立的公司</w:t>
      </w:r>
      <w:r>
        <w:rPr>
          <w:rFonts w:hint="eastAsia" w:ascii="微软雅黑" w:hAnsi="微软雅黑" w:eastAsia="微软雅黑" w:cs="微软雅黑"/>
          <w:b/>
          <w:bCs/>
          <w:highlight w:val="none"/>
        </w:rPr>
        <w:t>。</w:t>
      </w:r>
    </w:p>
    <w:p w14:paraId="521BD24C">
      <w:pPr>
        <w:pStyle w:val="3"/>
        <w:widowControl/>
        <w:spacing w:beforeAutospacing="0" w:afterAutospacing="0" w:line="500" w:lineRule="exact"/>
        <w:ind w:firstLine="480" w:firstLineChars="200"/>
        <w:jc w:val="both"/>
        <w:rPr>
          <w:rFonts w:ascii="微软雅黑" w:hAnsi="微软雅黑" w:eastAsia="微软雅黑" w:cs="微软雅黑"/>
          <w:highlight w:val="none"/>
        </w:rPr>
      </w:pPr>
      <w:r>
        <w:rPr>
          <w:rFonts w:hint="eastAsia" w:ascii="微软雅黑" w:hAnsi="微软雅黑" w:eastAsia="微软雅黑" w:cs="微软雅黑"/>
          <w:highlight w:val="none"/>
        </w:rPr>
        <w:t>竞价标的如若存在优先购买权人，优先购买权人参加竞买的，应于竞价活动开始5个工作日前向上拍机构或管理人提交合法有效的证明（登记的证件信息必须与京东实名认证相一致），资格经本上拍机构或公司确认后才能以优先购买权人的身份参与竞买，逾期不提交的，视为放弃对本标的物享有优先购买权。本标的优先购买权人未参加竞价，亦视为放弃优先购买权。</w:t>
      </w:r>
    </w:p>
    <w:p w14:paraId="00641810">
      <w:pPr>
        <w:pStyle w:val="3"/>
        <w:widowControl/>
        <w:spacing w:beforeAutospacing="0" w:afterAutospacing="0" w:line="500" w:lineRule="exact"/>
        <w:jc w:val="both"/>
        <w:rPr>
          <w:rFonts w:ascii="微软雅黑" w:hAnsi="微软雅黑" w:eastAsia="微软雅黑" w:cs="微软雅黑"/>
          <w:b/>
          <w:bCs/>
          <w:highlight w:val="none"/>
        </w:rPr>
      </w:pPr>
    </w:p>
    <w:p w14:paraId="4CB5BD06">
      <w:pPr>
        <w:pStyle w:val="3"/>
        <w:widowControl/>
        <w:spacing w:beforeAutospacing="0" w:afterAutospacing="0" w:line="500" w:lineRule="exact"/>
        <w:jc w:val="both"/>
        <w:rPr>
          <w:b/>
          <w:bCs/>
          <w:highlight w:val="none"/>
        </w:rPr>
      </w:pPr>
      <w:r>
        <w:rPr>
          <w:rFonts w:hint="eastAsia" w:ascii="微软雅黑" w:hAnsi="微软雅黑" w:eastAsia="微软雅黑" w:cs="微软雅黑"/>
          <w:b/>
          <w:bCs/>
          <w:highlight w:val="none"/>
        </w:rPr>
        <w:t>四、对上述标的权属有异议者，竞价开始前5天与管理人联系。与本标的物有利害关系的当事人可参加竞价，不参加竞价的请关注本次竞价活动的整个过程。</w:t>
      </w:r>
    </w:p>
    <w:p w14:paraId="4DA143CF">
      <w:pPr>
        <w:pStyle w:val="3"/>
        <w:widowControl/>
        <w:spacing w:beforeAutospacing="0" w:afterAutospacing="0" w:line="500" w:lineRule="exact"/>
        <w:jc w:val="both"/>
        <w:rPr>
          <w:rFonts w:hint="eastAsia" w:ascii="微软雅黑" w:hAnsi="微软雅黑" w:eastAsia="微软雅黑" w:cs="微软雅黑"/>
          <w:b/>
          <w:bCs/>
          <w:highlight w:val="none"/>
        </w:rPr>
      </w:pPr>
    </w:p>
    <w:p w14:paraId="11E273E6">
      <w:pPr>
        <w:pStyle w:val="3"/>
        <w:widowControl/>
        <w:spacing w:beforeAutospacing="0" w:afterAutospacing="0" w:line="500" w:lineRule="exact"/>
        <w:jc w:val="both"/>
        <w:rPr>
          <w:b/>
          <w:bCs/>
          <w:highlight w:val="none"/>
        </w:rPr>
      </w:pPr>
      <w:r>
        <w:rPr>
          <w:rFonts w:hint="eastAsia" w:ascii="微软雅黑" w:hAnsi="微软雅黑" w:eastAsia="微软雅黑" w:cs="微软雅黑"/>
          <w:b/>
          <w:bCs/>
          <w:highlight w:val="none"/>
        </w:rPr>
        <w:t>五、竞价方式</w:t>
      </w:r>
    </w:p>
    <w:p w14:paraId="63177394">
      <w:pPr>
        <w:pStyle w:val="3"/>
        <w:widowControl/>
        <w:spacing w:beforeAutospacing="0" w:afterAutospacing="0" w:line="500" w:lineRule="exact"/>
        <w:jc w:val="both"/>
        <w:rPr>
          <w:highlight w:val="none"/>
        </w:rPr>
      </w:pPr>
      <w:r>
        <w:rPr>
          <w:rFonts w:hint="eastAsia" w:ascii="微软雅黑" w:hAnsi="微软雅黑" w:eastAsia="微软雅黑" w:cs="微软雅黑"/>
          <w:highlight w:val="none"/>
        </w:rPr>
        <w:t>（一）竞价从起拍价开始以递增出价方式竞价，增价幅度由管理人确定，竞买人以低于起拍价出价的无效。</w:t>
      </w:r>
    </w:p>
    <w:p w14:paraId="6DD4A227">
      <w:pPr>
        <w:pStyle w:val="3"/>
        <w:widowControl/>
        <w:spacing w:beforeAutospacing="0" w:afterAutospacing="0" w:line="500" w:lineRule="exact"/>
        <w:jc w:val="both"/>
        <w:rPr>
          <w:highlight w:val="none"/>
        </w:rPr>
      </w:pPr>
      <w:r>
        <w:rPr>
          <w:rFonts w:hint="eastAsia" w:ascii="微软雅黑" w:hAnsi="微软雅黑" w:eastAsia="微软雅黑" w:cs="微软雅黑"/>
          <w:highlight w:val="none"/>
        </w:rPr>
        <w:t>（二）本次竞价活动设置延时出价功能，在竞价活动结束前，每最后5分钟如果有竞买人出价，就自动延迟5分钟。</w:t>
      </w:r>
    </w:p>
    <w:p w14:paraId="3457AA1D">
      <w:pPr>
        <w:pStyle w:val="3"/>
        <w:widowControl/>
        <w:spacing w:beforeAutospacing="0" w:afterAutospacing="0" w:line="500" w:lineRule="exact"/>
        <w:jc w:val="both"/>
        <w:rPr>
          <w:rFonts w:hint="default" w:ascii="微软雅黑" w:hAnsi="微软雅黑" w:eastAsia="微软雅黑" w:cs="微软雅黑"/>
          <w:highlight w:val="none"/>
        </w:rPr>
      </w:pPr>
      <w:r>
        <w:rPr>
          <w:rFonts w:hint="eastAsia" w:ascii="微软雅黑" w:hAnsi="微软雅黑" w:eastAsia="微软雅黑" w:cs="微软雅黑"/>
          <w:highlight w:val="none"/>
        </w:rPr>
        <w:t>（三）本次拍卖保留价为起拍价。</w:t>
      </w:r>
    </w:p>
    <w:p w14:paraId="40EE8569">
      <w:pPr>
        <w:widowControl/>
        <w:numPr>
          <w:ilvl w:val="255"/>
          <w:numId w:val="0"/>
        </w:numPr>
        <w:rPr>
          <w:rFonts w:hint="eastAsia" w:ascii="仿宋" w:hAnsi="仿宋" w:eastAsia="仿宋" w:cs="仿宋"/>
          <w:bCs/>
          <w:sz w:val="32"/>
          <w:szCs w:val="32"/>
          <w:lang w:val="en-US" w:eastAsia="zh-CN"/>
        </w:rPr>
      </w:pPr>
    </w:p>
    <w:p w14:paraId="3ABA9682">
      <w:pPr>
        <w:pStyle w:val="3"/>
        <w:widowControl/>
        <w:spacing w:beforeAutospacing="0" w:afterAutospacing="0" w:line="500" w:lineRule="exact"/>
        <w:jc w:val="both"/>
        <w:rPr>
          <w:rFonts w:hint="eastAsia" w:ascii="微软雅黑" w:hAnsi="微软雅黑" w:eastAsia="微软雅黑" w:cs="微软雅黑"/>
          <w:b/>
          <w:bCs/>
          <w:highlight w:val="none"/>
        </w:rPr>
      </w:pPr>
      <w:r>
        <w:rPr>
          <w:rFonts w:hint="eastAsia" w:ascii="微软雅黑" w:hAnsi="微软雅黑" w:eastAsia="微软雅黑" w:cs="微软雅黑"/>
          <w:b/>
          <w:bCs/>
          <w:highlight w:val="none"/>
          <w:lang w:val="en-US" w:eastAsia="zh-CN"/>
        </w:rPr>
        <w:t>六、</w:t>
      </w:r>
      <w:r>
        <w:rPr>
          <w:rFonts w:hint="eastAsia" w:ascii="微软雅黑" w:hAnsi="微软雅黑" w:eastAsia="微软雅黑" w:cs="微软雅黑"/>
          <w:b/>
          <w:bCs/>
          <w:highlight w:val="none"/>
        </w:rPr>
        <w:t>竞买条件</w:t>
      </w:r>
    </w:p>
    <w:p w14:paraId="03BA1794">
      <w:pPr>
        <w:pStyle w:val="3"/>
        <w:widowControl/>
        <w:numPr>
          <w:ilvl w:val="0"/>
          <w:numId w:val="0"/>
        </w:numPr>
        <w:spacing w:beforeAutospacing="0" w:afterAutospacing="0" w:line="500" w:lineRule="exact"/>
        <w:jc w:val="both"/>
        <w:rPr>
          <w:rFonts w:hint="eastAsia" w:ascii="微软雅黑" w:hAnsi="微软雅黑" w:eastAsia="微软雅黑" w:cs="微软雅黑"/>
          <w:highlight w:val="none"/>
        </w:rPr>
      </w:pPr>
      <w:r>
        <w:rPr>
          <w:rFonts w:hint="eastAsia" w:ascii="微软雅黑" w:hAnsi="微软雅黑" w:eastAsia="微软雅黑" w:cs="微软雅黑"/>
          <w:highlight w:val="none"/>
        </w:rPr>
        <w:t>1.具有较高的社会责任感和良好的商业信誉；</w:t>
      </w:r>
    </w:p>
    <w:p w14:paraId="5F05B3AC">
      <w:pPr>
        <w:pStyle w:val="3"/>
        <w:widowControl/>
        <w:numPr>
          <w:ilvl w:val="0"/>
          <w:numId w:val="0"/>
        </w:numPr>
        <w:spacing w:beforeAutospacing="0" w:afterAutospacing="0" w:line="500" w:lineRule="exact"/>
        <w:jc w:val="both"/>
        <w:rPr>
          <w:rFonts w:hint="eastAsia" w:ascii="微软雅黑" w:hAnsi="微软雅黑" w:eastAsia="微软雅黑" w:cs="微软雅黑"/>
          <w:highlight w:val="none"/>
        </w:rPr>
      </w:pPr>
      <w:r>
        <w:rPr>
          <w:rFonts w:hint="eastAsia" w:ascii="微软雅黑" w:hAnsi="微软雅黑" w:eastAsia="微软雅黑" w:cs="微软雅黑"/>
          <w:highlight w:val="none"/>
        </w:rPr>
        <w:t>2.拥有足够的资金实力，且资金来源合法合规；</w:t>
      </w:r>
    </w:p>
    <w:p w14:paraId="796A032B">
      <w:pPr>
        <w:pStyle w:val="3"/>
        <w:widowControl/>
        <w:numPr>
          <w:ilvl w:val="0"/>
          <w:numId w:val="0"/>
        </w:numPr>
        <w:spacing w:beforeAutospacing="0" w:afterAutospacing="0" w:line="500" w:lineRule="exact"/>
        <w:jc w:val="both"/>
        <w:rPr>
          <w:rFonts w:hint="eastAsia" w:ascii="微软雅黑" w:hAnsi="微软雅黑" w:eastAsia="微软雅黑" w:cs="微软雅黑"/>
          <w:highlight w:val="none"/>
        </w:rPr>
      </w:pPr>
      <w:r>
        <w:rPr>
          <w:rFonts w:hint="eastAsia" w:ascii="微软雅黑" w:hAnsi="微软雅黑" w:eastAsia="微软雅黑" w:cs="微软雅黑"/>
          <w:highlight w:val="none"/>
        </w:rPr>
        <w:t>3.应具有相关行业背景，拥有商业经营、管理经验；</w:t>
      </w:r>
    </w:p>
    <w:p w14:paraId="1E36683F">
      <w:pPr>
        <w:pStyle w:val="3"/>
        <w:widowControl/>
        <w:numPr>
          <w:ilvl w:val="0"/>
          <w:numId w:val="0"/>
        </w:numPr>
        <w:spacing w:beforeAutospacing="0" w:afterAutospacing="0" w:line="500" w:lineRule="exact"/>
        <w:jc w:val="both"/>
        <w:rPr>
          <w:rFonts w:hint="eastAsia" w:ascii="微软雅黑" w:hAnsi="微软雅黑" w:eastAsia="微软雅黑" w:cs="微软雅黑"/>
          <w:highlight w:val="none"/>
        </w:rPr>
      </w:pPr>
      <w:r>
        <w:rPr>
          <w:rFonts w:hint="eastAsia" w:ascii="微软雅黑" w:hAnsi="微软雅黑" w:eastAsia="微软雅黑" w:cs="微软雅黑"/>
          <w:highlight w:val="none"/>
        </w:rPr>
        <w:t>4.近三年没有重大违法违规行为，未被人民法院列入失信被执行人名单，不属于失信联合惩戒对象。</w:t>
      </w:r>
    </w:p>
    <w:p w14:paraId="11B5EC5D">
      <w:pPr>
        <w:pStyle w:val="3"/>
        <w:widowControl/>
        <w:spacing w:beforeAutospacing="0" w:afterAutospacing="0" w:line="500" w:lineRule="exact"/>
        <w:ind w:firstLine="480" w:firstLineChars="200"/>
        <w:jc w:val="both"/>
        <w:rPr>
          <w:rFonts w:hint="eastAsia" w:ascii="微软雅黑" w:hAnsi="微软雅黑" w:eastAsia="微软雅黑" w:cs="微软雅黑"/>
          <w:b/>
          <w:bCs/>
          <w:color w:val="FF0000"/>
          <w:highlight w:val="none"/>
        </w:rPr>
      </w:pPr>
      <w:r>
        <w:rPr>
          <w:rFonts w:hint="eastAsia" w:ascii="微软雅黑" w:hAnsi="微软雅黑" w:eastAsia="微软雅黑" w:cs="微软雅黑"/>
          <w:b/>
          <w:bCs/>
          <w:color w:val="FF0000"/>
          <w:highlight w:val="none"/>
        </w:rPr>
        <w:t>意向竞买人应提前7天通过线下方式，提交证明符合竞买条件的资料。</w:t>
      </w:r>
    </w:p>
    <w:p w14:paraId="576B4A69">
      <w:pPr>
        <w:pStyle w:val="3"/>
        <w:widowControl/>
        <w:spacing w:beforeAutospacing="0" w:afterAutospacing="0" w:line="500" w:lineRule="exact"/>
        <w:ind w:firstLine="480" w:firstLineChars="200"/>
        <w:jc w:val="both"/>
        <w:rPr>
          <w:rFonts w:hint="eastAsia" w:ascii="微软雅黑" w:hAnsi="微软雅黑" w:eastAsia="微软雅黑" w:cs="微软雅黑"/>
          <w:b/>
          <w:bCs/>
          <w:color w:val="FF0000"/>
          <w:highlight w:val="none"/>
        </w:rPr>
      </w:pPr>
      <w:r>
        <w:rPr>
          <w:rFonts w:hint="eastAsia" w:ascii="微软雅黑" w:hAnsi="微软雅黑" w:eastAsia="微软雅黑" w:cs="微软雅黑"/>
          <w:b/>
          <w:bCs/>
          <w:color w:val="FF0000"/>
          <w:highlight w:val="none"/>
        </w:rPr>
        <w:t>管理人对资料进行审核，若不符合上述竞买条件，则不能参与公开竞拍</w:t>
      </w:r>
      <w:r>
        <w:rPr>
          <w:rFonts w:hint="default" w:ascii="微软雅黑" w:hAnsi="微软雅黑" w:eastAsia="微软雅黑" w:cs="微软雅黑"/>
          <w:b/>
          <w:bCs/>
          <w:color w:val="FF0000"/>
          <w:highlight w:val="none"/>
        </w:rPr>
        <w:t>。</w:t>
      </w:r>
    </w:p>
    <w:p w14:paraId="560C433E">
      <w:pPr>
        <w:pStyle w:val="3"/>
        <w:widowControl/>
        <w:spacing w:beforeAutospacing="0" w:afterAutospacing="0" w:line="500" w:lineRule="exact"/>
        <w:jc w:val="both"/>
        <w:rPr>
          <w:rFonts w:hint="eastAsia" w:ascii="微软雅黑" w:hAnsi="微软雅黑" w:eastAsia="微软雅黑" w:cs="微软雅黑"/>
          <w:b/>
          <w:bCs/>
          <w:highlight w:val="none"/>
        </w:rPr>
      </w:pPr>
    </w:p>
    <w:p w14:paraId="429031A2">
      <w:pPr>
        <w:pStyle w:val="3"/>
        <w:widowControl/>
        <w:spacing w:beforeAutospacing="0" w:afterAutospacing="0" w:line="500" w:lineRule="exact"/>
        <w:jc w:val="both"/>
        <w:rPr>
          <w:b/>
          <w:bCs/>
          <w:highlight w:val="none"/>
        </w:rPr>
      </w:pPr>
      <w:r>
        <w:rPr>
          <w:rFonts w:hint="eastAsia" w:ascii="微软雅黑" w:hAnsi="微软雅黑" w:eastAsia="微软雅黑" w:cs="微软雅黑"/>
          <w:b/>
          <w:bCs/>
          <w:highlight w:val="none"/>
          <w:lang w:val="en-US" w:eastAsia="zh-CN"/>
        </w:rPr>
        <w:t>七</w:t>
      </w:r>
      <w:r>
        <w:rPr>
          <w:rFonts w:hint="eastAsia" w:ascii="微软雅黑" w:hAnsi="微软雅黑" w:eastAsia="微软雅黑" w:cs="微软雅黑"/>
          <w:b/>
          <w:bCs/>
          <w:highlight w:val="none"/>
        </w:rPr>
        <w:t>、保证金与余款交纳</w:t>
      </w:r>
    </w:p>
    <w:p w14:paraId="51082C48">
      <w:pPr>
        <w:pStyle w:val="3"/>
        <w:widowControl/>
        <w:spacing w:beforeAutospacing="0" w:afterAutospacing="0" w:line="500" w:lineRule="exact"/>
        <w:ind w:firstLine="480" w:firstLineChars="200"/>
        <w:jc w:val="both"/>
        <w:rPr>
          <w:highlight w:val="none"/>
        </w:rPr>
      </w:pPr>
      <w:r>
        <w:rPr>
          <w:rFonts w:hint="eastAsia" w:ascii="微软雅黑" w:hAnsi="微软雅黑" w:eastAsia="微软雅黑" w:cs="微软雅黑"/>
          <w:highlight w:val="none"/>
        </w:rPr>
        <w:t>意向竞买人须</w:t>
      </w:r>
      <w:r>
        <w:rPr>
          <w:rFonts w:hint="default" w:ascii="微软雅黑" w:hAnsi="微软雅黑" w:eastAsia="微软雅黑" w:cs="微软雅黑"/>
          <w:highlight w:val="none"/>
        </w:rPr>
        <w:t>提前7天通过线下方式联系管理人，经管理人资格审查合格后，根据管理人要求</w:t>
      </w:r>
      <w:r>
        <w:rPr>
          <w:rFonts w:hint="eastAsia" w:ascii="微软雅黑" w:hAnsi="微软雅黑" w:eastAsia="微软雅黑" w:cs="微软雅黑"/>
          <w:highlight w:val="none"/>
        </w:rPr>
        <w:t>支付竞买保证金。竞价成交的，本标的物竞得者（以下称买受人）冻结的保证金将自动转为部分成交款，结算给管理人指定账户；竞价结束后，未能竞得者的保证金以及竞价未成交的（即流拍的）竞买人的保证金在竞价活动结束后即时解冻，保证金冻结期间不计利息。</w:t>
      </w:r>
    </w:p>
    <w:p w14:paraId="3C95EB22">
      <w:pPr>
        <w:pStyle w:val="3"/>
        <w:widowControl/>
        <w:spacing w:beforeAutospacing="0" w:afterAutospacing="0" w:line="500" w:lineRule="exact"/>
        <w:ind w:firstLine="480" w:firstLineChars="200"/>
        <w:jc w:val="both"/>
        <w:rPr>
          <w:highlight w:val="none"/>
        </w:rPr>
      </w:pPr>
      <w:r>
        <w:rPr>
          <w:rFonts w:hint="eastAsia" w:ascii="微软雅黑" w:hAnsi="微软雅黑" w:eastAsia="微软雅黑" w:cs="微软雅黑"/>
          <w:highlight w:val="none"/>
        </w:rPr>
        <w:t>竞价成交后，标的物竞得者原锁定的保证金自动转入管理人指定账户。买受人应于成交之时起5个工作日内将竞价成交价余款（扣除保证金后的余款）缴入管理人指定账户（</w:t>
      </w:r>
      <w:r>
        <w:rPr>
          <w:rFonts w:hint="eastAsia" w:ascii="微软雅黑" w:hAnsi="微软雅黑" w:eastAsia="微软雅黑" w:cs="微软雅黑"/>
          <w:b/>
          <w:bCs/>
          <w:color w:val="FF0000"/>
          <w:highlight w:val="none"/>
          <w:lang w:val="en-US" w:eastAsia="zh-CN"/>
        </w:rPr>
        <w:t>户名：武汉缤购城置业有限公司管理人；开户行：华夏银行武汉分行营业部；账号：11150000002063889</w:t>
      </w:r>
      <w:r>
        <w:rPr>
          <w:rFonts w:hint="eastAsia" w:ascii="微软雅黑" w:hAnsi="微软雅黑" w:eastAsia="微软雅黑" w:cs="微软雅黑"/>
          <w:highlight w:val="none"/>
        </w:rPr>
        <w:t>），注明“竞买人姓名+资产项目名称；款项性质：拍卖余款+竞买人”。逾期则视为买受人违约，竞买保证金不予退还。</w:t>
      </w:r>
    </w:p>
    <w:p w14:paraId="3D514093">
      <w:pPr>
        <w:pStyle w:val="3"/>
        <w:widowControl/>
        <w:spacing w:beforeAutospacing="0" w:afterAutospacing="0" w:line="500" w:lineRule="exact"/>
        <w:jc w:val="both"/>
        <w:rPr>
          <w:rFonts w:hint="eastAsia" w:ascii="微软雅黑" w:hAnsi="微软雅黑" w:eastAsia="微软雅黑" w:cs="微软雅黑"/>
          <w:b/>
          <w:bCs/>
          <w:highlight w:val="none"/>
          <w:lang w:val="en-US" w:eastAsia="zh-CN"/>
        </w:rPr>
      </w:pPr>
    </w:p>
    <w:p w14:paraId="62E87A50">
      <w:pPr>
        <w:pStyle w:val="3"/>
        <w:widowControl/>
        <w:spacing w:beforeAutospacing="0" w:afterAutospacing="0" w:line="500" w:lineRule="exact"/>
        <w:jc w:val="both"/>
        <w:rPr>
          <w:rFonts w:hint="eastAsia" w:ascii="微软雅黑" w:hAnsi="微软雅黑" w:eastAsia="微软雅黑" w:cs="微软雅黑"/>
          <w:b/>
          <w:bCs/>
          <w:highlight w:val="none"/>
        </w:rPr>
      </w:pPr>
      <w:r>
        <w:rPr>
          <w:rFonts w:hint="eastAsia" w:ascii="微软雅黑" w:hAnsi="微软雅黑" w:eastAsia="微软雅黑" w:cs="微软雅黑"/>
          <w:b/>
          <w:bCs/>
          <w:highlight w:val="none"/>
          <w:lang w:val="en-US" w:eastAsia="zh-CN"/>
        </w:rPr>
        <w:t>八</w:t>
      </w:r>
      <w:r>
        <w:rPr>
          <w:rFonts w:hint="eastAsia" w:ascii="微软雅黑" w:hAnsi="微软雅黑" w:eastAsia="微软雅黑" w:cs="微软雅黑"/>
          <w:b/>
          <w:bCs/>
          <w:highlight w:val="none"/>
        </w:rPr>
        <w:t>、税费及其他费用承担</w:t>
      </w:r>
    </w:p>
    <w:p w14:paraId="12CCC9B6">
      <w:pPr>
        <w:pStyle w:val="3"/>
        <w:widowControl/>
        <w:spacing w:beforeAutospacing="0" w:afterAutospacing="0" w:line="500" w:lineRule="exact"/>
        <w:ind w:firstLine="480" w:firstLineChars="200"/>
        <w:jc w:val="both"/>
        <w:rPr>
          <w:rFonts w:hint="eastAsia" w:ascii="微软雅黑" w:hAnsi="微软雅黑" w:eastAsia="微软雅黑" w:cs="微软雅黑"/>
          <w:highlight w:val="none"/>
        </w:rPr>
      </w:pPr>
      <w:r>
        <w:rPr>
          <w:rFonts w:hint="eastAsia" w:ascii="微软雅黑" w:hAnsi="微软雅黑" w:eastAsia="微软雅黑" w:cs="微软雅黑"/>
          <w:highlight w:val="none"/>
        </w:rPr>
        <w:t>标的物转让登记手续由买受人办理，管理人将给予一切必要的协助。标的物转让登记所涉及的一切税费及明确的或潜在的一切关联费用由双方各自承担，买受人在竞买前应向所涉税务局部门确认成交后应缴纳的税费标准。</w:t>
      </w:r>
    </w:p>
    <w:p w14:paraId="58A9CB70">
      <w:pPr>
        <w:pStyle w:val="3"/>
        <w:widowControl/>
        <w:spacing w:beforeAutospacing="0" w:afterAutospacing="0" w:line="500" w:lineRule="exact"/>
        <w:ind w:firstLine="480" w:firstLineChars="200"/>
        <w:jc w:val="both"/>
        <w:rPr>
          <w:rFonts w:hint="eastAsia" w:ascii="微软雅黑" w:hAnsi="微软雅黑" w:eastAsia="微软雅黑" w:cs="微软雅黑"/>
          <w:b/>
          <w:bCs/>
          <w:color w:val="FF0000"/>
          <w:highlight w:val="none"/>
        </w:rPr>
      </w:pPr>
      <w:r>
        <w:rPr>
          <w:rFonts w:hint="eastAsia" w:ascii="微软雅黑" w:hAnsi="微软雅黑" w:eastAsia="微软雅黑" w:cs="微软雅黑"/>
          <w:b/>
          <w:bCs/>
          <w:color w:val="FF0000"/>
          <w:highlight w:val="none"/>
        </w:rPr>
        <w:t>特别提示：本标的物0.5%软件服务费由买受人承担。</w:t>
      </w:r>
    </w:p>
    <w:p w14:paraId="3A0C28B7">
      <w:pPr>
        <w:pStyle w:val="3"/>
        <w:widowControl/>
        <w:spacing w:beforeAutospacing="0" w:afterAutospacing="0" w:line="500" w:lineRule="exact"/>
        <w:jc w:val="both"/>
        <w:rPr>
          <w:rFonts w:hint="eastAsia" w:ascii="微软雅黑" w:hAnsi="微软雅黑" w:eastAsia="微软雅黑" w:cs="微软雅黑"/>
          <w:b/>
          <w:bCs/>
          <w:highlight w:val="none"/>
        </w:rPr>
      </w:pPr>
    </w:p>
    <w:p w14:paraId="7E754DB5">
      <w:pPr>
        <w:pStyle w:val="3"/>
        <w:widowControl/>
        <w:spacing w:beforeAutospacing="0" w:afterAutospacing="0" w:line="500" w:lineRule="exact"/>
        <w:jc w:val="both"/>
        <w:rPr>
          <w:b/>
          <w:bCs/>
          <w:highlight w:val="none"/>
        </w:rPr>
      </w:pPr>
      <w:r>
        <w:rPr>
          <w:rFonts w:hint="eastAsia" w:ascii="微软雅黑" w:hAnsi="微软雅黑" w:eastAsia="微软雅黑" w:cs="微软雅黑"/>
          <w:b/>
          <w:bCs/>
          <w:highlight w:val="none"/>
          <w:lang w:val="en-US" w:eastAsia="zh-CN"/>
        </w:rPr>
        <w:t>九</w:t>
      </w:r>
      <w:r>
        <w:rPr>
          <w:rFonts w:hint="eastAsia" w:ascii="微软雅黑" w:hAnsi="微软雅黑" w:eastAsia="微软雅黑" w:cs="微软雅黑"/>
          <w:b/>
          <w:bCs/>
          <w:highlight w:val="none"/>
        </w:rPr>
        <w:t>、移交与过户</w:t>
      </w:r>
    </w:p>
    <w:p w14:paraId="252D74AD">
      <w:pPr>
        <w:pStyle w:val="3"/>
        <w:widowControl/>
        <w:spacing w:beforeAutospacing="0" w:afterAutospacing="0" w:line="500" w:lineRule="exact"/>
        <w:ind w:firstLine="480" w:firstLineChars="200"/>
        <w:jc w:val="both"/>
        <w:rPr>
          <w:highlight w:val="none"/>
        </w:rPr>
      </w:pPr>
      <w:r>
        <w:rPr>
          <w:rFonts w:hint="eastAsia" w:ascii="微软雅黑" w:hAnsi="微软雅黑" w:eastAsia="微软雅黑" w:cs="微软雅黑"/>
          <w:highlight w:val="none"/>
        </w:rPr>
        <w:t>买受人在交齐所有成交款后15个工作日内（凭付款凭证及相关身份材料、委托手续等原件）到</w:t>
      </w:r>
      <w:r>
        <w:rPr>
          <w:rFonts w:hint="eastAsia" w:ascii="微软雅黑" w:hAnsi="微软雅黑" w:eastAsia="微软雅黑" w:cs="微软雅黑"/>
          <w:highlight w:val="none"/>
          <w:lang w:val="en-US" w:eastAsia="zh-CN"/>
        </w:rPr>
        <w:t>武汉缤购城置业有限公司</w:t>
      </w:r>
      <w:r>
        <w:rPr>
          <w:rFonts w:hint="eastAsia" w:ascii="微软雅黑" w:hAnsi="微软雅黑" w:eastAsia="微软雅黑" w:cs="微软雅黑"/>
          <w:highlight w:val="none"/>
        </w:rPr>
        <w:t>管理人处（地址：武汉市</w:t>
      </w:r>
      <w:r>
        <w:rPr>
          <w:rFonts w:hint="eastAsia" w:ascii="微软雅黑" w:hAnsi="微软雅黑" w:eastAsia="微软雅黑" w:cs="微软雅黑"/>
          <w:highlight w:val="none"/>
          <w:lang w:val="en-US" w:eastAsia="zh-CN"/>
        </w:rPr>
        <w:t>洪山区洪山街南李路恒安路1号缤购城</w:t>
      </w:r>
      <w:r>
        <w:rPr>
          <w:rFonts w:hint="eastAsia" w:ascii="微软雅黑" w:hAnsi="微软雅黑" w:eastAsia="微软雅黑" w:cs="微软雅黑"/>
          <w:highlight w:val="none"/>
        </w:rPr>
        <w:t>）办理交接手续。</w:t>
      </w:r>
    </w:p>
    <w:p w14:paraId="2A8FE89D">
      <w:pPr>
        <w:pStyle w:val="3"/>
        <w:widowControl/>
        <w:spacing w:beforeAutospacing="0" w:afterAutospacing="0" w:line="500" w:lineRule="exact"/>
        <w:ind w:firstLine="480" w:firstLineChars="200"/>
        <w:jc w:val="both"/>
        <w:rPr>
          <w:rFonts w:ascii="微软雅黑" w:hAnsi="微软雅黑" w:eastAsia="微软雅黑" w:cs="微软雅黑"/>
          <w:highlight w:val="none"/>
        </w:rPr>
      </w:pPr>
      <w:r>
        <w:rPr>
          <w:rFonts w:hint="eastAsia" w:ascii="微软雅黑" w:hAnsi="微软雅黑" w:eastAsia="微软雅黑" w:cs="微软雅黑"/>
          <w:highlight w:val="none"/>
        </w:rPr>
        <w:t>竞价成交后，由管理人配合买受人到相关主管部门办理产权过户手续。竞价成交时，成交价不包含转让时双方的一切税、费、应补地价、土地使用费；过户时所产生的转让双方的一切税、费（包括但不限于所得税、土地增值税、营业税及其附加、印花税、契税等）、应补地价、土地出让金均由买受人承担。上述一切税、费、应补地价、土地使用费的具体金额由竞买人自行向相关主管部门咨询。竞价标的所涉及的水、电、煤气、管理费等相关未了受法律保护的债务均由买受人承担。买受人在承担后不得据此主张竞价无效或向管理人、上拍机构索偿。</w:t>
      </w:r>
    </w:p>
    <w:p w14:paraId="39E6C7F9">
      <w:pPr>
        <w:pStyle w:val="3"/>
        <w:widowControl/>
        <w:spacing w:beforeAutospacing="0" w:afterAutospacing="0" w:line="500" w:lineRule="exact"/>
        <w:jc w:val="both"/>
        <w:rPr>
          <w:rFonts w:ascii="微软雅黑" w:hAnsi="微软雅黑" w:eastAsia="微软雅黑" w:cs="微软雅黑"/>
          <w:b/>
          <w:bCs/>
          <w:highlight w:val="none"/>
        </w:rPr>
      </w:pPr>
    </w:p>
    <w:p w14:paraId="6E3247BC">
      <w:pPr>
        <w:pStyle w:val="3"/>
        <w:widowControl/>
        <w:spacing w:beforeAutospacing="0" w:afterAutospacing="0" w:line="500" w:lineRule="exact"/>
        <w:jc w:val="both"/>
        <w:rPr>
          <w:b/>
          <w:bCs/>
          <w:highlight w:val="none"/>
        </w:rPr>
      </w:pPr>
      <w:r>
        <w:rPr>
          <w:rFonts w:hint="eastAsia" w:ascii="微软雅黑" w:hAnsi="微软雅黑" w:eastAsia="微软雅黑" w:cs="微软雅黑"/>
          <w:b/>
          <w:bCs/>
          <w:highlight w:val="none"/>
          <w:lang w:val="en-US" w:eastAsia="zh-CN"/>
        </w:rPr>
        <w:t>十</w:t>
      </w:r>
      <w:r>
        <w:rPr>
          <w:rFonts w:hint="eastAsia" w:ascii="微软雅黑" w:hAnsi="微软雅黑" w:eastAsia="微软雅黑" w:cs="微软雅黑"/>
          <w:b/>
          <w:bCs/>
          <w:highlight w:val="none"/>
        </w:rPr>
        <w:t>、风险提示</w:t>
      </w:r>
    </w:p>
    <w:p w14:paraId="051A25CC">
      <w:pPr>
        <w:pStyle w:val="3"/>
        <w:widowControl/>
        <w:spacing w:beforeAutospacing="0" w:afterAutospacing="0" w:line="500" w:lineRule="exact"/>
        <w:jc w:val="both"/>
        <w:rPr>
          <w:highlight w:val="none"/>
        </w:rPr>
      </w:pPr>
      <w:r>
        <w:rPr>
          <w:rFonts w:hint="eastAsia" w:ascii="微软雅黑" w:hAnsi="微软雅黑" w:eastAsia="微软雅黑" w:cs="微软雅黑"/>
          <w:highlight w:val="none"/>
        </w:rPr>
        <w:t>（一）标物特殊情况说明：详见《标的调查情况表》。</w:t>
      </w:r>
    </w:p>
    <w:p w14:paraId="35EA15A7">
      <w:pPr>
        <w:pStyle w:val="3"/>
        <w:widowControl/>
        <w:spacing w:beforeAutospacing="0" w:afterAutospacing="0" w:line="500" w:lineRule="exact"/>
        <w:jc w:val="both"/>
        <w:rPr>
          <w:highlight w:val="none"/>
        </w:rPr>
      </w:pPr>
      <w:r>
        <w:rPr>
          <w:rFonts w:hint="eastAsia" w:ascii="微软雅黑" w:hAnsi="微软雅黑" w:eastAsia="微软雅黑" w:cs="微软雅黑"/>
          <w:highlight w:val="none"/>
        </w:rPr>
        <w:t>（二）竞买人应当具备完全民事行为能力。竞买人也可根据《竞买须知》相关规定委托代理人（具备完全民事行为能力的自然人）进行竞买。</w:t>
      </w:r>
    </w:p>
    <w:p w14:paraId="6E4B32EE">
      <w:pPr>
        <w:pStyle w:val="3"/>
        <w:widowControl/>
        <w:spacing w:beforeAutospacing="0" w:afterAutospacing="0" w:line="500" w:lineRule="exact"/>
        <w:jc w:val="both"/>
        <w:rPr>
          <w:highlight w:val="none"/>
        </w:rPr>
      </w:pPr>
      <w:r>
        <w:rPr>
          <w:rFonts w:hint="eastAsia" w:ascii="微软雅黑" w:hAnsi="微软雅黑" w:eastAsia="微软雅黑" w:cs="微软雅黑"/>
          <w:highlight w:val="none"/>
        </w:rPr>
        <w:t>（三）竞买人竞价前应向工商、税务、外管、商务等政府部门，对标的物的权属、能否过户、过户要求和流程、税费缴付的标准及起止时间，以及其他须注意的事项进行咨询，因政策原因或其他原因导致不能过户的风险由竞买人承担。</w:t>
      </w:r>
    </w:p>
    <w:p w14:paraId="43D6F191">
      <w:pPr>
        <w:pStyle w:val="3"/>
        <w:widowControl/>
        <w:spacing w:beforeAutospacing="0" w:afterAutospacing="0" w:line="500" w:lineRule="exact"/>
        <w:jc w:val="both"/>
        <w:rPr>
          <w:highlight w:val="none"/>
        </w:rPr>
      </w:pPr>
      <w:r>
        <w:rPr>
          <w:rFonts w:hint="eastAsia" w:ascii="微软雅黑" w:hAnsi="微软雅黑" w:eastAsia="微软雅黑" w:cs="微软雅黑"/>
          <w:highlight w:val="none"/>
        </w:rPr>
        <w:t>（四）本次网络竞价所涉标的物，全部依其现状进行处置。现状是指看样时点标的的质量、数量、新旧程度、使用现状等现实状况，至竞价时点竞买人没有异议，则表示竞买人认可看样时点与竞价时点标的现状一致。请欲报名参与竞价的竞买人充分考虑标的显性和隐性的瑕疵风险以及市场价格的波动，谨慎选择，慎重决定。管理人、上拍机构、京东网络竞价平台不承担标的物的瑕疵保证。有意者请亲自实地看样，未看样的竞买人视为对本标的实物现状的确认，责任自负。</w:t>
      </w:r>
    </w:p>
    <w:p w14:paraId="6A72CC23">
      <w:pPr>
        <w:pStyle w:val="3"/>
        <w:widowControl/>
        <w:spacing w:beforeAutospacing="0" w:afterAutospacing="0" w:line="500" w:lineRule="exact"/>
        <w:jc w:val="both"/>
        <w:rPr>
          <w:highlight w:val="none"/>
        </w:rPr>
      </w:pPr>
      <w:r>
        <w:rPr>
          <w:rFonts w:hint="eastAsia" w:ascii="微软雅黑" w:hAnsi="微软雅黑" w:eastAsia="微软雅黑" w:cs="微软雅黑"/>
          <w:highlight w:val="none"/>
        </w:rPr>
        <w:t>（五）本次网络竞价所涉标的物可能存在抵押、查封、担保、侵权等情况，买受人需承担标的物存在的其他权利瑕疵风险。如果标的物本身存在权利瑕疵导致交易行为无法顺利完成的，仅退还买受人支付的全部价款的本金（价款包含保证金），管理人与网络竞价平台不承担任何赔偿责任。</w:t>
      </w:r>
    </w:p>
    <w:p w14:paraId="3AA018FF">
      <w:pPr>
        <w:pStyle w:val="3"/>
        <w:widowControl/>
        <w:spacing w:beforeAutospacing="0" w:afterAutospacing="0" w:line="500" w:lineRule="exact"/>
        <w:jc w:val="both"/>
        <w:rPr>
          <w:highlight w:val="none"/>
        </w:rPr>
      </w:pPr>
      <w:r>
        <w:rPr>
          <w:rFonts w:hint="eastAsia" w:ascii="微软雅黑" w:hAnsi="微软雅黑" w:eastAsia="微软雅黑" w:cs="微软雅黑"/>
          <w:highlight w:val="none"/>
        </w:rPr>
        <w:t>（六）管理人、上拍机构对此次竞价标的物所作的说明和提供的图片、文字资料等，仅供竞买人参考，不构成对标的物的任何担保，不作为对竞买人参与此次竞价的建议，仅提供竞买人参考。（特别提醒：有意者请亲自实地看样，未看样的竞买人视为对本标的物现状的确认，竞买人一旦作出竞买决定，即表明已完全了解，并接受标的物的现状和一切已知及未知的瑕疵，责任自负。）</w:t>
      </w:r>
    </w:p>
    <w:p w14:paraId="338A2995">
      <w:pPr>
        <w:pStyle w:val="3"/>
        <w:widowControl/>
        <w:spacing w:beforeAutospacing="0" w:afterAutospacing="0" w:line="500" w:lineRule="exact"/>
        <w:jc w:val="both"/>
        <w:rPr>
          <w:rFonts w:ascii="微软雅黑" w:hAnsi="微软雅黑" w:eastAsia="微软雅黑" w:cs="微软雅黑"/>
          <w:highlight w:val="none"/>
        </w:rPr>
      </w:pPr>
      <w:r>
        <w:rPr>
          <w:rFonts w:hint="eastAsia" w:ascii="微软雅黑" w:hAnsi="微软雅黑" w:eastAsia="微软雅黑" w:cs="微软雅黑"/>
          <w:highlight w:val="none"/>
        </w:rPr>
        <w:t>（七）因标的物本身价值较高，起拍价、保证金、竞价成交数额较大。为避免在在线支付的过程中，因银行限额而导致无法支付的问题，请根据《竞买须知》相关规定进行充分准备。</w:t>
      </w:r>
    </w:p>
    <w:p w14:paraId="7F56D093">
      <w:pPr>
        <w:pStyle w:val="3"/>
        <w:widowControl/>
        <w:spacing w:beforeAutospacing="0" w:afterAutospacing="0" w:line="500" w:lineRule="exact"/>
        <w:jc w:val="both"/>
        <w:rPr>
          <w:rFonts w:ascii="微软雅黑" w:hAnsi="微软雅黑" w:eastAsia="微软雅黑" w:cs="微软雅黑"/>
          <w:b/>
          <w:bCs/>
          <w:highlight w:val="none"/>
        </w:rPr>
      </w:pPr>
    </w:p>
    <w:p w14:paraId="30B10260">
      <w:pPr>
        <w:pStyle w:val="3"/>
        <w:widowControl/>
        <w:spacing w:beforeAutospacing="0" w:afterAutospacing="0" w:line="500" w:lineRule="exact"/>
        <w:jc w:val="both"/>
        <w:rPr>
          <w:rFonts w:ascii="微软雅黑" w:hAnsi="微软雅黑" w:eastAsia="微软雅黑" w:cs="微软雅黑"/>
          <w:highlight w:val="none"/>
        </w:rPr>
      </w:pPr>
      <w:r>
        <w:rPr>
          <w:rFonts w:hint="eastAsia" w:ascii="微软雅黑" w:hAnsi="微软雅黑" w:eastAsia="微软雅黑" w:cs="微软雅黑"/>
          <w:b/>
          <w:bCs/>
          <w:highlight w:val="none"/>
          <w:lang w:val="en-US" w:eastAsia="zh-CN"/>
        </w:rPr>
        <w:t>十一</w:t>
      </w:r>
      <w:r>
        <w:rPr>
          <w:rFonts w:hint="eastAsia" w:ascii="微软雅黑" w:hAnsi="微软雅黑" w:eastAsia="微软雅黑" w:cs="微软雅黑"/>
          <w:b/>
          <w:bCs/>
          <w:highlight w:val="none"/>
        </w:rPr>
        <w:t>、</w:t>
      </w:r>
      <w:r>
        <w:rPr>
          <w:rFonts w:hint="eastAsia" w:ascii="微软雅黑" w:hAnsi="微软雅黑" w:eastAsia="微软雅黑" w:cs="微软雅黑"/>
          <w:highlight w:val="none"/>
        </w:rPr>
        <w:t>本次网上公开竞价《竞买公告》、《竞买须知》、《标的物介绍》等标的物相关文件已在京东网资产竞价网络平台公开展示，请仔细阅读。上拍机构已就前述相关标的物相关文件的所有条款向竞买人如实告知并做出详细说明，竞买人知悉并同意接受前述文件的全部条款和内容，竞买人和资产处置方双方不存在任何歧异和误认，竞买人承诺不再对前述文件的条款提出任何异议。</w:t>
      </w:r>
    </w:p>
    <w:p w14:paraId="7C9310A8">
      <w:pPr>
        <w:pStyle w:val="3"/>
        <w:widowControl/>
        <w:spacing w:beforeAutospacing="0" w:afterAutospacing="0" w:line="500" w:lineRule="exact"/>
        <w:jc w:val="both"/>
        <w:rPr>
          <w:rFonts w:ascii="微软雅黑" w:hAnsi="微软雅黑" w:eastAsia="微软雅黑" w:cs="微软雅黑"/>
          <w:b/>
          <w:bCs/>
          <w:highlight w:val="none"/>
        </w:rPr>
      </w:pPr>
    </w:p>
    <w:p w14:paraId="51BF7711">
      <w:pPr>
        <w:pStyle w:val="3"/>
        <w:widowControl/>
        <w:spacing w:beforeAutospacing="0" w:afterAutospacing="0" w:line="500" w:lineRule="exact"/>
        <w:jc w:val="both"/>
        <w:rPr>
          <w:rFonts w:hint="eastAsia" w:ascii="微软雅黑" w:hAnsi="微软雅黑" w:eastAsia="微软雅黑" w:cs="微软雅黑"/>
          <w:b/>
          <w:bCs/>
          <w:highlight w:val="none"/>
          <w:lang w:eastAsia="zh-CN"/>
        </w:rPr>
      </w:pPr>
      <w:r>
        <w:rPr>
          <w:rFonts w:hint="eastAsia" w:ascii="微软雅黑" w:hAnsi="微软雅黑" w:eastAsia="微软雅黑" w:cs="微软雅黑"/>
          <w:b/>
          <w:bCs/>
          <w:highlight w:val="none"/>
          <w:lang w:val="en-US" w:eastAsia="zh-CN"/>
        </w:rPr>
        <w:t>十二</w:t>
      </w:r>
      <w:r>
        <w:rPr>
          <w:rFonts w:hint="eastAsia" w:ascii="微软雅黑" w:hAnsi="微软雅黑" w:eastAsia="微软雅黑" w:cs="微软雅黑"/>
          <w:b/>
          <w:bCs/>
          <w:highlight w:val="none"/>
        </w:rPr>
        <w:t>、竞买人在竞价前请务必仔细阅读相应标的竞买须知、标的详情。本公告其他未尽事宜，请向管理人咨询。</w:t>
      </w:r>
    </w:p>
    <w:p w14:paraId="226A3FC2">
      <w:pPr>
        <w:pStyle w:val="3"/>
        <w:widowControl/>
        <w:spacing w:beforeAutospacing="0" w:afterAutospacing="0" w:line="500" w:lineRule="exact"/>
        <w:jc w:val="both"/>
        <w:rPr>
          <w:rFonts w:ascii="微软雅黑" w:hAnsi="微软雅黑" w:eastAsia="微软雅黑" w:cs="微软雅黑"/>
          <w:highlight w:val="none"/>
        </w:rPr>
      </w:pPr>
      <w:r>
        <w:rPr>
          <w:rFonts w:hint="eastAsia" w:ascii="微软雅黑" w:hAnsi="微软雅黑" w:eastAsia="微软雅黑" w:cs="微软雅黑"/>
          <w:highlight w:val="none"/>
        </w:rPr>
        <w:t>    </w:t>
      </w:r>
    </w:p>
    <w:p w14:paraId="0A0A9806">
      <w:pPr>
        <w:pStyle w:val="3"/>
        <w:widowControl/>
        <w:spacing w:beforeAutospacing="0" w:afterAutospacing="0" w:line="500" w:lineRule="exact"/>
        <w:jc w:val="both"/>
        <w:rPr>
          <w:rFonts w:ascii="微软雅黑" w:hAnsi="微软雅黑" w:eastAsia="微软雅黑" w:cs="微软雅黑"/>
          <w:highlight w:val="none"/>
        </w:rPr>
      </w:pPr>
      <w:r>
        <w:rPr>
          <w:rFonts w:hint="eastAsia" w:ascii="微软雅黑" w:hAnsi="微软雅黑" w:eastAsia="微软雅黑" w:cs="微软雅黑"/>
          <w:highlight w:val="none"/>
        </w:rPr>
        <w:t>咨询</w:t>
      </w:r>
      <w:r>
        <w:rPr>
          <w:rFonts w:hint="eastAsia" w:ascii="微软雅黑" w:hAnsi="微软雅黑" w:eastAsia="微软雅黑" w:cs="微软雅黑"/>
          <w:highlight w:val="none"/>
          <w:lang w:val="en-US" w:eastAsia="zh-CN"/>
        </w:rPr>
        <w:t>人</w:t>
      </w:r>
      <w:r>
        <w:rPr>
          <w:rFonts w:hint="eastAsia" w:ascii="微软雅黑" w:hAnsi="微软雅黑" w:eastAsia="微软雅黑" w:cs="微软雅黑"/>
          <w:highlight w:val="none"/>
        </w:rPr>
        <w:t>：</w:t>
      </w:r>
      <w:r>
        <w:rPr>
          <w:rFonts w:hint="eastAsia" w:ascii="微软雅黑" w:hAnsi="微软雅黑" w:eastAsia="微软雅黑" w:cs="微软雅黑"/>
          <w:highlight w:val="none"/>
          <w:lang w:val="en-US" w:eastAsia="zh-CN"/>
        </w:rPr>
        <w:t>谢景斌、周玲、张睿</w:t>
      </w:r>
      <w:r>
        <w:rPr>
          <w:rFonts w:hint="eastAsia" w:ascii="微软雅黑" w:hAnsi="微软雅黑" w:eastAsia="微软雅黑" w:cs="微软雅黑"/>
          <w:highlight w:val="none"/>
        </w:rPr>
        <w:t>，咨询电话：</w:t>
      </w:r>
      <w:r>
        <w:rPr>
          <w:rFonts w:hint="eastAsia" w:ascii="微软雅黑" w:hAnsi="微软雅黑" w:eastAsia="微软雅黑" w:cs="微软雅黑"/>
          <w:highlight w:val="none"/>
          <w:lang w:val="en-US" w:eastAsia="zh-CN"/>
        </w:rPr>
        <w:t>027-88739033 15927216639</w:t>
      </w:r>
      <w:r>
        <w:rPr>
          <w:rFonts w:hint="eastAsia" w:ascii="微软雅黑" w:hAnsi="微软雅黑" w:eastAsia="微软雅黑" w:cs="微软雅黑"/>
          <w:color w:val="FF0000"/>
          <w:highlight w:val="none"/>
        </w:rPr>
        <w:t> </w:t>
      </w:r>
    </w:p>
    <w:p w14:paraId="06E7A7ED">
      <w:pPr>
        <w:pStyle w:val="3"/>
        <w:widowControl/>
        <w:spacing w:beforeAutospacing="0" w:afterAutospacing="0" w:line="500" w:lineRule="exact"/>
        <w:jc w:val="both"/>
        <w:rPr>
          <w:rFonts w:ascii="微软雅黑" w:hAnsi="微软雅黑" w:eastAsia="微软雅黑" w:cs="微软雅黑"/>
          <w:highlight w:val="none"/>
        </w:rPr>
      </w:pPr>
      <w:r>
        <w:rPr>
          <w:rFonts w:hint="eastAsia" w:ascii="微软雅黑" w:hAnsi="微软雅黑" w:eastAsia="微软雅黑" w:cs="微软雅黑"/>
          <w:highlight w:val="none"/>
        </w:rPr>
        <w:t>联系地址：武汉市</w:t>
      </w:r>
      <w:r>
        <w:rPr>
          <w:rFonts w:hint="eastAsia" w:ascii="微软雅黑" w:hAnsi="微软雅黑" w:eastAsia="微软雅黑" w:cs="微软雅黑"/>
          <w:highlight w:val="none"/>
          <w:lang w:val="en-US" w:eastAsia="zh-CN"/>
        </w:rPr>
        <w:t>洪山区洪山街南李路2附1号缤购城</w:t>
      </w:r>
    </w:p>
    <w:p w14:paraId="6A943B6A">
      <w:pPr>
        <w:pStyle w:val="3"/>
        <w:widowControl/>
        <w:spacing w:beforeAutospacing="0" w:afterAutospacing="0" w:line="500" w:lineRule="exact"/>
        <w:jc w:val="both"/>
        <w:rPr>
          <w:rFonts w:ascii="微软雅黑" w:hAnsi="微软雅黑" w:eastAsia="微软雅黑" w:cs="微软雅黑"/>
          <w:highlight w:val="none"/>
        </w:rPr>
      </w:pPr>
      <w:r>
        <w:rPr>
          <w:rFonts w:hint="eastAsia" w:ascii="微软雅黑" w:hAnsi="微软雅黑" w:eastAsia="微软雅黑" w:cs="微软雅黑"/>
          <w:highlight w:val="none"/>
        </w:rPr>
        <w:t>凡发现竞价中有违规行为，可如实举报。</w:t>
      </w:r>
    </w:p>
    <w:p w14:paraId="40AF0EBA">
      <w:pPr>
        <w:pStyle w:val="3"/>
        <w:widowControl/>
        <w:spacing w:beforeAutospacing="0" w:afterAutospacing="0" w:line="500" w:lineRule="exact"/>
        <w:jc w:val="both"/>
        <w:rPr>
          <w:rFonts w:hint="eastAsia" w:ascii="微软雅黑" w:hAnsi="微软雅黑" w:eastAsia="微软雅黑" w:cs="微软雅黑"/>
          <w:highlight w:val="none"/>
          <w:lang w:eastAsia="zh-CN"/>
        </w:rPr>
      </w:pPr>
      <w:r>
        <w:rPr>
          <w:rFonts w:hint="eastAsia" w:ascii="微软雅黑" w:hAnsi="微软雅黑" w:eastAsia="微软雅黑" w:cs="微软雅黑"/>
          <w:highlight w:val="none"/>
        </w:rPr>
        <w:t>京东技术咨询电话：4006229586</w:t>
      </w:r>
    </w:p>
    <w:p w14:paraId="317ACDBF">
      <w:pPr>
        <w:pStyle w:val="3"/>
        <w:widowControl/>
        <w:spacing w:beforeAutospacing="0" w:afterAutospacing="0" w:line="500" w:lineRule="exact"/>
        <w:jc w:val="both"/>
        <w:rPr>
          <w:rFonts w:ascii="微软雅黑" w:hAnsi="微软雅黑" w:eastAsia="微软雅黑" w:cs="微软雅黑"/>
          <w:highlight w:val="none"/>
        </w:rPr>
      </w:pPr>
      <w:r>
        <w:rPr>
          <w:rFonts w:hint="eastAsia" w:ascii="微软雅黑" w:hAnsi="微软雅黑" w:eastAsia="微软雅黑" w:cs="微软雅黑"/>
          <w:highlight w:val="none"/>
        </w:rPr>
        <w:t>此公告在“京东网”上发布，网址: http://sifa.jd.com/。</w:t>
      </w:r>
    </w:p>
    <w:p w14:paraId="50DBFEC6">
      <w:pPr>
        <w:pStyle w:val="3"/>
        <w:widowControl/>
        <w:spacing w:beforeAutospacing="0" w:afterAutospacing="0" w:line="500" w:lineRule="exact"/>
        <w:jc w:val="right"/>
        <w:rPr>
          <w:rFonts w:ascii="微软雅黑" w:hAnsi="微软雅黑" w:eastAsia="微软雅黑" w:cs="微软雅黑"/>
          <w:highlight w:val="none"/>
        </w:rPr>
      </w:pPr>
    </w:p>
    <w:p w14:paraId="19449422">
      <w:pPr>
        <w:pStyle w:val="3"/>
        <w:widowControl/>
        <w:spacing w:beforeAutospacing="0" w:afterAutospacing="0" w:line="500" w:lineRule="exact"/>
        <w:jc w:val="right"/>
        <w:rPr>
          <w:rFonts w:ascii="微软雅黑" w:hAnsi="微软雅黑" w:eastAsia="微软雅黑" w:cs="微软雅黑"/>
          <w:highlight w:val="none"/>
        </w:rPr>
      </w:pPr>
      <w:r>
        <w:rPr>
          <w:rFonts w:hint="eastAsia" w:ascii="微软雅黑" w:hAnsi="微软雅黑" w:eastAsia="微软雅黑" w:cs="微软雅黑"/>
          <w:highlight w:val="none"/>
          <w:lang w:val="en-US" w:eastAsia="zh-CN"/>
        </w:rPr>
        <w:t>武汉缤购城置业有限</w:t>
      </w:r>
      <w:r>
        <w:rPr>
          <w:rFonts w:hint="eastAsia" w:ascii="微软雅黑" w:hAnsi="微软雅黑" w:eastAsia="微软雅黑" w:cs="微软雅黑"/>
          <w:highlight w:val="none"/>
        </w:rPr>
        <w:t>公司管理人</w:t>
      </w:r>
    </w:p>
    <w:p w14:paraId="40DB08E0">
      <w:pPr>
        <w:pStyle w:val="3"/>
        <w:widowControl/>
        <w:spacing w:beforeAutospacing="0" w:afterAutospacing="0" w:line="500" w:lineRule="exact"/>
        <w:jc w:val="right"/>
        <w:rPr>
          <w:rFonts w:ascii="微软雅黑" w:hAnsi="微软雅黑" w:eastAsia="微软雅黑" w:cs="微软雅黑"/>
          <w:highlight w:val="none"/>
        </w:rPr>
      </w:pPr>
      <w:r>
        <w:rPr>
          <w:rFonts w:hint="eastAsia" w:ascii="微软雅黑" w:hAnsi="微软雅黑" w:eastAsia="微软雅黑" w:cs="微软雅黑"/>
          <w:highlight w:val="none"/>
        </w:rPr>
        <w:t>二〇二</w:t>
      </w:r>
      <w:r>
        <w:rPr>
          <w:rFonts w:hint="eastAsia" w:ascii="微软雅黑" w:hAnsi="微软雅黑" w:eastAsia="微软雅黑" w:cs="微软雅黑"/>
          <w:highlight w:val="none"/>
          <w:lang w:val="en-US" w:eastAsia="zh-CN"/>
        </w:rPr>
        <w:t>四</w:t>
      </w:r>
      <w:r>
        <w:rPr>
          <w:rFonts w:hint="eastAsia" w:ascii="微软雅黑" w:hAnsi="微软雅黑" w:eastAsia="微软雅黑" w:cs="微软雅黑"/>
          <w:highlight w:val="none"/>
        </w:rPr>
        <w:t>年</w:t>
      </w:r>
      <w:r>
        <w:rPr>
          <w:rFonts w:hint="eastAsia" w:ascii="微软雅黑" w:hAnsi="微软雅黑" w:eastAsia="微软雅黑" w:cs="微软雅黑"/>
          <w:highlight w:val="none"/>
          <w:lang w:val="en-US" w:eastAsia="zh-CN"/>
        </w:rPr>
        <w:t>七</w:t>
      </w:r>
      <w:r>
        <w:rPr>
          <w:rFonts w:hint="eastAsia" w:ascii="微软雅黑" w:hAnsi="微软雅黑" w:eastAsia="微软雅黑" w:cs="微软雅黑"/>
          <w:highlight w:val="none"/>
        </w:rPr>
        <w:t>月</w:t>
      </w:r>
      <w:r>
        <w:rPr>
          <w:rFonts w:hint="eastAsia" w:ascii="微软雅黑" w:hAnsi="微软雅黑" w:eastAsia="微软雅黑" w:cs="微软雅黑"/>
          <w:highlight w:val="none"/>
          <w:lang w:val="en-US" w:eastAsia="zh-CN"/>
        </w:rPr>
        <w:t>十七</w:t>
      </w:r>
      <w:r>
        <w:rPr>
          <w:rFonts w:hint="eastAsia" w:ascii="微软雅黑" w:hAnsi="微软雅黑" w:eastAsia="微软雅黑" w:cs="微软雅黑"/>
          <w:highlight w:val="none"/>
        </w:rPr>
        <w:t>日</w:t>
      </w:r>
    </w:p>
    <w:p w14:paraId="141A65FE">
      <w:pPr>
        <w:rPr>
          <w:highlight w:val="none"/>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Symbol">
    <w:panose1 w:val="020B0502040204020203"/>
    <w:charset w:val="00"/>
    <w:family w:val="auto"/>
    <w:pitch w:val="default"/>
    <w:sig w:usb0="800001E3" w:usb1="1200FFEF" w:usb2="00040000" w:usb3="04000000" w:csb0="00000001" w:csb1="4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RlYjc3MWYzYmEzOGFiOTlkODY2ZDhjZDc1NWFhZjcifQ=="/>
  </w:docVars>
  <w:rsids>
    <w:rsidRoot w:val="08605156"/>
    <w:rsid w:val="00E0462D"/>
    <w:rsid w:val="048F5C08"/>
    <w:rsid w:val="08605156"/>
    <w:rsid w:val="0C4D7DCA"/>
    <w:rsid w:val="13DC35D0"/>
    <w:rsid w:val="22575C3D"/>
    <w:rsid w:val="2DD830E8"/>
    <w:rsid w:val="3F834E5C"/>
    <w:rsid w:val="49277703"/>
    <w:rsid w:val="4B8A659E"/>
    <w:rsid w:val="4E762A42"/>
    <w:rsid w:val="4F63CD0F"/>
    <w:rsid w:val="5BC25127"/>
    <w:rsid w:val="5DAE5C61"/>
    <w:rsid w:val="619D42A5"/>
    <w:rsid w:val="6A1969F7"/>
    <w:rsid w:val="72F94748"/>
    <w:rsid w:val="75FF5546"/>
    <w:rsid w:val="770B26BA"/>
    <w:rsid w:val="7B771AAD"/>
    <w:rsid w:val="7FF357B7"/>
    <w:rsid w:val="DEEE360D"/>
    <w:rsid w:val="F7DD4E3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Normal (Web)"/>
    <w:basedOn w:val="1"/>
    <w:qFormat/>
    <w:uiPriority w:val="0"/>
    <w:pPr>
      <w:spacing w:beforeAutospacing="1" w:afterAutospacing="1"/>
      <w:jc w:val="left"/>
    </w:pPr>
    <w:rPr>
      <w:rFonts w:cs="Times New Roman"/>
      <w:kern w:val="0"/>
      <w:sz w:val="24"/>
    </w:rPr>
  </w:style>
  <w:style w:type="character" w:customStyle="1" w:styleId="6">
    <w:name w:val="font51"/>
    <w:basedOn w:val="5"/>
    <w:qFormat/>
    <w:uiPriority w:val="0"/>
    <w:rPr>
      <w:rFonts w:hint="eastAsia" w:ascii="宋体" w:hAnsi="宋体" w:eastAsia="宋体" w:cs="宋体"/>
      <w:b/>
      <w:bCs/>
      <w:color w:val="000000"/>
      <w:sz w:val="20"/>
      <w:szCs w:val="20"/>
      <w:u w:val="none"/>
    </w:rPr>
  </w:style>
  <w:style w:type="character" w:customStyle="1" w:styleId="7">
    <w:name w:val="font61"/>
    <w:basedOn w:val="5"/>
    <w:qFormat/>
    <w:uiPriority w:val="0"/>
    <w:rPr>
      <w:rFonts w:hint="eastAsia" w:ascii="宋体" w:hAnsi="宋体" w:eastAsia="宋体" w:cs="宋体"/>
      <w:b/>
      <w:bCs/>
      <w:color w:val="000000"/>
      <w:sz w:val="20"/>
      <w:szCs w:val="20"/>
      <w:u w:val="none"/>
    </w:rPr>
  </w:style>
  <w:style w:type="character" w:customStyle="1" w:styleId="8">
    <w:name w:val="font71"/>
    <w:basedOn w:val="5"/>
    <w:qFormat/>
    <w:uiPriority w:val="0"/>
    <w:rPr>
      <w:rFonts w:ascii="Segoe UI Symbol" w:hAnsi="Segoe UI Symbol" w:eastAsia="Segoe UI Symbol" w:cs="Segoe UI Symbol"/>
      <w:b/>
      <w:bCs/>
      <w:color w:val="000000"/>
      <w:sz w:val="20"/>
      <w:szCs w:val="20"/>
      <w:u w:val="none"/>
    </w:rPr>
  </w:style>
  <w:style w:type="character" w:customStyle="1" w:styleId="9">
    <w:name w:val="font21"/>
    <w:basedOn w:val="5"/>
    <w:qFormat/>
    <w:uiPriority w:val="0"/>
    <w:rPr>
      <w:rFonts w:hint="default" w:ascii="Arial" w:hAnsi="Arial" w:cs="Arial"/>
      <w:color w:val="000000"/>
      <w:sz w:val="20"/>
      <w:szCs w:val="20"/>
      <w:u w:val="none"/>
    </w:rPr>
  </w:style>
  <w:style w:type="character" w:customStyle="1" w:styleId="10">
    <w:name w:val="font81"/>
    <w:basedOn w:val="5"/>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Pages>
  <Words>2780</Words>
  <Characters>2948</Characters>
  <Lines>1</Lines>
  <Paragraphs>1</Paragraphs>
  <TotalTime>0</TotalTime>
  <ScaleCrop>false</ScaleCrop>
  <LinksUpToDate>false</LinksUpToDate>
  <CharactersWithSpaces>2958</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2020-06-18T23:52:00Z</dcterms:created>
  <dc:creator>26311</dc:creator>
  <cp:lastModifiedBy>。</cp:lastModifiedBy>
  <dcterms:modified xsi:type="dcterms:W3CDTF">2024-07-17T08:19:05Z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D9CEFFC13D4B429D9CDA19A29F9D97A4_13</vt:lpwstr>
  </property>
</Properties>
</file>