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A0975">
      <w:pPr>
        <w:spacing w:line="360" w:lineRule="auto"/>
        <w:jc w:val="center"/>
        <w:rPr>
          <w:rFonts w:ascii="宋体" w:hAnsi="宋体" w:eastAsia="宋体" w:cs="宋体"/>
          <w:sz w:val="32"/>
          <w:szCs w:val="32"/>
        </w:rPr>
      </w:pPr>
      <w:bookmarkStart w:id="0" w:name="_GoBack"/>
      <w:bookmarkEnd w:id="0"/>
      <w:r>
        <w:rPr>
          <w:rFonts w:hint="eastAsia" w:ascii="宋体" w:hAnsi="宋体" w:eastAsia="宋体" w:cs="宋体"/>
          <w:b/>
          <w:sz w:val="32"/>
          <w:szCs w:val="32"/>
        </w:rPr>
        <w:t>昆山三景科技项目资产推介</w:t>
      </w:r>
    </w:p>
    <w:p w14:paraId="4699A073">
      <w:pPr>
        <w:spacing w:before="156" w:beforeLines="50" w:line="360" w:lineRule="auto"/>
        <w:ind w:firstLine="465"/>
        <w:rPr>
          <w:rFonts w:ascii="宋体" w:hAnsi="宋体" w:eastAsia="宋体" w:cs="宋体"/>
          <w:sz w:val="24"/>
          <w:szCs w:val="24"/>
        </w:rPr>
      </w:pPr>
      <w:r>
        <w:rPr>
          <w:rFonts w:hint="eastAsia" w:ascii="宋体" w:hAnsi="宋体" w:eastAsia="宋体" w:cs="宋体"/>
          <w:sz w:val="24"/>
          <w:szCs w:val="24"/>
        </w:rPr>
        <w:t>2024年6月6日，昆山市人民法院作出(2024)苏 0583 破申197号《民事裁定书》，裁定受理张学义对昆山三景科技股份有限公司（以下简称“三景科技公司”或“债务人”）破产清算申请，并指定苏州资产管理有限公司担任三景科技公司管理人（下称“管理人”）。管理人接管债务人后，为实现债务人资产价值最大化，提高债权清偿比例，维护广大债权人和债务人的合法权益，管理人现面向全国公开推介三景科技公司项目并邀请意向投资人前来咨询考察，现就本项目的推介事宜说明如下：</w:t>
      </w:r>
    </w:p>
    <w:p w14:paraId="0EAD388B">
      <w:pPr>
        <w:spacing w:line="360" w:lineRule="auto"/>
        <w:ind w:firstLine="465"/>
        <w:rPr>
          <w:rFonts w:ascii="宋体" w:hAnsi="宋体" w:eastAsia="宋体" w:cs="宋体"/>
          <w:b/>
          <w:sz w:val="24"/>
          <w:szCs w:val="24"/>
        </w:rPr>
      </w:pPr>
      <w:r>
        <w:rPr>
          <w:rFonts w:hint="eastAsia" w:ascii="宋体" w:hAnsi="宋体" w:eastAsia="宋体" w:cs="宋体"/>
          <w:b/>
          <w:sz w:val="24"/>
          <w:szCs w:val="24"/>
        </w:rPr>
        <w:t>一、债务人概况</w:t>
      </w:r>
    </w:p>
    <w:p w14:paraId="265EDB07">
      <w:pPr>
        <w:spacing w:line="360" w:lineRule="auto"/>
        <w:ind w:firstLine="480"/>
        <w:rPr>
          <w:rFonts w:ascii="宋体" w:hAnsi="宋体" w:cs="宋体"/>
          <w:sz w:val="24"/>
          <w:szCs w:val="24"/>
        </w:rPr>
      </w:pPr>
      <w:r>
        <w:rPr>
          <w:rFonts w:hint="eastAsia" w:ascii="宋体" w:hAnsi="宋体" w:cs="宋体"/>
          <w:sz w:val="24"/>
          <w:szCs w:val="24"/>
        </w:rPr>
        <w:t>管理人根据三景科技公司工商内档查询到三景科技公司工商登记情况如下：</w:t>
      </w:r>
    </w:p>
    <w:tbl>
      <w:tblPr>
        <w:tblStyle w:val="6"/>
        <w:tblW w:w="8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6135"/>
      </w:tblGrid>
      <w:tr w14:paraId="21907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20056DAB">
            <w:pPr>
              <w:jc w:val="center"/>
              <w:rPr>
                <w:rFonts w:ascii="宋体" w:hAnsi="宋体" w:cs="宋体"/>
                <w:b/>
                <w:sz w:val="24"/>
                <w:szCs w:val="24"/>
              </w:rPr>
            </w:pPr>
            <w:r>
              <w:rPr>
                <w:rFonts w:hint="eastAsia" w:ascii="宋体" w:hAnsi="宋体" w:cs="宋体"/>
                <w:b/>
                <w:sz w:val="24"/>
                <w:szCs w:val="24"/>
              </w:rPr>
              <w:t>企业名称</w:t>
            </w:r>
          </w:p>
        </w:tc>
        <w:tc>
          <w:tcPr>
            <w:tcW w:w="6135" w:type="dxa"/>
            <w:vAlign w:val="center"/>
          </w:tcPr>
          <w:p w14:paraId="0B4CEF99">
            <w:pPr>
              <w:rPr>
                <w:rFonts w:ascii="宋体" w:hAnsi="宋体" w:cs="宋体"/>
                <w:sz w:val="24"/>
                <w:szCs w:val="24"/>
              </w:rPr>
            </w:pPr>
            <w:r>
              <w:rPr>
                <w:rFonts w:hint="eastAsia" w:ascii="宋体" w:hAnsi="宋体" w:cs="宋体"/>
                <w:sz w:val="24"/>
                <w:szCs w:val="24"/>
              </w:rPr>
              <w:t>昆山三景科技股份有限公司</w:t>
            </w:r>
          </w:p>
        </w:tc>
      </w:tr>
      <w:tr w14:paraId="0E14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3E0ED1A1">
            <w:pPr>
              <w:jc w:val="center"/>
              <w:rPr>
                <w:rFonts w:ascii="宋体" w:hAnsi="宋体" w:cs="宋体"/>
                <w:b/>
                <w:sz w:val="24"/>
                <w:szCs w:val="24"/>
              </w:rPr>
            </w:pPr>
            <w:r>
              <w:rPr>
                <w:rFonts w:hint="eastAsia" w:ascii="宋体" w:hAnsi="宋体" w:cs="宋体"/>
                <w:b/>
                <w:sz w:val="24"/>
                <w:szCs w:val="24"/>
              </w:rPr>
              <w:t>统一社会信用代码</w:t>
            </w:r>
          </w:p>
        </w:tc>
        <w:tc>
          <w:tcPr>
            <w:tcW w:w="6135" w:type="dxa"/>
            <w:vAlign w:val="center"/>
          </w:tcPr>
          <w:p w14:paraId="598CEAB3">
            <w:pPr>
              <w:rPr>
                <w:rFonts w:ascii="宋体" w:hAnsi="宋体" w:cs="宋体"/>
                <w:sz w:val="24"/>
                <w:szCs w:val="24"/>
              </w:rPr>
            </w:pPr>
            <w:r>
              <w:rPr>
                <w:rFonts w:hint="eastAsia" w:ascii="宋体" w:hAnsi="宋体" w:cs="宋体"/>
                <w:sz w:val="24"/>
                <w:szCs w:val="24"/>
              </w:rPr>
              <w:t>91320500788386702A</w:t>
            </w:r>
          </w:p>
        </w:tc>
      </w:tr>
      <w:tr w14:paraId="0C35D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4A4BCEE8">
            <w:pPr>
              <w:jc w:val="center"/>
              <w:rPr>
                <w:rFonts w:ascii="宋体" w:hAnsi="宋体" w:cs="宋体"/>
                <w:b/>
                <w:sz w:val="24"/>
                <w:szCs w:val="24"/>
              </w:rPr>
            </w:pPr>
            <w:r>
              <w:rPr>
                <w:rFonts w:hint="eastAsia" w:ascii="宋体" w:hAnsi="宋体" w:cs="宋体"/>
                <w:b/>
                <w:sz w:val="24"/>
                <w:szCs w:val="24"/>
              </w:rPr>
              <w:t>类型</w:t>
            </w:r>
          </w:p>
        </w:tc>
        <w:tc>
          <w:tcPr>
            <w:tcW w:w="6135" w:type="dxa"/>
            <w:vAlign w:val="center"/>
          </w:tcPr>
          <w:p w14:paraId="594D795D">
            <w:pPr>
              <w:rPr>
                <w:rFonts w:ascii="宋体" w:hAnsi="宋体" w:cs="宋体"/>
                <w:sz w:val="24"/>
                <w:szCs w:val="24"/>
              </w:rPr>
            </w:pPr>
            <w:r>
              <w:rPr>
                <w:rFonts w:hint="eastAsia" w:ascii="宋体" w:hAnsi="宋体" w:cs="宋体"/>
                <w:sz w:val="24"/>
                <w:szCs w:val="24"/>
              </w:rPr>
              <w:t>股份有限公司（非上市、自然人投资或控股）</w:t>
            </w:r>
          </w:p>
        </w:tc>
      </w:tr>
      <w:tr w14:paraId="7DA37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07C19090">
            <w:pPr>
              <w:jc w:val="center"/>
              <w:rPr>
                <w:rFonts w:ascii="宋体" w:hAnsi="宋体" w:cs="宋体"/>
                <w:b/>
                <w:sz w:val="24"/>
                <w:szCs w:val="24"/>
              </w:rPr>
            </w:pPr>
            <w:r>
              <w:rPr>
                <w:rFonts w:hint="eastAsia" w:ascii="宋体" w:hAnsi="宋体" w:cs="宋体"/>
                <w:b/>
                <w:sz w:val="24"/>
                <w:szCs w:val="24"/>
              </w:rPr>
              <w:t>法定代表人</w:t>
            </w:r>
          </w:p>
        </w:tc>
        <w:tc>
          <w:tcPr>
            <w:tcW w:w="6135" w:type="dxa"/>
            <w:vAlign w:val="center"/>
          </w:tcPr>
          <w:p w14:paraId="27D3A667">
            <w:pPr>
              <w:rPr>
                <w:rFonts w:ascii="宋体" w:hAnsi="宋体" w:cs="宋体"/>
                <w:sz w:val="24"/>
                <w:szCs w:val="24"/>
              </w:rPr>
            </w:pPr>
            <w:r>
              <w:rPr>
                <w:rFonts w:hint="eastAsia" w:ascii="宋体" w:hAnsi="宋体" w:cs="宋体"/>
                <w:sz w:val="24"/>
                <w:szCs w:val="24"/>
              </w:rPr>
              <w:t>常唐银</w:t>
            </w:r>
          </w:p>
        </w:tc>
      </w:tr>
      <w:tr w14:paraId="20E98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035F8529">
            <w:pPr>
              <w:jc w:val="center"/>
              <w:rPr>
                <w:rFonts w:ascii="宋体" w:hAnsi="宋体" w:cs="宋体"/>
                <w:b/>
                <w:sz w:val="24"/>
                <w:szCs w:val="24"/>
              </w:rPr>
            </w:pPr>
            <w:r>
              <w:rPr>
                <w:rFonts w:hint="eastAsia" w:ascii="宋体" w:hAnsi="宋体" w:cs="宋体"/>
                <w:b/>
                <w:sz w:val="24"/>
                <w:szCs w:val="24"/>
              </w:rPr>
              <w:t>住所</w:t>
            </w:r>
          </w:p>
        </w:tc>
        <w:tc>
          <w:tcPr>
            <w:tcW w:w="6135" w:type="dxa"/>
            <w:vAlign w:val="center"/>
          </w:tcPr>
          <w:p w14:paraId="02841A17">
            <w:pPr>
              <w:rPr>
                <w:rFonts w:ascii="宋体" w:hAnsi="宋体" w:cs="宋体"/>
                <w:sz w:val="24"/>
                <w:szCs w:val="24"/>
              </w:rPr>
            </w:pPr>
            <w:r>
              <w:rPr>
                <w:rFonts w:hint="eastAsia" w:ascii="宋体" w:hAnsi="宋体" w:cs="宋体"/>
                <w:sz w:val="24"/>
                <w:szCs w:val="24"/>
              </w:rPr>
              <w:t>昆山市高新区瑞科路158号</w:t>
            </w:r>
          </w:p>
        </w:tc>
      </w:tr>
      <w:tr w14:paraId="59862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3AE8C9C5">
            <w:pPr>
              <w:jc w:val="center"/>
              <w:rPr>
                <w:rFonts w:ascii="宋体" w:hAnsi="宋体" w:cs="宋体"/>
                <w:b/>
                <w:sz w:val="24"/>
                <w:szCs w:val="24"/>
              </w:rPr>
            </w:pPr>
            <w:r>
              <w:rPr>
                <w:rFonts w:hint="eastAsia" w:ascii="宋体" w:hAnsi="宋体" w:cs="宋体"/>
                <w:b/>
                <w:sz w:val="24"/>
                <w:szCs w:val="24"/>
              </w:rPr>
              <w:t>注册资本</w:t>
            </w:r>
          </w:p>
        </w:tc>
        <w:tc>
          <w:tcPr>
            <w:tcW w:w="6135" w:type="dxa"/>
            <w:vAlign w:val="center"/>
          </w:tcPr>
          <w:p w14:paraId="0F917019">
            <w:pPr>
              <w:rPr>
                <w:rFonts w:ascii="宋体" w:hAnsi="宋体" w:cs="宋体"/>
                <w:sz w:val="24"/>
                <w:szCs w:val="24"/>
              </w:rPr>
            </w:pPr>
            <w:r>
              <w:rPr>
                <w:rFonts w:hint="eastAsia" w:ascii="宋体" w:hAnsi="宋体" w:cs="宋体"/>
                <w:sz w:val="24"/>
                <w:szCs w:val="24"/>
              </w:rPr>
              <w:t>10801.485万元人民币</w:t>
            </w:r>
          </w:p>
        </w:tc>
      </w:tr>
      <w:tr w14:paraId="60705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0A9DB17A">
            <w:pPr>
              <w:jc w:val="center"/>
              <w:rPr>
                <w:rFonts w:ascii="宋体" w:hAnsi="宋体" w:cs="宋体"/>
                <w:b/>
                <w:sz w:val="24"/>
                <w:szCs w:val="24"/>
              </w:rPr>
            </w:pPr>
            <w:r>
              <w:rPr>
                <w:rFonts w:hint="eastAsia" w:ascii="宋体" w:hAnsi="宋体" w:cs="宋体"/>
                <w:b/>
                <w:sz w:val="24"/>
                <w:szCs w:val="24"/>
              </w:rPr>
              <w:t>成立日期</w:t>
            </w:r>
          </w:p>
        </w:tc>
        <w:tc>
          <w:tcPr>
            <w:tcW w:w="6135" w:type="dxa"/>
            <w:vAlign w:val="center"/>
          </w:tcPr>
          <w:p w14:paraId="5EAE5143">
            <w:pPr>
              <w:rPr>
                <w:rFonts w:ascii="宋体" w:hAnsi="宋体" w:cs="宋体"/>
                <w:sz w:val="24"/>
                <w:szCs w:val="24"/>
              </w:rPr>
            </w:pPr>
            <w:r>
              <w:rPr>
                <w:rFonts w:hint="eastAsia" w:ascii="宋体" w:hAnsi="宋体" w:cs="宋体"/>
                <w:sz w:val="24"/>
                <w:szCs w:val="24"/>
              </w:rPr>
              <w:t>2006-05-30</w:t>
            </w:r>
          </w:p>
        </w:tc>
      </w:tr>
      <w:tr w14:paraId="1866E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51B30EB1">
            <w:pPr>
              <w:jc w:val="center"/>
              <w:rPr>
                <w:rFonts w:ascii="宋体" w:hAnsi="宋体" w:cs="宋体"/>
                <w:b/>
                <w:sz w:val="24"/>
                <w:szCs w:val="24"/>
              </w:rPr>
            </w:pPr>
            <w:r>
              <w:rPr>
                <w:rFonts w:hint="eastAsia" w:ascii="宋体" w:hAnsi="宋体" w:cs="宋体"/>
                <w:b/>
                <w:sz w:val="24"/>
                <w:szCs w:val="24"/>
              </w:rPr>
              <w:t>营业期限</w:t>
            </w:r>
          </w:p>
        </w:tc>
        <w:tc>
          <w:tcPr>
            <w:tcW w:w="6135" w:type="dxa"/>
            <w:vAlign w:val="center"/>
          </w:tcPr>
          <w:p w14:paraId="5D476E7F">
            <w:pPr>
              <w:rPr>
                <w:rFonts w:ascii="宋体" w:hAnsi="宋体" w:cs="宋体"/>
                <w:sz w:val="24"/>
                <w:szCs w:val="24"/>
              </w:rPr>
            </w:pPr>
            <w:r>
              <w:rPr>
                <w:rFonts w:hint="eastAsia" w:ascii="宋体" w:hAnsi="宋体" w:cs="宋体"/>
                <w:sz w:val="24"/>
                <w:szCs w:val="24"/>
              </w:rPr>
              <w:t>2006-05-30 至 无固定期限</w:t>
            </w:r>
          </w:p>
        </w:tc>
      </w:tr>
      <w:tr w14:paraId="1A9E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3DF6B24B">
            <w:pPr>
              <w:jc w:val="center"/>
              <w:rPr>
                <w:rFonts w:ascii="宋体" w:hAnsi="宋体" w:cs="宋体"/>
                <w:b/>
                <w:sz w:val="24"/>
                <w:szCs w:val="24"/>
              </w:rPr>
            </w:pPr>
            <w:r>
              <w:rPr>
                <w:rFonts w:hint="eastAsia" w:ascii="宋体" w:hAnsi="宋体" w:cs="宋体"/>
                <w:b/>
                <w:sz w:val="24"/>
                <w:szCs w:val="24"/>
              </w:rPr>
              <w:t>登记机关</w:t>
            </w:r>
          </w:p>
        </w:tc>
        <w:tc>
          <w:tcPr>
            <w:tcW w:w="6135" w:type="dxa"/>
            <w:vAlign w:val="center"/>
          </w:tcPr>
          <w:p w14:paraId="3C22B59F">
            <w:pPr>
              <w:rPr>
                <w:rFonts w:ascii="宋体" w:hAnsi="宋体" w:cs="宋体"/>
                <w:sz w:val="24"/>
                <w:szCs w:val="24"/>
              </w:rPr>
            </w:pPr>
            <w:r>
              <w:rPr>
                <w:rFonts w:hint="eastAsia" w:ascii="宋体" w:hAnsi="宋体" w:cs="宋体"/>
                <w:sz w:val="24"/>
                <w:szCs w:val="24"/>
              </w:rPr>
              <w:t>苏州市行政审批局</w:t>
            </w:r>
          </w:p>
        </w:tc>
      </w:tr>
      <w:tr w14:paraId="7C031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4" w:type="dxa"/>
            <w:vAlign w:val="center"/>
          </w:tcPr>
          <w:p w14:paraId="4B001BE0">
            <w:pPr>
              <w:jc w:val="center"/>
              <w:rPr>
                <w:rFonts w:ascii="宋体" w:hAnsi="宋体" w:cs="宋体"/>
                <w:b/>
                <w:sz w:val="24"/>
                <w:szCs w:val="24"/>
              </w:rPr>
            </w:pPr>
            <w:r>
              <w:rPr>
                <w:rFonts w:hint="eastAsia" w:ascii="宋体" w:hAnsi="宋体" w:cs="宋体"/>
                <w:b/>
                <w:sz w:val="24"/>
                <w:szCs w:val="24"/>
              </w:rPr>
              <w:t>经营范围</w:t>
            </w:r>
          </w:p>
        </w:tc>
        <w:tc>
          <w:tcPr>
            <w:tcW w:w="6135" w:type="dxa"/>
            <w:vAlign w:val="center"/>
          </w:tcPr>
          <w:p w14:paraId="5E3A4201">
            <w:pPr>
              <w:rPr>
                <w:rFonts w:ascii="宋体" w:hAnsi="宋体" w:cs="宋体"/>
                <w:sz w:val="24"/>
                <w:szCs w:val="24"/>
              </w:rPr>
            </w:pPr>
            <w:r>
              <w:rPr>
                <w:rFonts w:hint="eastAsia" w:ascii="宋体" w:hAnsi="宋体" w:cs="宋体"/>
                <w:sz w:val="24"/>
                <w:szCs w:val="24"/>
              </w:rPr>
              <w:t>精密模具、光电模组、精密电子组件、光电光学镜片及电子器件的设计开发、生产、销售及技术转让；精密五金冲压件、塑料制品、金属结构的设计、生产、销售；通信终端设备、可穿戴智能设备、智能车载设备、智能家庭消费设备、计算机零部件、汽车零部件及配件的研发、生产、销售（不含行政许可项目）；机械设备、自动化设备、通讯电子产品、除危险化学品外的化工原料及模具钢的销售；自有商业房屋租赁服务、机械设备租赁；自营和代理各类商品及技术的进出口业务（国家限定企业经营或禁止进出口的商品和技术除外）。（前述经营项目中法律、行政法规规定前置许可经营、限制经营、禁止经营的除外）（依法须经批准的项目,经相关部门批准后方可开展经营活动）</w:t>
            </w:r>
          </w:p>
        </w:tc>
      </w:tr>
    </w:tbl>
    <w:p w14:paraId="1D2AE1B0">
      <w:pPr>
        <w:keepNext/>
        <w:spacing w:before="156" w:beforeLines="50" w:line="360" w:lineRule="auto"/>
        <w:ind w:firstLine="465"/>
        <w:rPr>
          <w:rFonts w:ascii="宋体" w:hAnsi="宋体" w:eastAsia="宋体" w:cs="宋体"/>
          <w:b/>
          <w:sz w:val="24"/>
          <w:szCs w:val="24"/>
        </w:rPr>
      </w:pPr>
      <w:r>
        <w:rPr>
          <w:rFonts w:hint="eastAsia" w:ascii="宋体" w:hAnsi="宋体" w:eastAsia="宋体" w:cs="宋体"/>
          <w:b/>
          <w:sz w:val="24"/>
          <w:szCs w:val="24"/>
        </w:rPr>
        <w:t>二、债务人简介及现状</w:t>
      </w:r>
    </w:p>
    <w:p w14:paraId="1120EBD7">
      <w:pPr>
        <w:spacing w:before="156" w:beforeLines="50" w:line="360" w:lineRule="auto"/>
        <w:ind w:firstLine="465"/>
        <w:rPr>
          <w:rFonts w:ascii="宋体" w:hAnsi="宋体" w:eastAsia="宋体" w:cs="宋体"/>
          <w:bCs/>
          <w:sz w:val="24"/>
          <w:szCs w:val="24"/>
        </w:rPr>
      </w:pPr>
      <w:r>
        <w:rPr>
          <w:rFonts w:hint="eastAsia" w:ascii="宋体" w:hAnsi="宋体" w:eastAsia="宋体" w:cs="宋体"/>
          <w:bCs/>
          <w:sz w:val="24"/>
          <w:szCs w:val="24"/>
        </w:rPr>
        <w:t>三景科技公司成立于2006年5月，传统业务为中小型精密金属零组件模具的设计制造。2014年挂牌新三板后，选定光学新材料作为公司未来主要发展方向，专注于光电导光板、视窗镜片、光学镜片、手机镜片、安防球罩、智能腕表等产品的生产加工，拥有多项发明专利，在曲屏、盖板、3D产品等行业领先。2015年引进行业独特的先进技术及专业的核心团队，并与三星、惠普、HTC、MOTO、LG等国外知名手机品牌客户展开量产合作。2018年，公司建成了专用厂房约3.4万平方米，购置全制程成套量产设备，具备了1500万PCS产能。</w:t>
      </w:r>
    </w:p>
    <w:p w14:paraId="370454D9">
      <w:pPr>
        <w:spacing w:before="156" w:beforeLines="50" w:line="360" w:lineRule="auto"/>
        <w:ind w:firstLine="465"/>
        <w:rPr>
          <w:rFonts w:ascii="宋体" w:hAnsi="宋体" w:eastAsia="宋体" w:cs="宋体"/>
          <w:bCs/>
          <w:sz w:val="24"/>
          <w:szCs w:val="24"/>
        </w:rPr>
      </w:pPr>
      <w:r>
        <w:rPr>
          <w:rFonts w:hint="eastAsia" w:ascii="宋体" w:hAnsi="宋体" w:eastAsia="宋体" w:cs="宋体"/>
          <w:bCs/>
          <w:sz w:val="24"/>
          <w:szCs w:val="24"/>
        </w:rPr>
        <w:t>之后，由于经营管理不善，加之行业竞争加剧，公司核心客户流失、订单下滑，期间还遭受了三年疫情冲击，供应商的交易条件日益严苛，导致公司经营成本过重，贷款银行的风险警示越来越高，最终资金链断裂而被迫停产、全部员工离职。</w:t>
      </w:r>
    </w:p>
    <w:p w14:paraId="3C37D615">
      <w:pPr>
        <w:spacing w:before="156" w:beforeLines="50" w:line="360" w:lineRule="auto"/>
        <w:ind w:firstLine="465"/>
        <w:rPr>
          <w:rFonts w:ascii="宋体" w:hAnsi="宋体" w:eastAsia="宋体" w:cs="宋体"/>
          <w:b/>
          <w:sz w:val="24"/>
          <w:szCs w:val="24"/>
        </w:rPr>
      </w:pPr>
      <w:r>
        <w:rPr>
          <w:rFonts w:hint="eastAsia" w:ascii="宋体" w:hAnsi="宋体" w:eastAsia="宋体" w:cs="宋体"/>
          <w:b/>
          <w:sz w:val="24"/>
          <w:szCs w:val="24"/>
        </w:rPr>
        <w:t>三、债务人主要资产情况</w:t>
      </w:r>
    </w:p>
    <w:p w14:paraId="451CC7E2">
      <w:pPr>
        <w:adjustRightInd w:val="0"/>
        <w:spacing w:line="360" w:lineRule="auto"/>
        <w:ind w:firstLine="482"/>
        <w:contextualSpacing/>
        <w:rPr>
          <w:rFonts w:ascii="宋体" w:hAnsi="宋体" w:eastAsia="宋体" w:cs="宋体"/>
          <w:sz w:val="24"/>
          <w:szCs w:val="24"/>
        </w:rPr>
      </w:pPr>
      <w:r>
        <w:rPr>
          <w:rFonts w:hint="eastAsia" w:ascii="宋体" w:hAnsi="宋体" w:eastAsia="宋体" w:cs="宋体"/>
          <w:sz w:val="24"/>
          <w:szCs w:val="24"/>
        </w:rPr>
        <w:t>债务人的主要资产为其名下的不动产及生产机器设备，主要概况如下：</w:t>
      </w:r>
    </w:p>
    <w:p w14:paraId="7C2D0449">
      <w:pPr>
        <w:adjustRightInd w:val="0"/>
        <w:spacing w:line="360" w:lineRule="auto"/>
        <w:ind w:firstLine="482"/>
        <w:contextualSpacing/>
        <w:rPr>
          <w:rFonts w:ascii="宋体" w:hAnsi="宋体" w:eastAsia="宋体" w:cs="宋体"/>
          <w:b/>
          <w:bCs/>
          <w:sz w:val="24"/>
          <w:szCs w:val="24"/>
        </w:rPr>
      </w:pPr>
      <w:r>
        <w:rPr>
          <w:rFonts w:hint="eastAsia" w:ascii="宋体" w:hAnsi="宋体" w:eastAsia="宋体" w:cs="宋体"/>
          <w:b/>
          <w:bCs/>
          <w:sz w:val="24"/>
          <w:szCs w:val="24"/>
        </w:rPr>
        <w:t>（一）不动产</w:t>
      </w:r>
    </w:p>
    <w:p w14:paraId="660A66E5">
      <w:pPr>
        <w:widowControl/>
        <w:spacing w:line="360" w:lineRule="auto"/>
        <w:ind w:firstLine="480"/>
        <w:jc w:val="left"/>
        <w:rPr>
          <w:rFonts w:ascii="宋体" w:hAnsi="宋体" w:eastAsia="宋体" w:cs="宋体"/>
          <w:bCs/>
          <w:sz w:val="24"/>
          <w:szCs w:val="24"/>
        </w:rPr>
      </w:pPr>
      <w:r>
        <w:rPr>
          <w:rFonts w:hint="eastAsia" w:ascii="宋体" w:hAnsi="宋体"/>
          <w:sz w:val="24"/>
          <w:szCs w:val="24"/>
        </w:rPr>
        <w:t>三景科技公司名下有位于昆山市高新区瑞科路的厂房、土地、设备等不动产，其中土地面积28,691.7平方米，厂房面积33,793.49平方米，具体房屋信息为：</w:t>
      </w:r>
      <w:r>
        <w:rPr>
          <w:rFonts w:hint="eastAsia" w:ascii="宋体" w:hAnsi="宋体" w:eastAsia="宋体" w:cs="宋体"/>
          <w:bCs/>
          <w:sz w:val="24"/>
          <w:szCs w:val="24"/>
        </w:rPr>
        <w:t>1#厂房，钢混结构，三层，建筑面积计27,966.72㎡；2#厂房，钢混结构，二层，建筑面积计5071.88 ㎡；门卫房,钢混结构，一层，建筑面积计 93.22㎡；水池泵房辅房，钢混结构，二层(其中地上面积 257.42㎡地下水池面积 404.24㎡)，建筑面积计 661.66㎡。</w:t>
      </w:r>
    </w:p>
    <w:p w14:paraId="381A3B21">
      <w:pPr>
        <w:spacing w:before="156" w:beforeLines="50" w:line="360" w:lineRule="auto"/>
        <w:jc w:val="center"/>
        <w:rPr>
          <w:rFonts w:ascii="宋体" w:hAnsi="宋体" w:eastAsia="宋体" w:cs="宋体"/>
          <w:b/>
          <w:bCs/>
          <w:sz w:val="24"/>
          <w:szCs w:val="24"/>
        </w:rPr>
      </w:pPr>
      <w:r>
        <w:rPr>
          <w:rFonts w:hint="eastAsia" w:ascii="宋体" w:hAnsi="宋体" w:eastAsia="宋体" w:cs="宋体"/>
          <w:b/>
          <w:bCs/>
          <w:sz w:val="24"/>
          <w:szCs w:val="24"/>
        </w:rPr>
        <w:drawing>
          <wp:inline distT="0" distB="0" distL="114300" distR="114300">
            <wp:extent cx="2950210" cy="1907540"/>
            <wp:effectExtent l="0" t="0" r="2540" b="6985"/>
            <wp:docPr id="2" name="图片 2" descr="J6GXH~MSQTJT3]OG}AKT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J6GXH~MSQTJT3]OG}AKTI~8"/>
                    <pic:cNvPicPr>
                      <a:picLocks noChangeAspect="1"/>
                    </pic:cNvPicPr>
                  </pic:nvPicPr>
                  <pic:blipFill>
                    <a:blip r:embed="rId4"/>
                    <a:stretch>
                      <a:fillRect/>
                    </a:stretch>
                  </pic:blipFill>
                  <pic:spPr>
                    <a:xfrm>
                      <a:off x="0" y="0"/>
                      <a:ext cx="2950210" cy="1907540"/>
                    </a:xfrm>
                    <a:prstGeom prst="rect">
                      <a:avLst/>
                    </a:prstGeom>
                  </pic:spPr>
                </pic:pic>
              </a:graphicData>
            </a:graphic>
          </wp:inline>
        </w:drawing>
      </w:r>
    </w:p>
    <w:p w14:paraId="615B35F5">
      <w:pPr>
        <w:rPr>
          <w:rFonts w:ascii="宋体" w:hAnsi="宋体" w:eastAsia="宋体" w:cs="宋体"/>
          <w:b/>
          <w:bCs/>
          <w:sz w:val="24"/>
          <w:szCs w:val="24"/>
        </w:rPr>
      </w:pPr>
      <w:r>
        <w:rPr>
          <w:rFonts w:ascii="宋体" w:hAnsi="宋体" w:eastAsia="宋体" w:cs="宋体"/>
          <w:b/>
          <w:bCs/>
          <w:sz w:val="24"/>
          <w:szCs w:val="24"/>
        </w:rPr>
        <w:drawing>
          <wp:inline distT="0" distB="0" distL="0" distR="0">
            <wp:extent cx="5273675" cy="2964180"/>
            <wp:effectExtent l="0" t="0" r="3175" b="7620"/>
            <wp:docPr id="1462611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61117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000" cy="2964454"/>
                    </a:xfrm>
                    <a:prstGeom prst="rect">
                      <a:avLst/>
                    </a:prstGeom>
                    <a:noFill/>
                    <a:ln>
                      <a:noFill/>
                    </a:ln>
                  </pic:spPr>
                </pic:pic>
              </a:graphicData>
            </a:graphic>
          </wp:inline>
        </w:drawing>
      </w:r>
    </w:p>
    <w:p w14:paraId="0331D119">
      <w:pPr>
        <w:rPr>
          <w:rFonts w:ascii="宋体" w:hAnsi="宋体" w:eastAsia="宋体" w:cs="宋体"/>
          <w:b/>
          <w:bCs/>
          <w:sz w:val="24"/>
          <w:szCs w:val="24"/>
        </w:rPr>
      </w:pPr>
      <w:r>
        <w:rPr>
          <w:rFonts w:hint="eastAsia"/>
        </w:rPr>
        <w:drawing>
          <wp:inline distT="0" distB="0" distL="114300" distR="114300">
            <wp:extent cx="5273675" cy="3955415"/>
            <wp:effectExtent l="0" t="0" r="3175" b="6985"/>
            <wp:docPr id="3" name="图片 3" descr="5e9ad1a7a6d40eb62f9c434f851ab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e9ad1a7a6d40eb62f9c434f851ab99"/>
                    <pic:cNvPicPr>
                      <a:picLocks noChangeAspect="1"/>
                    </pic:cNvPicPr>
                  </pic:nvPicPr>
                  <pic:blipFill>
                    <a:blip r:embed="rId6"/>
                    <a:stretch>
                      <a:fillRect/>
                    </a:stretch>
                  </pic:blipFill>
                  <pic:spPr>
                    <a:xfrm>
                      <a:off x="0" y="0"/>
                      <a:ext cx="5274000" cy="3955500"/>
                    </a:xfrm>
                    <a:prstGeom prst="rect">
                      <a:avLst/>
                    </a:prstGeom>
                  </pic:spPr>
                </pic:pic>
              </a:graphicData>
            </a:graphic>
          </wp:inline>
        </w:drawing>
      </w:r>
    </w:p>
    <w:p w14:paraId="292F5E70">
      <w:pPr>
        <w:spacing w:before="156" w:beforeLines="50" w:line="360" w:lineRule="auto"/>
        <w:rPr>
          <w:rFonts w:ascii="宋体" w:hAnsi="宋体" w:eastAsia="宋体" w:cs="宋体"/>
          <w:b/>
          <w:bCs/>
          <w:sz w:val="24"/>
          <w:szCs w:val="24"/>
        </w:rPr>
      </w:pPr>
    </w:p>
    <w:p w14:paraId="1946A491">
      <w:r>
        <w:rPr>
          <w:rFonts w:hint="eastAsia"/>
        </w:rPr>
        <w:drawing>
          <wp:inline distT="0" distB="0" distL="114300" distR="114300">
            <wp:extent cx="5273675" cy="3954780"/>
            <wp:effectExtent l="0" t="0" r="3175" b="7620"/>
            <wp:docPr id="5" name="图片 5" descr="8cced3fcc5f8e59465b6f2bb451d0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cced3fcc5f8e59465b6f2bb451d0c2"/>
                    <pic:cNvPicPr>
                      <a:picLocks noChangeAspect="1"/>
                    </pic:cNvPicPr>
                  </pic:nvPicPr>
                  <pic:blipFill>
                    <a:blip r:embed="rId7"/>
                    <a:stretch>
                      <a:fillRect/>
                    </a:stretch>
                  </pic:blipFill>
                  <pic:spPr>
                    <a:xfrm>
                      <a:off x="0" y="0"/>
                      <a:ext cx="5274000" cy="3955344"/>
                    </a:xfrm>
                    <a:prstGeom prst="rect">
                      <a:avLst/>
                    </a:prstGeom>
                  </pic:spPr>
                </pic:pic>
              </a:graphicData>
            </a:graphic>
          </wp:inline>
        </w:drawing>
      </w:r>
    </w:p>
    <w:p w14:paraId="462409CB">
      <w:r>
        <w:drawing>
          <wp:inline distT="0" distB="0" distL="0" distR="0">
            <wp:extent cx="5273675" cy="2964180"/>
            <wp:effectExtent l="0" t="0" r="3175" b="7620"/>
            <wp:docPr id="20489295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929525"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000" cy="2964454"/>
                    </a:xfrm>
                    <a:prstGeom prst="rect">
                      <a:avLst/>
                    </a:prstGeom>
                    <a:noFill/>
                    <a:ln>
                      <a:noFill/>
                    </a:ln>
                  </pic:spPr>
                </pic:pic>
              </a:graphicData>
            </a:graphic>
          </wp:inline>
        </w:drawing>
      </w:r>
    </w:p>
    <w:p w14:paraId="4BD83958">
      <w:pPr>
        <w:adjustRightInd w:val="0"/>
        <w:spacing w:line="360" w:lineRule="auto"/>
        <w:ind w:firstLine="482"/>
        <w:contextualSpacing/>
        <w:rPr>
          <w:rFonts w:ascii="宋体" w:hAnsi="宋体" w:eastAsia="宋体" w:cs="宋体"/>
          <w:b/>
          <w:bCs/>
          <w:sz w:val="24"/>
          <w:szCs w:val="24"/>
        </w:rPr>
      </w:pPr>
      <w:r>
        <w:rPr>
          <w:rFonts w:hint="eastAsia" w:ascii="宋体" w:hAnsi="宋体" w:eastAsia="宋体" w:cs="宋体"/>
          <w:b/>
          <w:bCs/>
          <w:sz w:val="24"/>
          <w:szCs w:val="24"/>
        </w:rPr>
        <w:t>（二）机器设备</w:t>
      </w:r>
    </w:p>
    <w:p w14:paraId="411CB31F">
      <w:pPr>
        <w:spacing w:before="156" w:beforeLines="50" w:line="360" w:lineRule="auto"/>
        <w:ind w:firstLine="480" w:firstLineChars="200"/>
        <w:rPr>
          <w:rFonts w:ascii="宋体" w:hAnsi="宋体" w:eastAsia="宋体" w:cs="宋体"/>
          <w:b/>
          <w:bCs/>
          <w:sz w:val="24"/>
          <w:szCs w:val="24"/>
        </w:rPr>
      </w:pPr>
      <w:r>
        <w:rPr>
          <w:rFonts w:hint="eastAsia" w:ascii="宋体" w:hAnsi="宋体"/>
          <w:sz w:val="24"/>
          <w:szCs w:val="24"/>
        </w:rPr>
        <w:t>三景科技公司名下有高精密自动高压成型机、半自动平压平板模切机、</w:t>
      </w:r>
      <w:r>
        <w:rPr>
          <w:rFonts w:hint="eastAsia" w:ascii="宋体" w:hAnsi="宋体"/>
          <w:sz w:val="24"/>
          <w:szCs w:val="24"/>
        </w:rPr>
        <w:tab/>
      </w:r>
      <w:r>
        <w:rPr>
          <w:rFonts w:hint="eastAsia" w:ascii="宋体" w:hAnsi="宋体"/>
          <w:sz w:val="24"/>
          <w:szCs w:val="24"/>
        </w:rPr>
        <w:t>全自动测量系统、影像测量仪、单头精雕机、自动清洗线、全自动切铣一体机、无尘UV漆淋涂线、住友全电动射出成形机、住友全电动注塑机、剪切抛光一体机等机器设备若干，涉及到多家融资租赁，部分融资租赁债权人可能主张取回设备，具体机器设备情况需要进一步调查梳理。</w:t>
      </w:r>
    </w:p>
    <w:p w14:paraId="0510710D">
      <w:pPr>
        <w:adjustRightInd w:val="0"/>
        <w:spacing w:line="360" w:lineRule="auto"/>
        <w:ind w:firstLine="482"/>
        <w:contextualSpacing/>
        <w:rPr>
          <w:rFonts w:ascii="宋体" w:hAnsi="宋体" w:eastAsia="宋体" w:cs="宋体"/>
          <w:b/>
          <w:bCs/>
          <w:sz w:val="24"/>
          <w:szCs w:val="24"/>
        </w:rPr>
      </w:pPr>
      <w:r>
        <w:rPr>
          <w:rFonts w:hint="eastAsia" w:ascii="宋体" w:hAnsi="宋体" w:eastAsia="宋体" w:cs="宋体"/>
          <w:b/>
          <w:bCs/>
          <w:sz w:val="24"/>
          <w:szCs w:val="24"/>
        </w:rPr>
        <w:t>（三）知识产权等无形资产</w:t>
      </w:r>
    </w:p>
    <w:p w14:paraId="62CDA975">
      <w:pPr>
        <w:spacing w:before="156" w:beforeLines="50" w:line="360" w:lineRule="auto"/>
        <w:ind w:firstLine="480" w:firstLineChars="200"/>
        <w:rPr>
          <w:rFonts w:ascii="宋体" w:hAnsi="宋体" w:eastAsia="宋体" w:cs="宋体"/>
          <w:b/>
          <w:bCs/>
          <w:sz w:val="24"/>
          <w:szCs w:val="24"/>
        </w:rPr>
      </w:pPr>
      <w:r>
        <w:rPr>
          <w:rFonts w:hint="eastAsia" w:ascii="宋体" w:hAnsi="宋体"/>
          <w:sz w:val="24"/>
          <w:szCs w:val="24"/>
        </w:rPr>
        <w:t>三景科技公司还有发明专利、实用新型等112项，部分已权利终止或避重放弃；另外，三景科技公司名下有排污许可证、电气与电子元件和产品有害物质过程控制管理体系认证等资质证书。</w:t>
      </w:r>
    </w:p>
    <w:p w14:paraId="06EACE04">
      <w:pPr>
        <w:spacing w:before="156" w:beforeLines="50"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三、推介流程</w:t>
      </w:r>
    </w:p>
    <w:p w14:paraId="78EE2121">
      <w:pPr>
        <w:spacing w:line="360" w:lineRule="auto"/>
        <w:ind w:firstLine="480"/>
        <w:rPr>
          <w:rFonts w:ascii="宋体" w:hAnsi="宋体" w:eastAsia="宋体" w:cs="宋体"/>
          <w:b/>
          <w:bCs/>
          <w:sz w:val="24"/>
          <w:szCs w:val="24"/>
        </w:rPr>
      </w:pPr>
      <w:r>
        <w:rPr>
          <w:rFonts w:hint="eastAsia" w:ascii="宋体" w:hAnsi="宋体" w:eastAsia="宋体" w:cs="宋体"/>
          <w:b/>
          <w:bCs/>
          <w:sz w:val="24"/>
          <w:szCs w:val="24"/>
        </w:rPr>
        <w:t>1、推介期限</w:t>
      </w:r>
    </w:p>
    <w:p w14:paraId="6279D93C">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推介期限自本推介发布之日起至</w:t>
      </w:r>
      <w:r>
        <w:rPr>
          <w:rFonts w:hint="eastAsia" w:ascii="宋体" w:hAnsi="宋体" w:eastAsia="宋体" w:cs="宋体"/>
          <w:color w:val="000000" w:themeColor="text1"/>
          <w:sz w:val="24"/>
          <w:szCs w:val="24"/>
          <w14:textFill>
            <w14:solidFill>
              <w14:schemeClr w14:val="tx1"/>
            </w14:solidFill>
          </w14:textFill>
        </w:rPr>
        <w:t>2024年8月1日止。</w:t>
      </w:r>
    </w:p>
    <w:p w14:paraId="778FC283">
      <w:pPr>
        <w:spacing w:line="360" w:lineRule="auto"/>
        <w:ind w:firstLine="480"/>
        <w:rPr>
          <w:rFonts w:ascii="宋体" w:hAnsi="宋体" w:eastAsia="宋体" w:cs="宋体"/>
          <w:b/>
          <w:bCs/>
          <w:sz w:val="24"/>
          <w:szCs w:val="24"/>
        </w:rPr>
      </w:pPr>
      <w:r>
        <w:rPr>
          <w:rFonts w:hint="eastAsia" w:ascii="宋体" w:hAnsi="宋体" w:eastAsia="宋体" w:cs="宋体"/>
          <w:b/>
          <w:bCs/>
          <w:sz w:val="24"/>
          <w:szCs w:val="24"/>
        </w:rPr>
        <w:t>2、咨询方式</w:t>
      </w:r>
    </w:p>
    <w:p w14:paraId="6126151F">
      <w:pPr>
        <w:spacing w:line="360" w:lineRule="auto"/>
        <w:ind w:firstLine="480"/>
        <w:rPr>
          <w:rFonts w:ascii="宋体" w:hAnsi="宋体" w:eastAsia="宋体" w:cs="宋体"/>
          <w:bCs/>
          <w:sz w:val="24"/>
          <w:szCs w:val="24"/>
        </w:rPr>
      </w:pPr>
      <w:r>
        <w:rPr>
          <w:rFonts w:hint="eastAsia" w:ascii="宋体" w:hAnsi="宋体" w:eastAsia="宋体" w:cs="宋体"/>
          <w:bCs/>
          <w:sz w:val="24"/>
          <w:szCs w:val="24"/>
        </w:rPr>
        <w:t>意向投资人如对本项目有投资意向的，可向管理人咨询了解项目具体情况。</w:t>
      </w:r>
    </w:p>
    <w:p w14:paraId="0D053815">
      <w:pPr>
        <w:spacing w:line="360" w:lineRule="auto"/>
        <w:ind w:firstLine="480"/>
        <w:rPr>
          <w:rFonts w:ascii="宋体" w:hAnsi="宋体" w:eastAsia="宋体" w:cs="宋体"/>
          <w:sz w:val="24"/>
          <w:szCs w:val="24"/>
        </w:rPr>
      </w:pPr>
      <w:r>
        <w:rPr>
          <w:rFonts w:hint="eastAsia" w:ascii="宋体" w:hAnsi="宋体" w:eastAsia="宋体" w:cs="宋体"/>
          <w:sz w:val="24"/>
          <w:szCs w:val="24"/>
        </w:rPr>
        <w:t>联系人：张先生，15151438361。</w:t>
      </w:r>
    </w:p>
    <w:p w14:paraId="1C452DBC">
      <w:pPr>
        <w:spacing w:line="360" w:lineRule="auto"/>
        <w:ind w:firstLine="480"/>
        <w:rPr>
          <w:rFonts w:ascii="宋体" w:hAnsi="宋体" w:eastAsia="宋体" w:cs="宋体"/>
          <w:sz w:val="24"/>
          <w:szCs w:val="24"/>
        </w:rPr>
      </w:pPr>
      <w:r>
        <w:rPr>
          <w:rFonts w:hint="eastAsia" w:ascii="宋体" w:hAnsi="宋体" w:eastAsia="宋体" w:cs="宋体"/>
          <w:sz w:val="24"/>
          <w:szCs w:val="24"/>
        </w:rPr>
        <w:t>地址：江苏省苏州市高新区竹园路6号运河铂湾金融广场8幢苏州资管大厦 1908室。</w:t>
      </w:r>
    </w:p>
    <w:p w14:paraId="24F8504D">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3、投资方式</w:t>
      </w:r>
    </w:p>
    <w:p w14:paraId="652D6CF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意向投资人可选择投资方式，如重整投资、破产和解、整体或部分资产购买方式投资。</w:t>
      </w:r>
    </w:p>
    <w:p w14:paraId="1ABB3001">
      <w:p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4、尽职调查</w:t>
      </w:r>
    </w:p>
    <w:p w14:paraId="1A2D6723">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rPr>
        <w:t>如意向投资人需对本项目开展尽职调查的，应向管理人提交如下材料：</w:t>
      </w:r>
    </w:p>
    <w:p w14:paraId="5ADA7C36">
      <w:pPr>
        <w:spacing w:line="360" w:lineRule="auto"/>
        <w:ind w:firstLine="360" w:firstLineChars="150"/>
        <w:rPr>
          <w:rFonts w:ascii="宋体" w:hAnsi="宋体" w:eastAsia="宋体" w:cs="宋体"/>
          <w:sz w:val="24"/>
          <w:szCs w:val="24"/>
        </w:rPr>
      </w:pPr>
      <w:r>
        <w:rPr>
          <w:rFonts w:hint="eastAsia" w:ascii="宋体" w:hAnsi="宋体" w:eastAsia="宋体" w:cs="宋体"/>
          <w:sz w:val="24"/>
          <w:szCs w:val="24"/>
        </w:rPr>
        <w:t>（1）投资意向书（内容应包括投资人基本情况介绍、投资优势、拟投资企业、资金实力、融资能力介绍等，且须有企业法定代表人签字，并加盖公章）及截至2023年12月底的财务报表（上市公司可提供最近一期公开披露的合并财务报告）；</w:t>
      </w:r>
    </w:p>
    <w:p w14:paraId="0ADBFCEF">
      <w:pPr>
        <w:spacing w:line="360" w:lineRule="auto"/>
        <w:ind w:firstLine="360" w:firstLineChars="150"/>
        <w:rPr>
          <w:rFonts w:ascii="宋体" w:hAnsi="宋体" w:eastAsia="宋体" w:cs="宋体"/>
          <w:sz w:val="24"/>
          <w:szCs w:val="24"/>
        </w:rPr>
      </w:pPr>
      <w:r>
        <w:rPr>
          <w:rFonts w:hint="eastAsia" w:ascii="宋体" w:hAnsi="宋体" w:eastAsia="宋体" w:cs="宋体"/>
          <w:sz w:val="24"/>
          <w:szCs w:val="24"/>
        </w:rPr>
        <w:t>（2）企业法人营业执照副本复印件（须加盖企业公章，注：报名时需提供企业营业执照副本原件审核），自然人身份证明复印件；委托他人办理的需提交书面授权委托书及受托人身份证明。</w:t>
      </w:r>
    </w:p>
    <w:p w14:paraId="34832415">
      <w:pPr>
        <w:spacing w:line="360" w:lineRule="auto"/>
        <w:ind w:firstLine="360" w:firstLineChars="150"/>
        <w:rPr>
          <w:rFonts w:ascii="宋体" w:hAnsi="宋体" w:eastAsia="宋体" w:cs="宋体"/>
          <w:sz w:val="24"/>
          <w:szCs w:val="24"/>
        </w:rPr>
      </w:pPr>
      <w:r>
        <w:rPr>
          <w:rFonts w:hint="eastAsia" w:ascii="宋体" w:hAnsi="宋体" w:eastAsia="宋体" w:cs="宋体"/>
          <w:sz w:val="24"/>
          <w:szCs w:val="24"/>
        </w:rPr>
        <w:t>（3）联合体参加资产投资的须提交联合体的合作协议书，并分别同时按要求提供相关资料。</w:t>
      </w:r>
    </w:p>
    <w:p w14:paraId="260C0981">
      <w:pPr>
        <w:spacing w:line="360" w:lineRule="auto"/>
        <w:ind w:firstLine="360" w:firstLineChars="150"/>
        <w:rPr>
          <w:rFonts w:ascii="宋体" w:hAnsi="宋体" w:eastAsia="宋体" w:cs="宋体"/>
          <w:sz w:val="24"/>
          <w:szCs w:val="24"/>
        </w:rPr>
      </w:pPr>
      <w:r>
        <w:rPr>
          <w:rFonts w:hint="eastAsia" w:ascii="宋体" w:hAnsi="宋体" w:eastAsia="宋体" w:cs="宋体"/>
          <w:sz w:val="24"/>
          <w:szCs w:val="24"/>
        </w:rPr>
        <w:t>上述材料提交准确、齐全的，意向投资人向管理人出具《保密承诺函》，并根据管理人的要求交纳尽调保证金（具体金额将由管理人根据意向投资人拟投资的标的情况另行确定）后可以开展尽职调查，管理人配合提供相关手续、材料。</w:t>
      </w:r>
    </w:p>
    <w:p w14:paraId="36D56578">
      <w:pPr>
        <w:spacing w:before="156" w:beforeLines="50"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五、特别提示</w:t>
      </w:r>
    </w:p>
    <w:p w14:paraId="33A26AA3">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1、推介期限届满后，管理人将结合各方的投资人意向，制定正式的报名流程。</w:t>
      </w:r>
    </w:p>
    <w:p w14:paraId="78E1B1F9">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2、本次推介披露的三景科技公司相关信息仅供参考，具体情况由意向投资人调查核实。</w:t>
      </w:r>
    </w:p>
    <w:p w14:paraId="05759798">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3、本次推介不构成要约，推介期间若出现影响三景科技公司资产处置的重大事项或人民法院提出要求，管理人可以中止、撤回或变更推介内容，管理人不承担任何违约赔偿责任或补偿义务。</w:t>
      </w:r>
    </w:p>
    <w:p w14:paraId="0B4558B2">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4、意向投资人因参与本投资项目而产生的一切费用、成本以及尽职调查后作出任何投资决定而产生的商业风险均由各意向投资人自行承担，管理人不承担任何责任。</w:t>
      </w:r>
    </w:p>
    <w:p w14:paraId="7E685A2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5、欢迎有意向的社会各方人士参与三景科技公司项目投资。如有疑问，欢迎垂询。</w:t>
      </w:r>
    </w:p>
    <w:p w14:paraId="35ADD32C">
      <w:pPr>
        <w:spacing w:line="360" w:lineRule="auto"/>
        <w:ind w:firstLine="480" w:firstLineChars="200"/>
        <w:rPr>
          <w:rFonts w:ascii="宋体" w:hAnsi="宋体" w:eastAsia="宋体" w:cs="宋体"/>
          <w:sz w:val="24"/>
          <w:szCs w:val="24"/>
        </w:rPr>
      </w:pPr>
    </w:p>
    <w:p w14:paraId="39F99733">
      <w:pPr>
        <w:spacing w:line="360" w:lineRule="auto"/>
        <w:ind w:firstLine="480" w:firstLineChars="200"/>
        <w:rPr>
          <w:rFonts w:ascii="宋体" w:hAnsi="宋体" w:eastAsia="宋体" w:cs="宋体"/>
          <w:sz w:val="24"/>
          <w:szCs w:val="24"/>
        </w:rPr>
      </w:pPr>
    </w:p>
    <w:p w14:paraId="6AEA8867">
      <w:pPr>
        <w:spacing w:line="360" w:lineRule="auto"/>
        <w:ind w:firstLine="480" w:firstLineChars="200"/>
        <w:rPr>
          <w:rFonts w:hint="eastAsia" w:ascii="宋体" w:hAnsi="宋体" w:eastAsia="宋体" w:cs="宋体"/>
          <w:sz w:val="24"/>
          <w:szCs w:val="24"/>
        </w:rPr>
      </w:pPr>
    </w:p>
    <w:p w14:paraId="0457CB43">
      <w:pPr>
        <w:spacing w:line="360" w:lineRule="auto"/>
        <w:ind w:firstLine="480" w:firstLineChars="200"/>
        <w:rPr>
          <w:rFonts w:ascii="宋体" w:hAnsi="宋体" w:eastAsia="宋体" w:cs="宋体"/>
          <w:sz w:val="24"/>
          <w:szCs w:val="24"/>
        </w:rPr>
      </w:pPr>
    </w:p>
    <w:p w14:paraId="371D8043">
      <w:pPr>
        <w:spacing w:line="360" w:lineRule="auto"/>
        <w:jc w:val="right"/>
        <w:rPr>
          <w:rFonts w:ascii="宋体" w:hAnsi="宋体" w:eastAsia="宋体" w:cs="宋体"/>
          <w:sz w:val="24"/>
          <w:szCs w:val="24"/>
        </w:rPr>
      </w:pPr>
      <w:r>
        <w:rPr>
          <w:rFonts w:hint="eastAsia" w:ascii="宋体" w:hAnsi="宋体" w:eastAsia="宋体" w:cs="宋体"/>
          <w:sz w:val="24"/>
          <w:szCs w:val="24"/>
        </w:rPr>
        <w:t>昆山三景科技股份有限公司管理人</w:t>
      </w:r>
    </w:p>
    <w:p w14:paraId="01CE69A7">
      <w:pPr>
        <w:spacing w:line="360" w:lineRule="auto"/>
        <w:jc w:val="center"/>
        <w:rPr>
          <w:rFonts w:ascii="宋体" w:hAnsi="宋体" w:eastAsia="宋体" w:cs="宋体"/>
          <w:sz w:val="24"/>
          <w:szCs w:val="24"/>
        </w:rPr>
      </w:pPr>
      <w:r>
        <w:rPr>
          <w:rFonts w:hint="eastAsia" w:ascii="宋体" w:hAnsi="宋体" w:eastAsia="宋体" w:cs="宋体"/>
          <w:sz w:val="24"/>
          <w:szCs w:val="24"/>
        </w:rPr>
        <w:t xml:space="preserve">                                        2024年6月21日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2YWQ5MzI5N2NjMDE1ZDMwMDk3NjI4MmQzODJjNTQifQ=="/>
  </w:docVars>
  <w:rsids>
    <w:rsidRoot w:val="00B831B0"/>
    <w:rsid w:val="000115DC"/>
    <w:rsid w:val="000170BE"/>
    <w:rsid w:val="000254A2"/>
    <w:rsid w:val="0003270D"/>
    <w:rsid w:val="00050AAD"/>
    <w:rsid w:val="000747C3"/>
    <w:rsid w:val="00077ABF"/>
    <w:rsid w:val="00080B5E"/>
    <w:rsid w:val="00082590"/>
    <w:rsid w:val="00096EC4"/>
    <w:rsid w:val="000A5DD8"/>
    <w:rsid w:val="000D0B8D"/>
    <w:rsid w:val="0010370F"/>
    <w:rsid w:val="0010454D"/>
    <w:rsid w:val="00114601"/>
    <w:rsid w:val="001268E5"/>
    <w:rsid w:val="00131B23"/>
    <w:rsid w:val="001408AB"/>
    <w:rsid w:val="001457C0"/>
    <w:rsid w:val="0015565B"/>
    <w:rsid w:val="0016098B"/>
    <w:rsid w:val="0016587E"/>
    <w:rsid w:val="00184C20"/>
    <w:rsid w:val="001930E5"/>
    <w:rsid w:val="001A4904"/>
    <w:rsid w:val="001B16B9"/>
    <w:rsid w:val="001C1203"/>
    <w:rsid w:val="001D68F2"/>
    <w:rsid w:val="001E3095"/>
    <w:rsid w:val="001E6A2C"/>
    <w:rsid w:val="001F7E62"/>
    <w:rsid w:val="002137D7"/>
    <w:rsid w:val="00232810"/>
    <w:rsid w:val="002579C0"/>
    <w:rsid w:val="00275635"/>
    <w:rsid w:val="00280BF2"/>
    <w:rsid w:val="002C06FE"/>
    <w:rsid w:val="002C2FC2"/>
    <w:rsid w:val="00304FE1"/>
    <w:rsid w:val="00310A31"/>
    <w:rsid w:val="00322848"/>
    <w:rsid w:val="0033443A"/>
    <w:rsid w:val="00341417"/>
    <w:rsid w:val="00346C2E"/>
    <w:rsid w:val="003519BF"/>
    <w:rsid w:val="00357607"/>
    <w:rsid w:val="003A3464"/>
    <w:rsid w:val="003A4916"/>
    <w:rsid w:val="00410C2E"/>
    <w:rsid w:val="00412FC6"/>
    <w:rsid w:val="00422827"/>
    <w:rsid w:val="00430824"/>
    <w:rsid w:val="00444C9C"/>
    <w:rsid w:val="00451CCA"/>
    <w:rsid w:val="00452162"/>
    <w:rsid w:val="0045288A"/>
    <w:rsid w:val="00466F57"/>
    <w:rsid w:val="00485F04"/>
    <w:rsid w:val="004B2045"/>
    <w:rsid w:val="004D1265"/>
    <w:rsid w:val="004F0353"/>
    <w:rsid w:val="005323F2"/>
    <w:rsid w:val="00532523"/>
    <w:rsid w:val="0053596A"/>
    <w:rsid w:val="00553B3D"/>
    <w:rsid w:val="0057513F"/>
    <w:rsid w:val="005A7263"/>
    <w:rsid w:val="005B432D"/>
    <w:rsid w:val="005B5BFB"/>
    <w:rsid w:val="005D0BF4"/>
    <w:rsid w:val="005D486A"/>
    <w:rsid w:val="0064544E"/>
    <w:rsid w:val="00651A7D"/>
    <w:rsid w:val="006563F2"/>
    <w:rsid w:val="006612BC"/>
    <w:rsid w:val="006669D7"/>
    <w:rsid w:val="00676506"/>
    <w:rsid w:val="00694B73"/>
    <w:rsid w:val="00696B98"/>
    <w:rsid w:val="006A491A"/>
    <w:rsid w:val="006A6C05"/>
    <w:rsid w:val="006A722A"/>
    <w:rsid w:val="006E1FFD"/>
    <w:rsid w:val="006F0912"/>
    <w:rsid w:val="00706D3D"/>
    <w:rsid w:val="00727D53"/>
    <w:rsid w:val="007539EA"/>
    <w:rsid w:val="00761923"/>
    <w:rsid w:val="007B537A"/>
    <w:rsid w:val="007C710B"/>
    <w:rsid w:val="007D4FE2"/>
    <w:rsid w:val="00820874"/>
    <w:rsid w:val="00827AFF"/>
    <w:rsid w:val="00833156"/>
    <w:rsid w:val="008343ED"/>
    <w:rsid w:val="00847BCC"/>
    <w:rsid w:val="00860356"/>
    <w:rsid w:val="00880721"/>
    <w:rsid w:val="0088455A"/>
    <w:rsid w:val="00884EED"/>
    <w:rsid w:val="00892D5C"/>
    <w:rsid w:val="00895C8E"/>
    <w:rsid w:val="008A4CC2"/>
    <w:rsid w:val="008A6C62"/>
    <w:rsid w:val="008B7304"/>
    <w:rsid w:val="008D02AD"/>
    <w:rsid w:val="008D2CC6"/>
    <w:rsid w:val="008D4A47"/>
    <w:rsid w:val="008D4B41"/>
    <w:rsid w:val="00910869"/>
    <w:rsid w:val="0093789E"/>
    <w:rsid w:val="00965380"/>
    <w:rsid w:val="00982367"/>
    <w:rsid w:val="009B5007"/>
    <w:rsid w:val="009C4F95"/>
    <w:rsid w:val="009E44EA"/>
    <w:rsid w:val="009F7C66"/>
    <w:rsid w:val="00A017E3"/>
    <w:rsid w:val="00A1071B"/>
    <w:rsid w:val="00A13559"/>
    <w:rsid w:val="00A34CA1"/>
    <w:rsid w:val="00A4221D"/>
    <w:rsid w:val="00A81422"/>
    <w:rsid w:val="00AB7C34"/>
    <w:rsid w:val="00AC4330"/>
    <w:rsid w:val="00AD2DCD"/>
    <w:rsid w:val="00AE1A6B"/>
    <w:rsid w:val="00AE22E8"/>
    <w:rsid w:val="00AE3C00"/>
    <w:rsid w:val="00B1723B"/>
    <w:rsid w:val="00B1758D"/>
    <w:rsid w:val="00B347F0"/>
    <w:rsid w:val="00B45A74"/>
    <w:rsid w:val="00B464B4"/>
    <w:rsid w:val="00B534A4"/>
    <w:rsid w:val="00B53F35"/>
    <w:rsid w:val="00B71BBD"/>
    <w:rsid w:val="00B831B0"/>
    <w:rsid w:val="00B86272"/>
    <w:rsid w:val="00BA1B99"/>
    <w:rsid w:val="00BA7488"/>
    <w:rsid w:val="00BC5A34"/>
    <w:rsid w:val="00BE656C"/>
    <w:rsid w:val="00BF0B58"/>
    <w:rsid w:val="00C1593E"/>
    <w:rsid w:val="00C21E0F"/>
    <w:rsid w:val="00C22900"/>
    <w:rsid w:val="00C319BA"/>
    <w:rsid w:val="00C4075D"/>
    <w:rsid w:val="00C51DEB"/>
    <w:rsid w:val="00C6518B"/>
    <w:rsid w:val="00C81A64"/>
    <w:rsid w:val="00C91C68"/>
    <w:rsid w:val="00CE209B"/>
    <w:rsid w:val="00CF3AEA"/>
    <w:rsid w:val="00CF5290"/>
    <w:rsid w:val="00CF535A"/>
    <w:rsid w:val="00CF561B"/>
    <w:rsid w:val="00D04925"/>
    <w:rsid w:val="00D35861"/>
    <w:rsid w:val="00D559D4"/>
    <w:rsid w:val="00D62740"/>
    <w:rsid w:val="00D95B1E"/>
    <w:rsid w:val="00E026DC"/>
    <w:rsid w:val="00E032CB"/>
    <w:rsid w:val="00E03B25"/>
    <w:rsid w:val="00E1054B"/>
    <w:rsid w:val="00E24A16"/>
    <w:rsid w:val="00E26731"/>
    <w:rsid w:val="00E361E8"/>
    <w:rsid w:val="00E90992"/>
    <w:rsid w:val="00E91D99"/>
    <w:rsid w:val="00E97CC3"/>
    <w:rsid w:val="00EE4852"/>
    <w:rsid w:val="00EF4D5B"/>
    <w:rsid w:val="00F00F8A"/>
    <w:rsid w:val="00F11508"/>
    <w:rsid w:val="00F11847"/>
    <w:rsid w:val="00F46BAA"/>
    <w:rsid w:val="00F67230"/>
    <w:rsid w:val="00F909A3"/>
    <w:rsid w:val="00FA3859"/>
    <w:rsid w:val="00FD264F"/>
    <w:rsid w:val="00FD372A"/>
    <w:rsid w:val="00FE39E6"/>
    <w:rsid w:val="00FF5BD2"/>
    <w:rsid w:val="01CD080E"/>
    <w:rsid w:val="07854706"/>
    <w:rsid w:val="08716810"/>
    <w:rsid w:val="0C544946"/>
    <w:rsid w:val="11D81F12"/>
    <w:rsid w:val="13DB0A1B"/>
    <w:rsid w:val="14C615B8"/>
    <w:rsid w:val="15751FA9"/>
    <w:rsid w:val="16DA0303"/>
    <w:rsid w:val="19451CCB"/>
    <w:rsid w:val="19FB2A6A"/>
    <w:rsid w:val="1AF562F9"/>
    <w:rsid w:val="20D62F38"/>
    <w:rsid w:val="226471A0"/>
    <w:rsid w:val="23064238"/>
    <w:rsid w:val="24457115"/>
    <w:rsid w:val="274A3283"/>
    <w:rsid w:val="286824E5"/>
    <w:rsid w:val="2B4550B6"/>
    <w:rsid w:val="2C0754D2"/>
    <w:rsid w:val="2E3C0DED"/>
    <w:rsid w:val="2F5F5D13"/>
    <w:rsid w:val="307D3AB6"/>
    <w:rsid w:val="31E12144"/>
    <w:rsid w:val="3231536A"/>
    <w:rsid w:val="32840846"/>
    <w:rsid w:val="37492976"/>
    <w:rsid w:val="37C92510"/>
    <w:rsid w:val="38315FDC"/>
    <w:rsid w:val="384D7B0E"/>
    <w:rsid w:val="38EE49C2"/>
    <w:rsid w:val="3B64085C"/>
    <w:rsid w:val="3BDA4053"/>
    <w:rsid w:val="3FF75D6A"/>
    <w:rsid w:val="40B315A0"/>
    <w:rsid w:val="42456A72"/>
    <w:rsid w:val="4274256A"/>
    <w:rsid w:val="43321BE7"/>
    <w:rsid w:val="45431D1F"/>
    <w:rsid w:val="45A3755B"/>
    <w:rsid w:val="46BD40A1"/>
    <w:rsid w:val="49484FE1"/>
    <w:rsid w:val="499950FE"/>
    <w:rsid w:val="4D49777A"/>
    <w:rsid w:val="4F615527"/>
    <w:rsid w:val="50E45FC7"/>
    <w:rsid w:val="5104699A"/>
    <w:rsid w:val="52D04689"/>
    <w:rsid w:val="53051C89"/>
    <w:rsid w:val="53A54DD9"/>
    <w:rsid w:val="53EA5C04"/>
    <w:rsid w:val="55970663"/>
    <w:rsid w:val="57D9612F"/>
    <w:rsid w:val="59AB3EA1"/>
    <w:rsid w:val="5F83463B"/>
    <w:rsid w:val="5FAF224E"/>
    <w:rsid w:val="5FD65609"/>
    <w:rsid w:val="638D1170"/>
    <w:rsid w:val="64843425"/>
    <w:rsid w:val="65783713"/>
    <w:rsid w:val="69AD4779"/>
    <w:rsid w:val="6EBA4373"/>
    <w:rsid w:val="6EE05063"/>
    <w:rsid w:val="70486134"/>
    <w:rsid w:val="709910FE"/>
    <w:rsid w:val="70F47720"/>
    <w:rsid w:val="73D019E7"/>
    <w:rsid w:val="77BA1F51"/>
    <w:rsid w:val="78931467"/>
    <w:rsid w:val="79B51087"/>
    <w:rsid w:val="7AF42770"/>
    <w:rsid w:val="7CD078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批注框文本 字符"/>
    <w:basedOn w:val="8"/>
    <w:link w:val="3"/>
    <w:semiHidden/>
    <w:qFormat/>
    <w:uiPriority w:val="99"/>
    <w:rPr>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2313</Words>
  <Characters>2474</Characters>
  <Lines>18</Lines>
  <Paragraphs>5</Paragraphs>
  <TotalTime>4</TotalTime>
  <ScaleCrop>false</ScaleCrop>
  <LinksUpToDate>false</LinksUpToDate>
  <CharactersWithSpaces>2525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2024-06-21T12:35:00Z</dcterms:created>
  <dc:creator>Tuo Haobin</dc:creator>
  <cp:lastModifiedBy>Heaven</cp:lastModifiedBy>
  <cp:lastPrinted>2019-12-25T08:14:00Z</cp:lastPrinted>
  <dcterms:modified xsi:type="dcterms:W3CDTF">2024-07-03T01:26:40Z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C4344E879E3F4A9891F8B124C31898BF_13</vt:lpwstr>
  </property>
</Properties>
</file>