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0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破产管理人财务收支管理制度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为保障管理人工作的顺利开展，防范资产风险，维护各利害关系人的合法权益，根据《中华人民共和国企业破产法》等法律和司法解释的有关规定，特制定本制度。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default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第一条 基本原则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坚持合法、合理、必要的原则，厉行节约，勤俭办事，降低清算成本。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第二条 基本规定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（一）确定破产期间发生的日常基本开支，并详细列表；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（二）确立唯一的财务账户，自管理人成立后破产企业的所有的财务收支必须通过该账户进行；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（三）管理人财务收支活动受人民法院监督。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第三条 财务收入的范围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（一）清收债权回款；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（二）通过撤销和确认无效而收回的资金；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（三）清收欠缴出资和被侵占的资金；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（四）拍卖、变价处置公司财产的资金；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（五）借款；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（六）其他财务收入。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第四条 日常财务支出的范围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（一）清点、接收、保管财产的费用；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（二）留守及聘用人员支出的费用；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（三）财产的日常维护费用；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（四）核查、追收债务人债权的费用；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（五）必须支出的水电气费、房租费等；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（六）管理人工作人员履行职务发生的合理的差旅费；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（七）其他日常财务支出费用。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第五条 重大款项报备制度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单次单项支出超过伍万元的，由管理人报人民法院备案，备案内容包括事项、金额、理由、法律依据等，并附上相关材料。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单次单项支出超过壹拾万元的，由管理人报人民法院审批或者提交债权人会议、债权人委员会表决，经人民法院审批或债权人会议、债权人委员会表决通过后方可开支。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第六条 管理人财务管理部门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管理人设财务组，由财务组组长一名、会计一名、出纳一名组成。财务组每月向管理人办公会议报告当月财务情况。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管理人下设的其他工作组和有关工作人员办理财会事务，必须遵守本制度。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第七条 财务收入管理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财务组应编制收款明细表，序时逐笔记录全部收入情况。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所有财务收入原则上通过管理人银行账户收取，如有现金收入须当日存入管理人银行账户。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第八条 财务支出管理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财务组应编制支出明细表，序时逐笔记录全部支出情况。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每一笔支出，不论金额大小，均应根据发票、合规收据或内部凭证，由经办人填写付款审批单，报所属工作组组长及财务组组长签字同意后按财务程序发放；一次性支出2000元以上的开支，由管理人负责人签字同意后按财务程序发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第九条 借款及报销审批程序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一）凡因工作需要的借款人员，必须先到财务组填写借款凭证，载明借款金额、用途、用款时间、归还日期，先经所属工作组组长同意，再由财务组组长批准，最后经管理人负责人审批后，方予借支，前次借款未归还或未销账不得再次借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（二）借款人员工作完毕后应及时到财务组报账，报账后结欠部分金额当场归还；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（三）报销审批时应提交付款审批单/费用报销单、原始发票、物品明细表，所附凭单上，要有经办人签字；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（四）为简化财务手续，提高效率，经管理人办公会议批准的支出项目，可采取个人先垫付后报销的程序。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第十条 留守及聘用人员工资支出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由会计编制留守及聘用人员工资表，经财务组组长审核，报管理人负责人签字同意后按财务程序发放。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第十一条 差旅费支出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工作人员出差乘坐车、船、飞机和住宿、伙食、市内交通费应控制在规定的范围内。各工作组组长应严格控制外出人员，并考虑完成任务的期限，合理确定出差日期及各项费用限额。工作人员应本着节约的原则，根据实际发生费用的发票实报实销，不得虚报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outlineLvl w:val="0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第十二条 备案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本制度报漯河市中级人民法院备案后实施。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MTRmMGQ1NDY3ODM0NGViZDJjOGNkNzAzOGViMjgifQ=="/>
  </w:docVars>
  <w:rsids>
    <w:rsidRoot w:val="00000000"/>
    <w:rsid w:val="1EA6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2024-07-11T08:58:26Z</dcterms:created>
  <dc:creator>ys</dc:creator>
  <cp:lastModifiedBy>WPS_1645167457</cp:lastModifiedBy>
  <dcterms:modified xsi:type="dcterms:W3CDTF">2024-07-11T08:58:28Z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B3715A89396C48A791231CA15886E7D1_12</vt:lpwstr>
  </property>
</Properties>
</file>