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F43202" w14:textId="0FC8708E" w:rsidR="00726F51" w:rsidRDefault="003E5221" w:rsidP="00726F51">
      <w:pPr>
        <w:jc w:val="center"/>
        <w:rPr>
          <w:rFonts w:ascii="楷体" w:eastAsia="楷体" w:hAnsi="楷体" w:cs="楷体"/>
          <w:b/>
          <w:color w:val="FF0000"/>
          <w:spacing w:val="28"/>
          <w:w w:val="68"/>
          <w:sz w:val="52"/>
          <w:szCs w:val="52"/>
        </w:rPr>
      </w:pPr>
      <w:r>
        <w:rPr>
          <w:rFonts w:ascii="楷体" w:eastAsia="楷体" w:hAnsi="楷体" w:cs="楷体" w:hint="eastAsia"/>
          <w:b/>
          <w:color w:val="FF0000"/>
          <w:spacing w:val="28"/>
          <w:w w:val="68"/>
          <w:sz w:val="52"/>
          <w:szCs w:val="52"/>
        </w:rPr>
        <w:t>漯河方诺装饰工程有限公司</w:t>
      </w:r>
      <w:r w:rsidR="00726F51">
        <w:rPr>
          <w:rFonts w:ascii="楷体" w:eastAsia="楷体" w:hAnsi="楷体" w:cs="楷体" w:hint="eastAsia"/>
          <w:b/>
          <w:color w:val="FF0000"/>
          <w:spacing w:val="28"/>
          <w:w w:val="68"/>
          <w:sz w:val="52"/>
          <w:szCs w:val="52"/>
        </w:rPr>
        <w:t>破产清算案</w:t>
      </w:r>
    </w:p>
    <w:p w14:paraId="282F7C40" w14:textId="7EF8C62B" w:rsidR="00726F51" w:rsidRDefault="00726F51" w:rsidP="00726F51">
      <w:pPr>
        <w:spacing w:line="600" w:lineRule="exact"/>
        <w:jc w:val="center"/>
        <w:rPr>
          <w:rFonts w:ascii="仿宋" w:eastAsia="仿宋" w:hAnsi="仿宋" w:cs="仿宋"/>
          <w:sz w:val="32"/>
          <w:szCs w:val="32"/>
        </w:rPr>
      </w:pPr>
      <w:r>
        <w:rPr>
          <w:rFonts w:ascii="仿宋" w:eastAsia="仿宋" w:hAnsi="仿宋" w:cs="仿宋" w:hint="eastAsia"/>
          <w:sz w:val="32"/>
          <w:szCs w:val="32"/>
        </w:rPr>
        <w:t>（2024）豫漯</w:t>
      </w:r>
      <w:r w:rsidR="003E5221">
        <w:rPr>
          <w:rFonts w:ascii="仿宋" w:eastAsia="仿宋" w:hAnsi="仿宋" w:cs="仿宋" w:hint="eastAsia"/>
          <w:sz w:val="32"/>
          <w:szCs w:val="32"/>
        </w:rPr>
        <w:t>方诺装饰</w:t>
      </w:r>
      <w:r>
        <w:rPr>
          <w:rFonts w:ascii="仿宋" w:eastAsia="仿宋" w:hAnsi="仿宋" w:cs="仿宋" w:hint="eastAsia"/>
          <w:sz w:val="32"/>
          <w:szCs w:val="32"/>
          <w:lang w:eastAsia="zh-Hans"/>
        </w:rPr>
        <w:t>破管第</w:t>
      </w:r>
      <w:r w:rsidR="003E5221">
        <w:rPr>
          <w:rFonts w:ascii="仿宋" w:eastAsia="仿宋" w:hAnsi="仿宋" w:cs="仿宋" w:hint="eastAsia"/>
          <w:sz w:val="32"/>
          <w:szCs w:val="32"/>
        </w:rPr>
        <w:t>9</w:t>
      </w:r>
      <w:r>
        <w:rPr>
          <w:rFonts w:ascii="仿宋" w:eastAsia="仿宋" w:hAnsi="仿宋" w:cs="仿宋" w:hint="eastAsia"/>
          <w:sz w:val="32"/>
          <w:szCs w:val="32"/>
        </w:rPr>
        <w:t>号</w:t>
      </w:r>
    </w:p>
    <w:p w14:paraId="40BE711A" w14:textId="77777777" w:rsidR="00726F51" w:rsidRDefault="00726F51" w:rsidP="00726F51">
      <w:pPr>
        <w:spacing w:line="620" w:lineRule="exact"/>
        <w:jc w:val="center"/>
        <w:rPr>
          <w:b/>
          <w:bCs/>
          <w:sz w:val="44"/>
          <w:szCs w:val="44"/>
        </w:rPr>
      </w:pPr>
      <w:r>
        <w:rPr>
          <w:rFonts w:ascii="华文中宋" w:eastAsia="华文中宋" w:hAnsi="华文中宋" w:cs="宋体" w:hint="eastAsia"/>
          <w:b/>
          <w:bCs/>
          <w:noProof/>
          <w:szCs w:val="21"/>
        </w:rPr>
        <w:drawing>
          <wp:anchor distT="0" distB="0" distL="114935" distR="114935" simplePos="0" relativeHeight="251660288" behindDoc="1" locked="0" layoutInCell="1" allowOverlap="1" wp14:anchorId="6505C1B8" wp14:editId="28E5906E">
            <wp:simplePos x="0" y="0"/>
            <wp:positionH relativeFrom="column">
              <wp:posOffset>2475230</wp:posOffset>
            </wp:positionH>
            <wp:positionV relativeFrom="paragraph">
              <wp:posOffset>22860</wp:posOffset>
            </wp:positionV>
            <wp:extent cx="332740" cy="323850"/>
            <wp:effectExtent l="0" t="0" r="48260" b="38100"/>
            <wp:wrapThrough wrapText="bothSides">
              <wp:wrapPolygon edited="0">
                <wp:start x="0" y="0"/>
                <wp:lineTo x="0" y="20329"/>
                <wp:lineTo x="20446" y="20329"/>
                <wp:lineTo x="20446" y="0"/>
                <wp:lineTo x="0" y="0"/>
              </wp:wrapPolygon>
            </wp:wrapThrough>
            <wp:docPr id="64" name="图片 64" descr="4c3926ae785c1c8806d7b0b11f146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4c3926ae785c1c8806d7b0b11f146b1"/>
                    <pic:cNvPicPr>
                      <a:picLocks noChangeAspect="1"/>
                    </pic:cNvPicPr>
                  </pic:nvPicPr>
                  <pic:blipFill>
                    <a:blip r:embed="rId6"/>
                    <a:stretch>
                      <a:fillRect/>
                    </a:stretch>
                  </pic:blipFill>
                  <pic:spPr>
                    <a:xfrm>
                      <a:off x="0" y="0"/>
                      <a:ext cx="332740" cy="323850"/>
                    </a:xfrm>
                    <a:prstGeom prst="rect">
                      <a:avLst/>
                    </a:prstGeom>
                  </pic:spPr>
                </pic:pic>
              </a:graphicData>
            </a:graphic>
          </wp:anchor>
        </w:drawing>
      </w:r>
      <w:r>
        <w:rPr>
          <w:noProof/>
          <w:sz w:val="44"/>
        </w:rPr>
        <mc:AlternateContent>
          <mc:Choice Requires="wps">
            <w:drawing>
              <wp:anchor distT="0" distB="0" distL="114300" distR="114300" simplePos="0" relativeHeight="251661312" behindDoc="0" locked="0" layoutInCell="1" allowOverlap="1" wp14:anchorId="09E2849C" wp14:editId="5206146F">
                <wp:simplePos x="0" y="0"/>
                <wp:positionH relativeFrom="column">
                  <wp:posOffset>2807970</wp:posOffset>
                </wp:positionH>
                <wp:positionV relativeFrom="paragraph">
                  <wp:posOffset>174625</wp:posOffset>
                </wp:positionV>
                <wp:extent cx="2368550" cy="1016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2368550" cy="10160"/>
                        </a:xfrm>
                        <a:prstGeom prst="line">
                          <a:avLst/>
                        </a:prstGeom>
                        <a:ln w="22225"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018D1C32" id="直接连接符 1" o:spid="_x0000_s1026" style="position:absolute;left:0;text-align:left;flip:y;z-index:251661312;visibility:visible;mso-wrap-style:square;mso-wrap-distance-left:9pt;mso-wrap-distance-top:0;mso-wrap-distance-right:9pt;mso-wrap-distance-bottom:0;mso-position-horizontal:absolute;mso-position-horizontal-relative:text;mso-position-vertical:absolute;mso-position-vertical-relative:text" from="221.1pt,13.75pt" to="407.6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" strokecolor="red" strokeweight="1.75pt">
                <v:stroke joinstyle="miter"/>
              </v:line>
            </w:pict>
          </mc:Fallback>
        </mc:AlternateContent>
      </w:r>
      <w:r>
        <w:rPr>
          <w:noProof/>
          <w:sz w:val="44"/>
        </w:rPr>
        <mc:AlternateContent>
          <mc:Choice Requires="wps">
            <w:drawing>
              <wp:anchor distT="0" distB="0" distL="114300" distR="114300" simplePos="0" relativeHeight="251659264" behindDoc="0" locked="0" layoutInCell="1" allowOverlap="1" wp14:anchorId="4E4AD644" wp14:editId="280AD6C8">
                <wp:simplePos x="0" y="0"/>
                <wp:positionH relativeFrom="column">
                  <wp:posOffset>-78105</wp:posOffset>
                </wp:positionH>
                <wp:positionV relativeFrom="paragraph">
                  <wp:posOffset>180975</wp:posOffset>
                </wp:positionV>
                <wp:extent cx="2529840" cy="3175"/>
                <wp:effectExtent l="0" t="10795" r="3810" b="14605"/>
                <wp:wrapNone/>
                <wp:docPr id="3" name="直接连接符 3"/>
                <wp:cNvGraphicFramePr/>
                <a:graphic xmlns:a="http://schemas.openxmlformats.org/drawingml/2006/main">
                  <a:graphicData uri="http://schemas.microsoft.com/office/word/2010/wordprocessingShape">
                    <wps:wsp>
                      <wps:cNvCnPr/>
                      <wps:spPr>
                        <a:xfrm>
                          <a:off x="1064895" y="2665095"/>
                          <a:ext cx="2529840" cy="3175"/>
                        </a:xfrm>
                        <a:prstGeom prst="line">
                          <a:avLst/>
                        </a:prstGeom>
                        <a:ln w="22225"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6D564563" id="直接连接符 3"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6.15pt,14.25pt" to="193.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" strokecolor="red" strokeweight="1.75pt">
                <v:stroke joinstyle="miter"/>
              </v:line>
            </w:pict>
          </mc:Fallback>
        </mc:AlternateContent>
      </w:r>
      <w:r>
        <w:rPr>
          <w:rFonts w:hint="eastAsia"/>
          <w:b/>
          <w:bCs/>
          <w:sz w:val="44"/>
          <w:szCs w:val="44"/>
        </w:rPr>
        <w:t xml:space="preserve">                               </w:t>
      </w:r>
    </w:p>
    <w:p w14:paraId="2F8FFB23" w14:textId="77777777" w:rsidR="00726F51" w:rsidRPr="00726F51" w:rsidRDefault="00726F51">
      <w:pPr>
        <w:jc w:val="center"/>
        <w:rPr>
          <w:rFonts w:ascii="宋体" w:eastAsia="宋体"/>
          <w:sz w:val="44"/>
          <w:szCs w:val="44"/>
        </w:rPr>
      </w:pPr>
    </w:p>
    <w:p w14:paraId="506D2829" w14:textId="73069BF8" w:rsidR="005E799F" w:rsidRDefault="003E5221">
      <w:pPr>
        <w:jc w:val="center"/>
        <w:rPr>
          <w:rFonts w:ascii="宋体" w:eastAsia="宋体"/>
          <w:sz w:val="44"/>
          <w:szCs w:val="44"/>
        </w:rPr>
      </w:pPr>
      <w:r>
        <w:rPr>
          <w:rFonts w:ascii="宋体" w:eastAsia="宋体" w:hint="eastAsia"/>
          <w:sz w:val="44"/>
          <w:szCs w:val="44"/>
        </w:rPr>
        <w:t>漯河方诺装饰工程有限公司</w:t>
      </w:r>
    </w:p>
    <w:p w14:paraId="06AA7A73" w14:textId="77777777" w:rsidR="005E799F" w:rsidRDefault="00000000">
      <w:pPr>
        <w:jc w:val="center"/>
        <w:rPr>
          <w:rFonts w:ascii="宋体" w:eastAsia="宋体"/>
          <w:sz w:val="44"/>
          <w:szCs w:val="44"/>
        </w:rPr>
      </w:pPr>
      <w:r>
        <w:rPr>
          <w:rFonts w:ascii="宋体" w:eastAsia="宋体" w:hint="eastAsia"/>
          <w:sz w:val="44"/>
          <w:szCs w:val="44"/>
        </w:rPr>
        <w:t>第一次债权人会议公告</w:t>
      </w:r>
    </w:p>
    <w:p w14:paraId="5528412D" w14:textId="6CFD9B70" w:rsidR="005E799F" w:rsidRPr="00F56A39" w:rsidRDefault="005E799F" w:rsidP="00726F51">
      <w:pPr>
        <w:spacing w:line="600" w:lineRule="exact"/>
        <w:rPr>
          <w:rFonts w:ascii="仿宋" w:eastAsia="仿宋" w:hAnsi="仿宋" w:cs="仿宋"/>
          <w:sz w:val="32"/>
          <w:szCs w:val="32"/>
        </w:rPr>
      </w:pPr>
    </w:p>
    <w:p w14:paraId="04594C6B" w14:textId="2BB6C241" w:rsidR="005E799F" w:rsidRDefault="003E5221">
      <w:pPr>
        <w:ind w:firstLineChars="200" w:firstLine="640"/>
        <w:rPr>
          <w:rFonts w:ascii="仿宋" w:eastAsia="仿宋" w:cs="仿宋"/>
          <w:sz w:val="32"/>
          <w:szCs w:val="32"/>
        </w:rPr>
      </w:pPr>
      <w:r w:rsidRPr="003E5221">
        <w:rPr>
          <w:rFonts w:ascii="仿宋" w:eastAsia="仿宋" w:cs="仿宋" w:hint="eastAsia"/>
          <w:sz w:val="32"/>
          <w:szCs w:val="32"/>
        </w:rPr>
        <w:t>2024年5月31日，贵院根据吕晓瑞的申请作出（2024）豫11破申34号民事裁定书，裁定受理漯河方诺装饰工程有限公司的破产清算一案。2024年5月31日，贵院作出（2024）豫11破34号决定书，指定河南强人律师事务所为管理人。</w:t>
      </w:r>
      <w:r>
        <w:rPr>
          <w:rFonts w:ascii="仿宋" w:eastAsia="仿宋" w:hint="eastAsia"/>
          <w:sz w:val="32"/>
          <w:szCs w:val="32"/>
        </w:rPr>
        <w:t>漯河方诺装饰工程有限公司债权人应在</w:t>
      </w:r>
      <w:r>
        <w:rPr>
          <w:rFonts w:ascii="仿宋" w:eastAsia="仿宋"/>
          <w:sz w:val="32"/>
          <w:szCs w:val="32"/>
        </w:rPr>
        <w:t>202</w:t>
      </w:r>
      <w:r>
        <w:rPr>
          <w:rFonts w:ascii="仿宋" w:eastAsia="仿宋" w:hint="eastAsia"/>
          <w:sz w:val="32"/>
          <w:szCs w:val="32"/>
        </w:rPr>
        <w:t>4</w:t>
      </w:r>
      <w:r>
        <w:rPr>
          <w:rFonts w:ascii="仿宋" w:eastAsia="仿宋"/>
          <w:sz w:val="32"/>
          <w:szCs w:val="32"/>
        </w:rPr>
        <w:t>年</w:t>
      </w:r>
      <w:r>
        <w:rPr>
          <w:rFonts w:ascii="仿宋" w:eastAsia="仿宋" w:hint="eastAsia"/>
          <w:sz w:val="32"/>
          <w:szCs w:val="32"/>
        </w:rPr>
        <w:t xml:space="preserve">7 </w:t>
      </w:r>
      <w:r>
        <w:rPr>
          <w:rFonts w:ascii="仿宋" w:eastAsia="仿宋"/>
          <w:sz w:val="32"/>
          <w:szCs w:val="32"/>
        </w:rPr>
        <w:t>月</w:t>
      </w:r>
      <w:r>
        <w:rPr>
          <w:rFonts w:ascii="仿宋" w:eastAsia="仿宋" w:hint="eastAsia"/>
          <w:sz w:val="32"/>
          <w:szCs w:val="32"/>
        </w:rPr>
        <w:t>26日前，现场或通过邮寄方式向管理人办公室（通信地址：漯河市郾城区嵩山东支路企业总部大厦</w:t>
      </w:r>
      <w:r>
        <w:rPr>
          <w:rFonts w:ascii="仿宋" w:eastAsia="仿宋"/>
          <w:sz w:val="32"/>
          <w:szCs w:val="32"/>
        </w:rPr>
        <w:t>12楼，河南强人律师事务所；邮政编码:462000；联系人:王刚毅，电话 18639514185;</w:t>
      </w:r>
      <w:r>
        <w:rPr>
          <w:rFonts w:ascii="仿宋" w:eastAsia="仿宋" w:hint="eastAsia"/>
          <w:sz w:val="32"/>
          <w:szCs w:val="32"/>
        </w:rPr>
        <w:t>展琳</w:t>
      </w:r>
      <w:r>
        <w:rPr>
          <w:rFonts w:ascii="仿宋" w:eastAsia="仿宋"/>
          <w:sz w:val="32"/>
          <w:szCs w:val="32"/>
        </w:rPr>
        <w:t>，电话1</w:t>
      </w:r>
      <w:r>
        <w:rPr>
          <w:rFonts w:ascii="仿宋" w:eastAsia="仿宋" w:hint="eastAsia"/>
          <w:sz w:val="32"/>
          <w:szCs w:val="32"/>
        </w:rPr>
        <w:t>8639591873</w:t>
      </w:r>
      <w:r>
        <w:rPr>
          <w:rFonts w:ascii="仿宋" w:eastAsia="仿宋"/>
          <w:sz w:val="32"/>
          <w:szCs w:val="32"/>
        </w:rPr>
        <w:t>)申报债权；按照管理人要求填写债权申报表，书面说明债权数额、有无财产担保及是否属于优先债权、连带债权等，并提供相关证据材料。如未能在上述期限内申报债权，可以在破产财产分配方案提交债权人会议讨论前向管理人补充申报，但此前已进行的分配，无权要求补充分配，同时要承担</w:t>
      </w:r>
      <w:r>
        <w:rPr>
          <w:rFonts w:ascii="仿宋" w:eastAsia="仿宋" w:hint="eastAsia"/>
          <w:sz w:val="32"/>
          <w:szCs w:val="32"/>
        </w:rPr>
        <w:t>为审查和确认补充申报债权所产生的费用。未申报债权的，不得</w:t>
      </w:r>
      <w:r>
        <w:rPr>
          <w:rFonts w:ascii="仿宋" w:eastAsia="仿宋" w:hint="eastAsia"/>
          <w:sz w:val="32"/>
          <w:szCs w:val="32"/>
        </w:rPr>
        <w:lastRenderedPageBreak/>
        <w:t>依照《中华人民共和国企业破产法》规定的程序行使权利。漯河方诺装饰工程有限公司的债务人和财产持有人应当向管理人清偿债务或交付财产。</w:t>
      </w:r>
    </w:p>
    <w:p w14:paraId="70D55C04" w14:textId="4F99E96E" w:rsidR="005E799F" w:rsidRDefault="00000000">
      <w:pPr>
        <w:ind w:firstLineChars="200" w:firstLine="640"/>
        <w:rPr>
          <w:rFonts w:ascii="仿宋" w:eastAsia="仿宋"/>
          <w:sz w:val="32"/>
          <w:szCs w:val="32"/>
        </w:rPr>
      </w:pPr>
      <w:r>
        <w:rPr>
          <w:rFonts w:ascii="仿宋" w:eastAsia="仿宋"/>
          <w:sz w:val="32"/>
          <w:szCs w:val="32"/>
        </w:rPr>
        <w:t>第一次债权人会议由漯河市中级人民法院主持，</w:t>
      </w:r>
      <w:r>
        <w:rPr>
          <w:rFonts w:ascii="仿宋" w:eastAsia="仿宋" w:hint="eastAsia"/>
          <w:sz w:val="32"/>
          <w:szCs w:val="32"/>
        </w:rPr>
        <w:t>定于</w:t>
      </w:r>
      <w:r>
        <w:rPr>
          <w:rFonts w:ascii="仿宋" w:eastAsia="仿宋"/>
          <w:sz w:val="32"/>
          <w:szCs w:val="32"/>
        </w:rPr>
        <w:t>202</w:t>
      </w:r>
      <w:r>
        <w:rPr>
          <w:rFonts w:ascii="仿宋" w:eastAsia="仿宋" w:hint="eastAsia"/>
          <w:sz w:val="32"/>
          <w:szCs w:val="32"/>
        </w:rPr>
        <w:t>4</w:t>
      </w:r>
      <w:r>
        <w:rPr>
          <w:rFonts w:ascii="仿宋" w:eastAsia="仿宋"/>
          <w:sz w:val="32"/>
          <w:szCs w:val="32"/>
        </w:rPr>
        <w:t>年</w:t>
      </w:r>
      <w:r w:rsidR="003E5221">
        <w:rPr>
          <w:rFonts w:ascii="仿宋" w:eastAsia="仿宋" w:hint="eastAsia"/>
          <w:sz w:val="32"/>
          <w:szCs w:val="32"/>
        </w:rPr>
        <w:t>7</w:t>
      </w:r>
      <w:r>
        <w:rPr>
          <w:rFonts w:ascii="仿宋" w:eastAsia="仿宋"/>
          <w:sz w:val="32"/>
          <w:szCs w:val="32"/>
        </w:rPr>
        <w:t>月</w:t>
      </w:r>
      <w:r w:rsidR="003E5221">
        <w:rPr>
          <w:rFonts w:ascii="仿宋" w:eastAsia="仿宋" w:hint="eastAsia"/>
          <w:sz w:val="32"/>
          <w:szCs w:val="32"/>
        </w:rPr>
        <w:t>31</w:t>
      </w:r>
      <w:r>
        <w:rPr>
          <w:rFonts w:ascii="仿宋" w:eastAsia="仿宋"/>
          <w:sz w:val="32"/>
          <w:szCs w:val="32"/>
        </w:rPr>
        <w:t>日</w:t>
      </w:r>
      <w:r>
        <w:rPr>
          <w:rFonts w:ascii="仿宋" w:eastAsia="仿宋" w:hint="eastAsia"/>
          <w:sz w:val="32"/>
          <w:szCs w:val="32"/>
        </w:rPr>
        <w:t>09</w:t>
      </w:r>
      <w:r>
        <w:rPr>
          <w:rFonts w:ascii="仿宋" w:eastAsia="仿宋"/>
          <w:sz w:val="32"/>
          <w:szCs w:val="32"/>
        </w:rPr>
        <w:t>时</w:t>
      </w:r>
      <w:r>
        <w:rPr>
          <w:rFonts w:ascii="仿宋" w:eastAsia="仿宋" w:hint="eastAsia"/>
          <w:sz w:val="32"/>
          <w:szCs w:val="32"/>
        </w:rPr>
        <w:t>00</w:t>
      </w:r>
      <w:r>
        <w:rPr>
          <w:rFonts w:ascii="仿宋" w:eastAsia="仿宋"/>
          <w:sz w:val="32"/>
          <w:szCs w:val="32"/>
        </w:rPr>
        <w:t>分在漯河市中级人民法院第</w:t>
      </w:r>
      <w:r w:rsidR="00947F1B">
        <w:rPr>
          <w:rFonts w:ascii="仿宋" w:eastAsia="仿宋" w:hint="eastAsia"/>
          <w:sz w:val="32"/>
          <w:szCs w:val="32"/>
        </w:rPr>
        <w:t>十一</w:t>
      </w:r>
      <w:r>
        <w:rPr>
          <w:rFonts w:ascii="仿宋" w:eastAsia="仿宋"/>
          <w:sz w:val="32"/>
          <w:szCs w:val="32"/>
        </w:rPr>
        <w:t>审判庭召开。依法申报债权的债权人有权参加债权人会议。参加会议的债权人应按照管理人要求提交身份证明；如委托代理人出席会议，应提交特别授权委托书、委托代理人的身份证件或律师执业证，委托代理人是律师的还应提交律师事务所的指派函。</w:t>
      </w:r>
    </w:p>
    <w:p w14:paraId="4437F9AB" w14:textId="77777777" w:rsidR="005E799F" w:rsidRDefault="00000000">
      <w:pPr>
        <w:ind w:firstLineChars="200" w:firstLine="640"/>
        <w:rPr>
          <w:rFonts w:ascii="仿宋" w:eastAsia="仿宋"/>
          <w:sz w:val="32"/>
          <w:szCs w:val="32"/>
        </w:rPr>
      </w:pPr>
      <w:r>
        <w:rPr>
          <w:rFonts w:ascii="仿宋" w:eastAsia="仿宋" w:hint="eastAsia"/>
          <w:sz w:val="32"/>
          <w:szCs w:val="32"/>
        </w:rPr>
        <w:t>特此公告</w:t>
      </w:r>
    </w:p>
    <w:p w14:paraId="3271E479" w14:textId="77777777" w:rsidR="005E799F" w:rsidRDefault="005E799F">
      <w:pPr>
        <w:ind w:firstLineChars="200" w:firstLine="640"/>
        <w:rPr>
          <w:rFonts w:ascii="仿宋" w:eastAsia="仿宋"/>
          <w:sz w:val="32"/>
          <w:szCs w:val="32"/>
        </w:rPr>
      </w:pPr>
    </w:p>
    <w:p w14:paraId="5656B725" w14:textId="29299942" w:rsidR="005E799F" w:rsidRDefault="003E5221">
      <w:pPr>
        <w:ind w:firstLineChars="200" w:firstLine="640"/>
        <w:jc w:val="right"/>
        <w:rPr>
          <w:rFonts w:ascii="仿宋" w:eastAsia="仿宋"/>
          <w:sz w:val="32"/>
          <w:szCs w:val="32"/>
        </w:rPr>
      </w:pPr>
      <w:r>
        <w:rPr>
          <w:rFonts w:ascii="仿宋" w:eastAsia="仿宋" w:hint="eastAsia"/>
          <w:sz w:val="32"/>
          <w:szCs w:val="32"/>
        </w:rPr>
        <w:t>漯河方诺装饰工程有限公司管理人</w:t>
      </w:r>
    </w:p>
    <w:p w14:paraId="57BCE154" w14:textId="45727850" w:rsidR="005E799F" w:rsidRDefault="00000000">
      <w:pPr>
        <w:ind w:firstLineChars="1300" w:firstLine="4160"/>
      </w:pPr>
      <w:r>
        <w:rPr>
          <w:rFonts w:ascii="仿宋" w:eastAsia="仿宋" w:cs="仿宋" w:hint="eastAsia"/>
          <w:sz w:val="32"/>
          <w:szCs w:val="32"/>
        </w:rPr>
        <w:t>二</w:t>
      </w:r>
      <w:r w:rsidR="007B2704">
        <w:rPr>
          <w:rFonts w:ascii="仿宋" w:eastAsia="仿宋" w:cs="仿宋" w:hint="eastAsia"/>
          <w:sz w:val="32"/>
          <w:szCs w:val="32"/>
        </w:rPr>
        <w:t>零</w:t>
      </w:r>
      <w:r>
        <w:rPr>
          <w:rFonts w:ascii="仿宋" w:eastAsia="仿宋" w:cs="仿宋" w:hint="eastAsia"/>
          <w:sz w:val="32"/>
          <w:szCs w:val="32"/>
        </w:rPr>
        <w:t>二四年</w:t>
      </w:r>
      <w:r w:rsidR="00E33B48">
        <w:rPr>
          <w:rFonts w:ascii="仿宋" w:eastAsia="仿宋" w:cs="仿宋" w:hint="eastAsia"/>
          <w:sz w:val="32"/>
          <w:szCs w:val="32"/>
        </w:rPr>
        <w:t>六</w:t>
      </w:r>
      <w:r>
        <w:rPr>
          <w:rFonts w:ascii="仿宋" w:eastAsia="仿宋" w:cs="仿宋" w:hint="eastAsia"/>
          <w:sz w:val="32"/>
          <w:szCs w:val="32"/>
        </w:rPr>
        <w:t>月</w:t>
      </w:r>
      <w:r w:rsidR="00E33B48">
        <w:rPr>
          <w:rFonts w:ascii="仿宋" w:eastAsia="仿宋" w:cs="仿宋" w:hint="eastAsia"/>
          <w:sz w:val="32"/>
          <w:szCs w:val="32"/>
        </w:rPr>
        <w:t>二十五</w:t>
      </w:r>
      <w:r>
        <w:rPr>
          <w:rFonts w:ascii="仿宋" w:eastAsia="仿宋" w:cs="仿宋" w:hint="eastAsia"/>
          <w:sz w:val="32"/>
          <w:szCs w:val="32"/>
        </w:rPr>
        <w:t>日</w:t>
      </w:r>
    </w:p>
    <w:p w14:paraId="041D3A06" w14:textId="77777777" w:rsidR="005E799F" w:rsidRDefault="005E799F">
      <w:pPr>
        <w:ind w:firstLineChars="200" w:firstLine="640"/>
        <w:rPr>
          <w:rFonts w:ascii="仿宋" w:eastAsia="仿宋"/>
          <w:sz w:val="32"/>
          <w:szCs w:val="32"/>
        </w:rPr>
      </w:pPr>
    </w:p>
    <w:p w14:paraId="099028CC" w14:textId="397A759C" w:rsidR="005E799F" w:rsidRDefault="00726F51">
      <w:pPr>
        <w:rPr>
          <w:rFonts w:ascii="仿宋" w:eastAsia="仿宋"/>
          <w:sz w:val="32"/>
          <w:szCs w:val="32"/>
        </w:rPr>
      </w:pPr>
      <w:r>
        <w:rPr>
          <w:rFonts w:ascii="仿宋" w:eastAsia="仿宋" w:hint="eastAsia"/>
          <w:sz w:val="32"/>
          <w:szCs w:val="32"/>
        </w:rPr>
        <w:t>附：</w:t>
      </w:r>
    </w:p>
    <w:p w14:paraId="2944A69B" w14:textId="636F4B74" w:rsidR="00726F51" w:rsidRDefault="00726F51" w:rsidP="00726F51">
      <w:pPr>
        <w:ind w:left="1280" w:hangingChars="400" w:hanging="1280"/>
        <w:rPr>
          <w:rFonts w:ascii="仿宋" w:eastAsia="仿宋"/>
          <w:sz w:val="32"/>
          <w:szCs w:val="32"/>
        </w:rPr>
      </w:pPr>
      <w:r>
        <w:rPr>
          <w:rFonts w:ascii="仿宋" w:eastAsia="仿宋" w:hint="eastAsia"/>
          <w:sz w:val="32"/>
          <w:szCs w:val="32"/>
        </w:rPr>
        <w:t>附件1：河南省漯河市中级人民法院（2024）豫11破申3</w:t>
      </w:r>
      <w:r w:rsidR="003E5221">
        <w:rPr>
          <w:rFonts w:ascii="仿宋" w:eastAsia="仿宋" w:hint="eastAsia"/>
          <w:sz w:val="32"/>
          <w:szCs w:val="32"/>
        </w:rPr>
        <w:t>4</w:t>
      </w:r>
      <w:r>
        <w:rPr>
          <w:rFonts w:ascii="仿宋" w:eastAsia="仿宋" w:hint="eastAsia"/>
          <w:sz w:val="32"/>
          <w:szCs w:val="32"/>
        </w:rPr>
        <w:t>号民事裁定书</w:t>
      </w:r>
    </w:p>
    <w:p w14:paraId="3173773B" w14:textId="3FAE9A60" w:rsidR="00726F51" w:rsidRDefault="00726F51" w:rsidP="00726F51">
      <w:pPr>
        <w:ind w:left="1280" w:hangingChars="400" w:hanging="1280"/>
        <w:rPr>
          <w:rFonts w:ascii="仿宋" w:eastAsia="仿宋"/>
          <w:sz w:val="32"/>
          <w:szCs w:val="32"/>
        </w:rPr>
      </w:pPr>
      <w:r>
        <w:rPr>
          <w:rFonts w:ascii="仿宋" w:eastAsia="仿宋" w:hint="eastAsia"/>
          <w:sz w:val="32"/>
          <w:szCs w:val="32"/>
        </w:rPr>
        <w:t>附件2：河南省漯河市中级人民法院（2024）豫11破3</w:t>
      </w:r>
      <w:r w:rsidR="003E5221">
        <w:rPr>
          <w:rFonts w:ascii="仿宋" w:eastAsia="仿宋" w:hint="eastAsia"/>
          <w:sz w:val="32"/>
          <w:szCs w:val="32"/>
        </w:rPr>
        <w:t>4</w:t>
      </w:r>
      <w:r>
        <w:rPr>
          <w:rFonts w:ascii="仿宋" w:eastAsia="仿宋" w:hint="eastAsia"/>
          <w:sz w:val="32"/>
          <w:szCs w:val="32"/>
        </w:rPr>
        <w:t>号决定书</w:t>
      </w:r>
    </w:p>
    <w:p w14:paraId="3096C539" w14:textId="7F57A9CA" w:rsidR="005E799F" w:rsidRDefault="00726F51" w:rsidP="00526B41">
      <w:pPr>
        <w:ind w:left="1280" w:hangingChars="400" w:hanging="1280"/>
        <w:rPr>
          <w:rFonts w:ascii="仿宋" w:eastAsia="仿宋"/>
          <w:sz w:val="32"/>
          <w:szCs w:val="32"/>
        </w:rPr>
      </w:pPr>
      <w:r>
        <w:rPr>
          <w:rFonts w:ascii="仿宋" w:eastAsia="仿宋" w:hint="eastAsia"/>
          <w:sz w:val="32"/>
          <w:szCs w:val="32"/>
        </w:rPr>
        <w:t>附件3：河南省漯河市中级人民法院公告</w:t>
      </w:r>
    </w:p>
    <w:sectPr w:rsidR="005E799F">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41ACDD" w14:textId="77777777" w:rsidR="005A0D75" w:rsidRDefault="005A0D75">
      <w:r>
        <w:separator/>
      </w:r>
    </w:p>
  </w:endnote>
  <w:endnote w:type="continuationSeparator" w:id="0">
    <w:p w14:paraId="58A5D4E6" w14:textId="77777777" w:rsidR="005A0D75" w:rsidRDefault="005A0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Luxi Sans">
    <w:altName w:val="Calibri"/>
    <w:charset w:val="00"/>
    <w:family w:val="auto"/>
    <w:pitch w:val="variable"/>
  </w:font>
  <w:font w:name="荣耀黑体">
    <w:altName w:val="Droid Sans Fallback"/>
    <w:charset w:val="00"/>
    <w:family w:val="auto"/>
    <w:pitch w:val="variable"/>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007DA1" w14:textId="77777777" w:rsidR="005E799F" w:rsidRDefault="00000000">
    <w:pPr>
      <w:pStyle w:val="a3"/>
      <w:jc w:val="center"/>
    </w:pPr>
    <w:r>
      <w:rPr>
        <w:lang w:val="zh-CN"/>
      </w:rPr>
      <w:t xml:space="preserve"> </w:t>
    </w:r>
    <w:r>
      <w:rPr>
        <w:b/>
        <w:bCs/>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p w14:paraId="43E036AC" w14:textId="77777777" w:rsidR="005E799F" w:rsidRDefault="005E799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4BED1A" w14:textId="77777777" w:rsidR="005A0D75" w:rsidRDefault="005A0D75">
      <w:r>
        <w:separator/>
      </w:r>
    </w:p>
  </w:footnote>
  <w:footnote w:type="continuationSeparator" w:id="0">
    <w:p w14:paraId="1EE085E4" w14:textId="77777777" w:rsidR="005A0D75" w:rsidRDefault="005A0D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HorizontalSpacing w:val="105"/>
  <w:drawingGridVerticalSpacing w:val="156"/>
  <w:displayHorizontalDrawingGridEvery w:val="0"/>
  <w:characterSpacingControl w:val="doNotCompress"/>
  <w:hdrShapeDefaults>
    <o:shapedefaults v:ext="edit" spidmax="2050"/>
  </w:hdrShapeDefaults>
  <w:footnotePr>
    <w:footnote w:id="-1"/>
    <w:footnote w:id="0"/>
  </w:footnotePr>
  <w:endnotePr>
    <w:endnote w:id="-1"/>
    <w:endnote w:id="0"/>
  </w:endnotePr>
  <w:compat>
    <w:spaceForUL/>
    <w:growAutofit/>
    <w:useFELayout/>
    <w:compatSetting w:name="compatibilityMode" w:uri="http://schemas.microsoft.com/office/word" w:val="14"/>
    <w:compatSetting w:name="useWord2013TrackBottomHyphenation" w:uri="http://schemas.microsoft.com/office/word" w:val="1"/>
  </w:compat>
  <w:docVars>
    <w:docVar w:name="commondata" w:val="eyJoZGlkIjoiN2YzNjBkOTgyNWQ1YTMxYzM3MzMwNWFiODNmOWIzYWMifQ=="/>
  </w:docVars>
  <w:rsids>
    <w:rsidRoot w:val="005E799F"/>
    <w:rsid w:val="000F3751"/>
    <w:rsid w:val="003074A6"/>
    <w:rsid w:val="003E5221"/>
    <w:rsid w:val="00406495"/>
    <w:rsid w:val="0045463A"/>
    <w:rsid w:val="004759C7"/>
    <w:rsid w:val="00526B41"/>
    <w:rsid w:val="005A0D75"/>
    <w:rsid w:val="005E799F"/>
    <w:rsid w:val="00726F51"/>
    <w:rsid w:val="00766C42"/>
    <w:rsid w:val="007B2704"/>
    <w:rsid w:val="008B0E62"/>
    <w:rsid w:val="00921039"/>
    <w:rsid w:val="00947F1B"/>
    <w:rsid w:val="00B72C31"/>
    <w:rsid w:val="00E33B48"/>
    <w:rsid w:val="00F56A39"/>
    <w:rsid w:val="00FE5C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86CA5A"/>
  <w15:docId w15:val="{00E3021F-E496-453E-8104-A1C717445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cs="Arial"/>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rPr>
  </w:style>
  <w:style w:type="paragraph" w:styleId="2">
    <w:name w:val="heading 2"/>
    <w:basedOn w:val="a"/>
    <w:next w:val="a"/>
    <w:uiPriority w:val="9"/>
    <w:semiHidden/>
    <w:unhideWhenUsed/>
    <w:qFormat/>
    <w:pPr>
      <w:keepNext/>
      <w:keepLines/>
      <w:spacing w:before="260" w:after="260" w:line="415" w:lineRule="auto"/>
      <w:outlineLvl w:val="1"/>
    </w:pPr>
    <w:rPr>
      <w:rFonts w:ascii="Luxi Sans" w:eastAsia="荣耀黑体" w:hAnsi="Luxi Sans"/>
      <w:b/>
      <w:sz w:val="32"/>
    </w:rPr>
  </w:style>
  <w:style w:type="paragraph" w:styleId="3">
    <w:name w:val="heading 3"/>
    <w:basedOn w:val="a"/>
    <w:next w:val="a"/>
    <w:uiPriority w:val="9"/>
    <w:semiHidden/>
    <w:unhideWhenUsed/>
    <w:qFormat/>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fuxiaomi</cp:lastModifiedBy>
  <cp:revision>8</cp:revision>
  <cp:lastPrinted>2024-04-23T08:19:00Z</cp:lastPrinted>
  <dcterms:created xsi:type="dcterms:W3CDTF">2024-04-23T07:33:00Z</dcterms:created>
  <dcterms:modified xsi:type="dcterms:W3CDTF">2024-06-25T01:58:00Z</dcterms:modified>
</cp:coreProperties>
</file>