
<file path=[Content_Types].xml><?xml version="1.0" encoding="utf-8"?>
<Types xmlns="http://schemas.openxmlformats.org/package/2006/content-types">
  <Default Extension="bin" ContentType="application/vnd.openxmlformats-officedocument.oleObject"/>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document.xml" ContentType="application/vnd.openxmlformats-officedocument.wordprocessingml.document.main+xml"/>
  <Override PartName="/word/fontTable.xml" ContentType="application/vnd.openxmlformats-officedocument.wordprocessingml.fontTable+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Relationship Id="rId2" Type="http://schemas.openxmlformats.org/officeDocument/2006/relationships/extended-properties" Target="docProps/app.xml"></Relationship><Relationship Id="rId3" Type="http://schemas.openxmlformats.org/officeDocument/2006/relationships/officeDocument" Target="word/document.xml"></Relationship></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p14="http://schemas.microsoft.com/office/word/2010/wordprocessingDrawing" xmlns:w10="urn:schemas-microsoft-com:office:word" xmlns:w="http://schemas.openxmlformats.org/wordprocessingml/2006/main" xmlns:wpg="http://schemas.microsoft.com/office/word/2010/wordprocessingGroup" xmlns:wne="http://schemas.microsoft.com/office/word/2006/wordml" xmlns:wps="http://schemas.microsoft.com/office/word/2010/wordprocessingShape" xmlns:wpc="http://schemas.microsoft.com/office/word/2010/wordprocessingCanvas" xmlns:mc="http://schemas.openxmlformats.org/markup-compatibility/2006" xmlns:w14="http://schemas.microsoft.com/office/word/2010/wordml" xmlns:wpi="http://schemas.microsoft.com/office/word/2010/wordprocessingInk" mc:Ignorable="w14 wp14">
  <w:body>
    <w:p>
      <w:pPr>
        <w:numPr>
          <w:ilvl w:val="0"/>
          <w:numId w:val="0"/>
        </w:numPr>
        <w:jc w:val="center"/>
        <w:spacing w:lineRule="exact" w:line="440" w:before="0" w:after="0"/>
        <w:ind w:right="0" w:left="0" w:firstLine="0"/>
        <w:rPr>
          <w:b w:val="1"/>
          <w:color w:val="auto"/>
          <w:position w:val="0"/>
          <w:sz w:val="36"/>
          <w:szCs w:val="36"/>
          <w:rFonts w:ascii="宋体" w:eastAsia="宋体" w:hAnsi="宋体" w:hint="default"/>
        </w:rPr>
        <w:snapToGrid w:val="off"/>
        <w:autoSpaceDE w:val="1"/>
        <w:autoSpaceDN w:val="1"/>
      </w:pPr>
      <w:r>
        <w:rPr>
          <w:b w:val="1"/>
          <w:color w:val="auto"/>
          <w:position w:val="0"/>
          <w:sz w:val="36"/>
          <w:szCs w:val="36"/>
          <w:rFonts w:ascii="宋体" w:eastAsia="Times New Roman" w:hAnsi="Times New Roman" w:hint="default"/>
        </w:rPr>
        <w:t>关于提请债权人会议审议破产财产分配方案的报告</w:t>
      </w:r>
    </w:p>
    <w:p>
      <w:pPr>
        <w:numPr>
          <w:ilvl w:val="0"/>
          <w:numId w:val="0"/>
        </w:numPr>
        <w:jc w:val="right"/>
        <w:spacing w:lineRule="exact" w:line="440" w:before="0" w:after="0"/>
        <w:ind w:right="-2" w:left="0" w:firstLine="0"/>
        <w:tabs>
          <w:tab w:val="left" w:pos="8278"/>
        </w:tabs>
        <w:rPr>
          <w:b w:val="0"/>
          <w:color w:val="auto"/>
          <w:position w:val="0"/>
          <w:sz w:val="24"/>
          <w:szCs w:val="24"/>
          <w:rFonts w:ascii="宋体" w:eastAsia="宋体" w:hAnsi="宋体" w:hint="default"/>
        </w:rPr>
        <w:wordWrap w:val="off"/>
        <w:autoSpaceDE w:val="1"/>
        <w:autoSpaceDN w:val="1"/>
      </w:pPr>
      <w:r>
        <w:rPr>
          <w:b w:val="1"/>
          <w:color w:val="auto"/>
          <w:position w:val="0"/>
          <w:sz w:val="24"/>
          <w:szCs w:val="24"/>
          <w:rFonts w:ascii="宋体" w:eastAsia="宋体" w:hAnsi="宋体" w:hint="default"/>
        </w:rPr>
        <w:t>（2021）苏1012破38号</w:t>
      </w:r>
    </w:p>
    <w:p>
      <w:pPr>
        <w:numPr>
          <w:ilvl w:val="0"/>
          <w:numId w:val="0"/>
        </w:numPr>
        <w:jc w:val="both"/>
        <w:spacing w:lineRule="exact" w:line="440" w:before="0" w:after="0"/>
        <w:ind w:right="0" w:left="0" w:firstLine="0"/>
        <w:rPr>
          <w:b w:val="0"/>
          <w:color w:val="auto"/>
          <w:position w:val="0"/>
          <w:sz w:val="24"/>
          <w:szCs w:val="24"/>
          <w:rFonts w:ascii="宋体" w:eastAsia="宋体" w:hAnsi="宋体" w:hint="default"/>
        </w:rPr>
        <w:wordWrap w:val="off"/>
        <w:autoSpaceDE w:val="1"/>
        <w:autoSpaceDN w:val="1"/>
      </w:pPr>
      <w:r>
        <w:rPr>
          <w:b w:val="0"/>
          <w:color w:val="auto"/>
          <w:position w:val="0"/>
          <w:sz w:val="24"/>
          <w:szCs w:val="24"/>
          <w:rFonts w:ascii="宋体" w:eastAsia="宋体" w:hAnsi="宋体" w:hint="default"/>
        </w:rPr>
        <w:t>江苏华豪航海电器有限公司债权人会议：</w:t>
      </w:r>
    </w:p>
    <w:p>
      <w:pPr>
        <w:pStyle w:val="PO152"/>
        <w:numPr>
          <w:ilvl w:val="0"/>
          <w:numId w:val="0"/>
        </w:numPr>
        <w:jc w:val="both"/>
        <w:spacing w:lineRule="exact" w:line="440" w:before="0" w:after="0"/>
        <w:ind w:right="0" w:left="0" w:firstLine="480"/>
        <w:rPr>
          <w:b w:val="0"/>
          <w:color w:val="auto"/>
          <w:position w:val="0"/>
          <w:sz w:val="24"/>
          <w:szCs w:val="24"/>
          <w:rFonts w:ascii="宋体" w:eastAsia="宋体" w:hAnsi="宋体" w:hint="default"/>
        </w:rPr>
        <w:snapToGrid w:val="off"/>
        <w:autoSpaceDE w:val="1"/>
        <w:autoSpaceDN w:val="1"/>
      </w:pPr>
      <w:r>
        <w:rPr>
          <w:b w:val="0"/>
          <w:color w:val="auto"/>
          <w:position w:val="0"/>
          <w:sz w:val="24"/>
          <w:szCs w:val="24"/>
          <w:rFonts w:ascii="宋体" w:eastAsia="宋体" w:hAnsi="宋体" w:hint="default"/>
        </w:rPr>
        <w:t>江都区人民法院于</w:t>
      </w:r>
      <w:r>
        <w:rPr>
          <w:color w:val="auto"/>
          <w:position w:val="0"/>
          <w:sz w:val="24"/>
          <w:szCs w:val="24"/>
          <w:rFonts w:ascii="宋体" w:eastAsia="宋体" w:hAnsi="宋体" w:hint="default"/>
        </w:rPr>
        <w:t>2021年12月22日作出（2021）苏1012破38号决定书</w:t>
      </w:r>
      <w:r>
        <w:rPr>
          <w:b w:val="0"/>
          <w:color w:val="auto"/>
          <w:position w:val="0"/>
          <w:sz w:val="24"/>
          <w:szCs w:val="24"/>
          <w:rFonts w:ascii="宋体" w:eastAsia="宋体" w:hAnsi="宋体" w:hint="default"/>
        </w:rPr>
        <w:t>，</w:t>
      </w:r>
      <w:r>
        <w:rPr>
          <w:b w:val="0"/>
          <w:color w:val="auto"/>
          <w:position w:val="0"/>
          <w:sz w:val="24"/>
          <w:szCs w:val="24"/>
          <w:rFonts w:ascii="宋体" w:eastAsia="宋体" w:hAnsi="宋体" w:hint="default"/>
        </w:rPr>
        <w:t>指定江苏琼宇仁方律师事务所担任江苏华豪航海电器有限公司（下简称华豪公司）</w:t>
      </w:r>
      <w:r>
        <w:rPr>
          <w:b w:val="0"/>
          <w:color w:val="auto"/>
          <w:position w:val="0"/>
          <w:sz w:val="24"/>
          <w:szCs w:val="24"/>
          <w:rFonts w:ascii="宋体" w:eastAsia="宋体" w:hAnsi="宋体" w:hint="default"/>
        </w:rPr>
        <w:t>一案的管理人。</w:t>
      </w:r>
    </w:p>
    <w:p>
      <w:pPr>
        <w:pStyle w:val="PO152"/>
        <w:numPr>
          <w:ilvl w:val="0"/>
          <w:numId w:val="0"/>
        </w:numPr>
        <w:jc w:val="both"/>
        <w:spacing w:lineRule="exact" w:line="440" w:before="0" w:after="0"/>
        <w:ind w:right="0" w:left="0" w:firstLine="480"/>
        <w:rPr>
          <w:b w:val="0"/>
          <w:color w:val="auto"/>
          <w:position w:val="0"/>
          <w:sz w:val="24"/>
          <w:szCs w:val="24"/>
          <w:rFonts w:ascii="宋体" w:eastAsia="宋体" w:hAnsi="宋体" w:hint="default"/>
        </w:rPr>
        <w:snapToGrid w:val="off"/>
        <w:autoSpaceDE w:val="1"/>
        <w:autoSpaceDN w:val="1"/>
      </w:pPr>
      <w:r>
        <w:rPr>
          <w:b w:val="0"/>
          <w:color w:val="auto"/>
          <w:position w:val="0"/>
          <w:sz w:val="24"/>
          <w:szCs w:val="24"/>
          <w:rFonts w:ascii="宋体" w:eastAsia="宋体" w:hAnsi="宋体" w:hint="default"/>
        </w:rPr>
        <w:t>为保护债权人利益，保证破产财产依法分配，保障破产清算程序顺利推进，</w:t>
      </w:r>
      <w:r>
        <w:rPr>
          <w:b w:val="0"/>
          <w:color w:val="auto"/>
          <w:position w:val="0"/>
          <w:sz w:val="24"/>
          <w:szCs w:val="24"/>
          <w:rFonts w:ascii="宋体" w:eastAsia="宋体" w:hAnsi="宋体" w:hint="default"/>
        </w:rPr>
        <w:t>管理人根据《企业破产法》的规定，制定《破产财产分配方案》，提请债权人会</w:t>
      </w:r>
      <w:r>
        <w:rPr>
          <w:b w:val="0"/>
          <w:color w:val="auto"/>
          <w:position w:val="0"/>
          <w:sz w:val="24"/>
          <w:szCs w:val="24"/>
          <w:rFonts w:ascii="宋体" w:eastAsia="宋体" w:hAnsi="宋体" w:hint="default"/>
        </w:rPr>
        <w:t>议表决，具体如下：</w:t>
      </w:r>
    </w:p>
    <w:p>
      <w:pPr>
        <w:pStyle w:val="PO152"/>
        <w:numPr>
          <w:ilvl w:val="0"/>
          <w:numId w:val="0"/>
        </w:numPr>
        <w:jc w:val="both"/>
        <w:spacing w:lineRule="exact" w:line="440" w:before="0" w:after="0"/>
        <w:ind w:right="0" w:left="0" w:firstLine="480"/>
        <w:rPr>
          <w:b w:val="0"/>
          <w:color w:val="auto"/>
          <w:position w:val="0"/>
          <w:sz w:val="24"/>
          <w:szCs w:val="24"/>
          <w:rFonts w:ascii="宋体" w:eastAsia="宋体" w:hAnsi="宋体" w:hint="default"/>
        </w:rPr>
        <w:snapToGrid w:val="off"/>
        <w:autoSpaceDE w:val="1"/>
        <w:autoSpaceDN w:val="1"/>
      </w:pPr>
      <w:r>
        <w:rPr>
          <w:b w:val="0"/>
          <w:color w:val="auto"/>
          <w:position w:val="0"/>
          <w:sz w:val="24"/>
          <w:szCs w:val="24"/>
          <w:rFonts w:ascii="宋体" w:eastAsia="宋体" w:hAnsi="宋体" w:hint="default"/>
        </w:rPr>
        <w:t>一、华豪公司破产财产分配原则。</w:t>
      </w:r>
    </w:p>
    <w:p>
      <w:pPr>
        <w:pStyle w:val="PO152"/>
        <w:numPr>
          <w:ilvl w:val="0"/>
          <w:numId w:val="0"/>
        </w:numPr>
        <w:jc w:val="both"/>
        <w:spacing w:lineRule="exact" w:line="440" w:before="0" w:after="0"/>
        <w:ind w:right="0" w:left="0" w:firstLine="480"/>
        <w:rPr>
          <w:b w:val="0"/>
          <w:color w:val="auto"/>
          <w:position w:val="0"/>
          <w:sz w:val="24"/>
          <w:szCs w:val="24"/>
          <w:rFonts w:ascii="宋体" w:eastAsia="宋体" w:hAnsi="宋体" w:hint="default"/>
        </w:rPr>
        <w:snapToGrid w:val="off"/>
        <w:autoSpaceDE w:val="1"/>
        <w:autoSpaceDN w:val="1"/>
      </w:pPr>
      <w:r>
        <w:rPr>
          <w:b w:val="0"/>
          <w:color w:val="auto"/>
          <w:position w:val="0"/>
          <w:sz w:val="24"/>
          <w:szCs w:val="24"/>
          <w:rFonts w:ascii="宋体" w:eastAsia="宋体" w:hAnsi="宋体" w:hint="default"/>
        </w:rPr>
        <w:t>1、严格按照国家法律、法规、司法解释、政策的有关规定进行分配；</w:t>
      </w:r>
    </w:p>
    <w:p>
      <w:pPr>
        <w:pStyle w:val="PO152"/>
        <w:numPr>
          <w:ilvl w:val="0"/>
          <w:numId w:val="0"/>
        </w:numPr>
        <w:jc w:val="both"/>
        <w:spacing w:lineRule="exact" w:line="440" w:before="0" w:after="0"/>
        <w:ind w:right="0" w:left="0" w:firstLine="480"/>
        <w:rPr>
          <w:b w:val="0"/>
          <w:color w:val="auto"/>
          <w:position w:val="0"/>
          <w:sz w:val="24"/>
          <w:szCs w:val="24"/>
          <w:rFonts w:ascii="宋体" w:eastAsia="宋体" w:hAnsi="宋体" w:hint="default"/>
        </w:rPr>
        <w:snapToGrid w:val="off"/>
        <w:autoSpaceDE w:val="1"/>
        <w:autoSpaceDN w:val="1"/>
      </w:pPr>
      <w:r>
        <w:rPr>
          <w:b w:val="0"/>
          <w:color w:val="auto"/>
          <w:position w:val="0"/>
          <w:sz w:val="24"/>
          <w:szCs w:val="24"/>
          <w:rFonts w:ascii="宋体" w:eastAsia="宋体" w:hAnsi="宋体" w:hint="default"/>
        </w:rPr>
        <w:t>2、坚持债权人自治、债权平等、集体清偿的分配原则。</w:t>
      </w:r>
    </w:p>
    <w:p>
      <w:pPr>
        <w:pStyle w:val="PO152"/>
        <w:numPr>
          <w:ilvl w:val="0"/>
          <w:numId w:val="0"/>
        </w:numPr>
        <w:jc w:val="both"/>
        <w:spacing w:lineRule="exact" w:line="440" w:before="0" w:after="0"/>
        <w:ind w:right="0" w:left="0" w:firstLine="480"/>
        <w:rPr>
          <w:b w:val="0"/>
          <w:color w:val="auto"/>
          <w:position w:val="0"/>
          <w:sz w:val="24"/>
          <w:szCs w:val="24"/>
          <w:rFonts w:ascii="宋体" w:eastAsia="宋体" w:hAnsi="宋体" w:hint="default"/>
        </w:rPr>
        <w:snapToGrid w:val="off"/>
        <w:autoSpaceDE w:val="1"/>
        <w:autoSpaceDN w:val="1"/>
      </w:pPr>
      <w:r>
        <w:rPr>
          <w:b w:val="0"/>
          <w:color w:val="auto"/>
          <w:position w:val="0"/>
          <w:sz w:val="24"/>
          <w:szCs w:val="24"/>
          <w:rFonts w:ascii="宋体" w:eastAsia="宋体" w:hAnsi="宋体" w:hint="default"/>
        </w:rPr>
        <w:t>3、破产财产分配具体实施方案由管理人遵照本分配方案实施。</w:t>
      </w:r>
    </w:p>
    <w:p>
      <w:pPr>
        <w:pStyle w:val="PO152"/>
        <w:numPr>
          <w:ilvl w:val="0"/>
          <w:numId w:val="0"/>
        </w:numPr>
        <w:jc w:val="both"/>
        <w:spacing w:lineRule="exact" w:line="440" w:before="0" w:after="0"/>
        <w:ind w:right="0" w:left="0" w:firstLine="480"/>
        <w:rPr>
          <w:b w:val="0"/>
          <w:color w:val="auto"/>
          <w:position w:val="0"/>
          <w:sz w:val="24"/>
          <w:szCs w:val="24"/>
          <w:rFonts w:ascii="宋体" w:eastAsia="宋体" w:hAnsi="宋体" w:hint="default"/>
        </w:rPr>
        <w:snapToGrid w:val="off"/>
        <w:autoSpaceDE w:val="1"/>
        <w:autoSpaceDN w:val="1"/>
      </w:pPr>
      <w:r>
        <w:rPr>
          <w:b w:val="0"/>
          <w:color w:val="auto"/>
          <w:position w:val="0"/>
          <w:sz w:val="24"/>
          <w:szCs w:val="24"/>
          <w:rFonts w:ascii="宋体" w:eastAsia="宋体" w:hAnsi="宋体" w:hint="default"/>
        </w:rPr>
        <w:t>二、可分配财产</w:t>
      </w:r>
    </w:p>
    <w:p>
      <w:pPr>
        <w:pStyle w:val="PO152"/>
        <w:numPr>
          <w:ilvl w:val="0"/>
          <w:numId w:val="0"/>
        </w:numPr>
        <w:jc w:val="both"/>
        <w:spacing w:lineRule="exact" w:line="440" w:before="0" w:after="0"/>
        <w:ind w:right="0" w:left="0" w:firstLine="480"/>
        <w:rPr>
          <w:b w:val="0"/>
          <w:color w:val="auto"/>
          <w:position w:val="0"/>
          <w:sz w:val="24"/>
          <w:szCs w:val="24"/>
          <w:rFonts w:ascii="宋体" w:eastAsia="宋体" w:hAnsi="宋体" w:hint="default"/>
        </w:rPr>
        <w:snapToGrid w:val="off"/>
        <w:autoSpaceDE w:val="1"/>
        <w:autoSpaceDN w:val="1"/>
      </w:pPr>
      <w:r>
        <w:rPr>
          <w:b w:val="0"/>
          <w:color w:val="auto"/>
          <w:position w:val="0"/>
          <w:sz w:val="24"/>
          <w:szCs w:val="24"/>
          <w:rFonts w:ascii="宋体" w:eastAsia="宋体" w:hAnsi="宋体" w:hint="default"/>
        </w:rPr>
        <w:t>可分配财产为华豪公司全部财产。抵押的财产不属于破产财产，抵押财产的</w:t>
      </w:r>
      <w:r>
        <w:rPr>
          <w:b w:val="0"/>
          <w:color w:val="auto"/>
          <w:position w:val="0"/>
          <w:sz w:val="24"/>
          <w:szCs w:val="24"/>
          <w:rFonts w:ascii="宋体" w:eastAsia="宋体" w:hAnsi="宋体" w:hint="default"/>
        </w:rPr>
        <w:t>变现金额由抵押权人按其抵押顺位和抵押范围优先受偿。</w:t>
      </w:r>
    </w:p>
    <w:p>
      <w:pPr>
        <w:pStyle w:val="PO152"/>
        <w:numPr>
          <w:ilvl w:val="0"/>
          <w:numId w:val="0"/>
        </w:numPr>
        <w:jc w:val="both"/>
        <w:spacing w:lineRule="exact" w:line="440" w:before="0" w:after="0"/>
        <w:ind w:right="0" w:left="0" w:firstLine="480"/>
        <w:rPr>
          <w:b w:val="0"/>
          <w:color w:val="auto"/>
          <w:position w:val="0"/>
          <w:sz w:val="24"/>
          <w:szCs w:val="24"/>
          <w:rFonts w:ascii="宋体" w:eastAsia="宋体" w:hAnsi="宋体" w:hint="default"/>
        </w:rPr>
        <w:snapToGrid w:val="off"/>
        <w:autoSpaceDE w:val="1"/>
        <w:autoSpaceDN w:val="1"/>
      </w:pPr>
      <w:r>
        <w:rPr>
          <w:b w:val="0"/>
          <w:color w:val="auto"/>
          <w:position w:val="0"/>
          <w:sz w:val="24"/>
          <w:szCs w:val="24"/>
          <w:rFonts w:ascii="宋体" w:eastAsia="宋体" w:hAnsi="宋体" w:hint="default"/>
        </w:rPr>
        <w:t>华豪公司的破产财产见管理人财产状况报告，可分配财产为破产财产的变现</w:t>
      </w:r>
      <w:r>
        <w:rPr>
          <w:b w:val="0"/>
          <w:color w:val="auto"/>
          <w:position w:val="0"/>
          <w:sz w:val="24"/>
          <w:szCs w:val="24"/>
          <w:rFonts w:ascii="宋体" w:eastAsia="宋体" w:hAnsi="宋体" w:hint="default"/>
        </w:rPr>
        <w:t>金额。</w:t>
      </w:r>
    </w:p>
    <w:p>
      <w:pPr>
        <w:pStyle w:val="PO152"/>
        <w:numPr>
          <w:ilvl w:val="0"/>
          <w:numId w:val="0"/>
        </w:numPr>
        <w:jc w:val="both"/>
        <w:spacing w:lineRule="exact" w:line="440" w:before="0" w:after="0"/>
        <w:ind w:right="0" w:left="0" w:firstLine="480"/>
        <w:rPr>
          <w:b w:val="0"/>
          <w:color w:val="auto"/>
          <w:position w:val="0"/>
          <w:sz w:val="24"/>
          <w:szCs w:val="24"/>
          <w:rFonts w:ascii="宋体" w:eastAsia="宋体" w:hAnsi="宋体" w:hint="default"/>
        </w:rPr>
        <w:snapToGrid w:val="off"/>
        <w:autoSpaceDE w:val="1"/>
        <w:autoSpaceDN w:val="1"/>
      </w:pPr>
      <w:r>
        <w:rPr>
          <w:b w:val="0"/>
          <w:color w:val="auto"/>
          <w:position w:val="0"/>
          <w:sz w:val="24"/>
          <w:szCs w:val="24"/>
          <w:rFonts w:ascii="宋体" w:eastAsia="宋体" w:hAnsi="宋体" w:hint="default"/>
        </w:rPr>
        <w:t>三、参加抵押财产、破产财产分配的债权人名称及债权额</w:t>
      </w:r>
    </w:p>
    <w:p>
      <w:pPr>
        <w:pStyle w:val="PO152"/>
        <w:numPr>
          <w:ilvl w:val="0"/>
          <w:numId w:val="0"/>
        </w:numPr>
        <w:jc w:val="both"/>
        <w:spacing w:lineRule="exact" w:line="440" w:before="0" w:after="0"/>
        <w:ind w:right="0" w:left="0" w:firstLine="480"/>
        <w:rPr>
          <w:b w:val="0"/>
          <w:color w:val="auto"/>
          <w:position w:val="0"/>
          <w:sz w:val="24"/>
          <w:szCs w:val="24"/>
          <w:rFonts w:ascii="宋体" w:eastAsia="宋体" w:hAnsi="宋体" w:hint="default"/>
        </w:rPr>
        <w:snapToGrid w:val="off"/>
        <w:autoSpaceDE w:val="1"/>
        <w:autoSpaceDN w:val="1"/>
      </w:pPr>
      <w:r>
        <w:rPr>
          <w:b w:val="0"/>
          <w:color w:val="auto"/>
          <w:position w:val="0"/>
          <w:sz w:val="24"/>
          <w:szCs w:val="24"/>
          <w:rFonts w:ascii="宋体" w:eastAsia="宋体" w:hAnsi="宋体" w:hint="default"/>
        </w:rPr>
        <w:t>1、抵押优先受偿债权。</w:t>
      </w:r>
    </w:p>
    <w:p>
      <w:pPr>
        <w:pStyle w:val="PO152"/>
        <w:numPr>
          <w:ilvl w:val="0"/>
          <w:numId w:val="0"/>
        </w:numPr>
        <w:jc w:val="both"/>
        <w:spacing w:lineRule="exact" w:line="440" w:before="0" w:after="0"/>
        <w:ind w:right="0" w:left="0" w:firstLine="480"/>
        <w:rPr>
          <w:b w:val="0"/>
          <w:color w:val="auto"/>
          <w:position w:val="0"/>
          <w:sz w:val="24"/>
          <w:szCs w:val="24"/>
          <w:rFonts w:ascii="宋体" w:eastAsia="宋体" w:hAnsi="宋体" w:hint="default"/>
        </w:rPr>
        <w:snapToGrid w:val="off"/>
        <w:autoSpaceDE w:val="1"/>
        <w:autoSpaceDN w:val="1"/>
      </w:pPr>
      <w:r>
        <w:rPr>
          <w:b w:val="0"/>
          <w:color w:val="auto"/>
          <w:position w:val="0"/>
          <w:sz w:val="24"/>
          <w:szCs w:val="24"/>
          <w:rFonts w:ascii="宋体" w:eastAsia="宋体" w:hAnsi="宋体" w:hint="default"/>
        </w:rPr>
        <w:t>对华豪公司财产享有抵押优先受偿权的债权人为1户（详见确认债权统计</w:t>
      </w:r>
      <w:r>
        <w:rPr>
          <w:b w:val="0"/>
          <w:color w:val="auto"/>
          <w:position w:val="0"/>
          <w:sz w:val="24"/>
          <w:szCs w:val="24"/>
          <w:rFonts w:ascii="宋体" w:eastAsia="宋体" w:hAnsi="宋体" w:hint="default"/>
        </w:rPr>
        <w:t>表），初步确认的债权额为</w:t>
      </w:r>
      <w:r>
        <w:rPr>
          <w:rStyle w:val="PO1"/>
          <w:spacing w:val="0"/>
          <w:b w:val="0"/>
          <w:color w:val="auto"/>
          <w:position w:val="0"/>
          <w:sz w:val="24"/>
          <w:szCs w:val="24"/>
          <w:rFonts w:ascii="宋体" w:eastAsia="宋体" w:hAnsi="宋体" w:hint="default"/>
        </w:rPr>
        <w:t>964950</w:t>
      </w:r>
      <w:r>
        <w:rPr>
          <w:b w:val="0"/>
          <w:color w:val="auto"/>
          <w:position w:val="0"/>
          <w:sz w:val="24"/>
          <w:szCs w:val="24"/>
          <w:rFonts w:ascii="宋体" w:eastAsia="宋体" w:hAnsi="宋体" w:hint="default"/>
        </w:rPr>
        <w:t>元，抵押物为华豪公司</w:t>
      </w:r>
      <w:r>
        <w:rPr>
          <w:color w:val="auto"/>
          <w:position w:val="0"/>
          <w:sz w:val="24"/>
          <w:szCs w:val="24"/>
          <w:rFonts w:ascii="宋体" w:eastAsia="宋体" w:hAnsi="宋体" w:hint="default"/>
        </w:rPr>
        <w:t>苏KSC689奥迪牌小型汽</w:t>
      </w:r>
      <w:r>
        <w:rPr>
          <w:color w:val="auto"/>
          <w:position w:val="0"/>
          <w:sz w:val="24"/>
          <w:szCs w:val="24"/>
          <w:rFonts w:ascii="宋体" w:eastAsia="宋体" w:hAnsi="宋体" w:hint="default"/>
        </w:rPr>
        <w:t>车</w:t>
      </w:r>
      <w:r>
        <w:rPr>
          <w:b w:val="0"/>
          <w:color w:val="auto"/>
          <w:position w:val="0"/>
          <w:sz w:val="24"/>
          <w:szCs w:val="24"/>
          <w:rFonts w:ascii="宋体" w:eastAsia="宋体" w:hAnsi="宋体" w:hint="default"/>
        </w:rPr>
        <w:t>、苏K70J17号小型汽车（华豪公司现名下无该车）。</w:t>
      </w:r>
    </w:p>
    <w:p>
      <w:pPr>
        <w:pStyle w:val="PO152"/>
        <w:numPr>
          <w:ilvl w:val="0"/>
          <w:numId w:val="0"/>
        </w:numPr>
        <w:jc w:val="both"/>
        <w:spacing w:lineRule="exact" w:line="440" w:before="0" w:after="0"/>
        <w:ind w:right="0" w:left="0" w:firstLine="480"/>
        <w:rPr>
          <w:b w:val="0"/>
          <w:color w:val="auto"/>
          <w:position w:val="0"/>
          <w:sz w:val="24"/>
          <w:szCs w:val="24"/>
          <w:rFonts w:ascii="宋体" w:eastAsia="宋体" w:hAnsi="宋体" w:hint="default"/>
        </w:rPr>
        <w:snapToGrid w:val="off"/>
        <w:autoSpaceDE w:val="1"/>
        <w:autoSpaceDN w:val="1"/>
      </w:pPr>
      <w:r>
        <w:rPr>
          <w:b w:val="0"/>
          <w:color w:val="auto"/>
          <w:position w:val="0"/>
          <w:sz w:val="24"/>
          <w:szCs w:val="24"/>
          <w:rFonts w:ascii="宋体" w:eastAsia="宋体" w:hAnsi="宋体" w:hint="default"/>
        </w:rPr>
        <w:t>2、职工债权</w:t>
      </w:r>
    </w:p>
    <w:p>
      <w:pPr>
        <w:pStyle w:val="PO152"/>
        <w:numPr>
          <w:ilvl w:val="0"/>
          <w:numId w:val="0"/>
        </w:numPr>
        <w:jc w:val="both"/>
        <w:spacing w:lineRule="exact" w:line="440" w:before="0" w:after="0"/>
        <w:ind w:right="0" w:left="0" w:firstLine="480"/>
        <w:rPr>
          <w:b w:val="0"/>
          <w:color w:val="auto"/>
          <w:position w:val="0"/>
          <w:sz w:val="24"/>
          <w:szCs w:val="24"/>
          <w:rFonts w:ascii="宋体" w:eastAsia="宋体" w:hAnsi="宋体" w:hint="default"/>
        </w:rPr>
        <w:snapToGrid w:val="off"/>
        <w:autoSpaceDE w:val="1"/>
        <w:autoSpaceDN w:val="1"/>
      </w:pPr>
      <w:r>
        <w:rPr>
          <w:b w:val="0"/>
          <w:color w:val="auto"/>
          <w:position w:val="0"/>
          <w:sz w:val="24"/>
          <w:szCs w:val="24"/>
          <w:rFonts w:ascii="宋体" w:eastAsia="宋体" w:hAnsi="宋体" w:hint="default"/>
        </w:rPr>
        <w:t>华豪公司无职工债权。</w:t>
      </w:r>
    </w:p>
    <w:p>
      <w:pPr>
        <w:pStyle w:val="PO152"/>
        <w:numPr>
          <w:ilvl w:val="0"/>
          <w:numId w:val="0"/>
        </w:numPr>
        <w:jc w:val="both"/>
        <w:spacing w:lineRule="exact" w:line="440" w:before="0" w:after="0"/>
        <w:ind w:right="0" w:left="0" w:firstLine="480"/>
        <w:rPr>
          <w:b w:val="0"/>
          <w:color w:val="auto"/>
          <w:position w:val="0"/>
          <w:sz w:val="24"/>
          <w:szCs w:val="24"/>
          <w:rFonts w:ascii="宋体" w:eastAsia="宋体" w:hAnsi="宋体" w:hint="default"/>
        </w:rPr>
        <w:snapToGrid w:val="off"/>
        <w:autoSpaceDE w:val="1"/>
        <w:autoSpaceDN w:val="1"/>
      </w:pPr>
      <w:r>
        <w:rPr>
          <w:b w:val="0"/>
          <w:color w:val="auto"/>
          <w:position w:val="0"/>
          <w:sz w:val="24"/>
          <w:szCs w:val="24"/>
          <w:rFonts w:ascii="宋体" w:eastAsia="宋体" w:hAnsi="宋体" w:hint="default"/>
        </w:rPr>
        <w:t>3、税收债权。</w:t>
      </w:r>
    </w:p>
    <w:p>
      <w:pPr>
        <w:pStyle w:val="PO152"/>
        <w:numPr>
          <w:ilvl w:val="0"/>
          <w:numId w:val="0"/>
        </w:numPr>
        <w:jc w:val="both"/>
        <w:spacing w:lineRule="exact" w:line="440" w:before="0" w:after="0"/>
        <w:ind w:right="0" w:left="0" w:firstLine="480"/>
        <w:rPr>
          <w:b w:val="0"/>
          <w:color w:val="auto"/>
          <w:position w:val="0"/>
          <w:sz w:val="24"/>
          <w:szCs w:val="24"/>
          <w:rFonts w:ascii="宋体" w:eastAsia="宋体" w:hAnsi="宋体" w:hint="default"/>
        </w:rPr>
        <w:snapToGrid w:val="off"/>
        <w:autoSpaceDE w:val="1"/>
        <w:autoSpaceDN w:val="1"/>
      </w:pPr>
      <w:r>
        <w:rPr>
          <w:b w:val="0"/>
          <w:color w:val="auto"/>
          <w:position w:val="0"/>
          <w:sz w:val="24"/>
          <w:szCs w:val="24"/>
          <w:rFonts w:ascii="宋体" w:eastAsia="宋体" w:hAnsi="宋体" w:hint="default"/>
        </w:rPr>
        <w:t>华豪公司有税务优先债权</w:t>
      </w:r>
      <w:r>
        <w:rPr>
          <w:b w:val="0"/>
          <w:color w:val="000000"/>
          <w:position w:val="0"/>
          <w:sz w:val="24"/>
          <w:szCs w:val="24"/>
          <w:rFonts w:ascii="宋体" w:eastAsia="宋体" w:hAnsi="宋体" w:hint="default"/>
        </w:rPr>
        <w:t>1064323.68元</w:t>
      </w:r>
      <w:r>
        <w:rPr>
          <w:b w:val="0"/>
          <w:color w:val="auto"/>
          <w:position w:val="0"/>
          <w:sz w:val="24"/>
          <w:szCs w:val="24"/>
          <w:rFonts w:ascii="宋体" w:eastAsia="宋体" w:hAnsi="宋体" w:hint="default"/>
        </w:rPr>
        <w:t>。</w:t>
      </w:r>
    </w:p>
    <w:p>
      <w:pPr>
        <w:pStyle w:val="PO152"/>
        <w:numPr>
          <w:ilvl w:val="0"/>
          <w:numId w:val="0"/>
        </w:numPr>
        <w:jc w:val="both"/>
        <w:spacing w:lineRule="exact" w:line="440" w:before="0" w:after="0"/>
        <w:ind w:right="0" w:left="0" w:firstLine="480"/>
        <w:rPr>
          <w:b w:val="0"/>
          <w:color w:val="auto"/>
          <w:position w:val="0"/>
          <w:sz w:val="24"/>
          <w:szCs w:val="24"/>
          <w:rFonts w:ascii="宋体" w:eastAsia="宋体" w:hAnsi="宋体" w:hint="default"/>
        </w:rPr>
        <w:snapToGrid w:val="off"/>
        <w:autoSpaceDE w:val="1"/>
        <w:autoSpaceDN w:val="1"/>
      </w:pPr>
      <w:r>
        <w:rPr>
          <w:b w:val="0"/>
          <w:color w:val="auto"/>
          <w:position w:val="0"/>
          <w:sz w:val="24"/>
          <w:szCs w:val="24"/>
          <w:rFonts w:ascii="宋体" w:eastAsia="宋体" w:hAnsi="宋体" w:hint="default"/>
        </w:rPr>
        <w:t>4、普通债权</w:t>
      </w:r>
    </w:p>
    <w:p>
      <w:pPr>
        <w:pStyle w:val="PO152"/>
        <w:numPr>
          <w:ilvl w:val="0"/>
          <w:numId w:val="0"/>
        </w:numPr>
        <w:jc w:val="both"/>
        <w:spacing w:lineRule="exact" w:line="440" w:before="0" w:after="0"/>
        <w:ind w:right="0" w:left="0" w:firstLine="480"/>
        <w:rPr>
          <w:b w:val="0"/>
          <w:color w:val="auto"/>
          <w:position w:val="0"/>
          <w:sz w:val="24"/>
          <w:szCs w:val="24"/>
          <w:rFonts w:ascii="宋体" w:eastAsia="宋体" w:hAnsi="宋体" w:hint="default"/>
        </w:rPr>
        <w:snapToGrid w:val="off"/>
        <w:autoSpaceDE w:val="1"/>
        <w:autoSpaceDN w:val="1"/>
      </w:pPr>
      <w:r>
        <w:rPr>
          <w:b w:val="0"/>
          <w:color w:val="auto"/>
          <w:position w:val="0"/>
          <w:sz w:val="24"/>
          <w:szCs w:val="24"/>
          <w:rFonts w:ascii="宋体" w:eastAsia="宋体" w:hAnsi="宋体" w:hint="default"/>
        </w:rPr>
        <w:t>华豪公司普通债权共14户，初步确认的债权总额为</w:t>
      </w:r>
      <w:r>
        <w:rPr>
          <w:color w:val="auto"/>
          <w:position w:val="0"/>
          <w:sz w:val="24"/>
          <w:szCs w:val="24"/>
          <w:rFonts w:ascii="宋体" w:eastAsia="宋体" w:hAnsi="宋体" w:hint="default"/>
        </w:rPr>
        <w:t>60198708.18</w:t>
      </w:r>
      <w:r>
        <w:rPr>
          <w:b w:val="0"/>
          <w:color w:val="auto"/>
          <w:position w:val="0"/>
          <w:sz w:val="24"/>
          <w:szCs w:val="24"/>
          <w:rFonts w:ascii="宋体" w:eastAsia="宋体" w:hAnsi="宋体" w:hint="default"/>
        </w:rPr>
        <w:t>元。另抵押</w:t>
      </w:r>
      <w:r>
        <w:rPr>
          <w:b w:val="0"/>
          <w:color w:val="auto"/>
          <w:position w:val="0"/>
          <w:sz w:val="24"/>
          <w:szCs w:val="24"/>
          <w:rFonts w:ascii="宋体" w:eastAsia="宋体" w:hAnsi="宋体" w:hint="default"/>
        </w:rPr>
        <w:t>债权人的抵押债权未获清偿的部分亦参与普通债权的分配。</w:t>
      </w:r>
    </w:p>
    <w:p>
      <w:pPr>
        <w:pStyle w:val="PO152"/>
        <w:numPr>
          <w:ilvl w:val="0"/>
          <w:numId w:val="0"/>
        </w:numPr>
        <w:jc w:val="both"/>
        <w:spacing w:lineRule="exact" w:line="440" w:before="0" w:after="0"/>
        <w:ind w:right="0" w:left="0" w:firstLine="480"/>
        <w:rPr>
          <w:b w:val="0"/>
          <w:color w:val="auto"/>
          <w:position w:val="0"/>
          <w:sz w:val="24"/>
          <w:szCs w:val="24"/>
          <w:rFonts w:ascii="宋体" w:eastAsia="宋体" w:hAnsi="宋体" w:hint="default"/>
        </w:rPr>
        <w:snapToGrid w:val="off"/>
        <w:autoSpaceDE w:val="1"/>
        <w:autoSpaceDN w:val="1"/>
      </w:pPr>
      <w:r>
        <w:rPr>
          <w:b w:val="0"/>
          <w:color w:val="auto"/>
          <w:position w:val="0"/>
          <w:sz w:val="24"/>
          <w:szCs w:val="24"/>
          <w:rFonts w:ascii="宋体" w:eastAsia="宋体" w:hAnsi="宋体" w:hint="default"/>
        </w:rPr>
        <w:t>以上债权暂按第一次债权人会议前管理人初步审查确定的债权人名称及债</w:t>
      </w:r>
      <w:r>
        <w:rPr>
          <w:b w:val="0"/>
          <w:color w:val="auto"/>
          <w:position w:val="0"/>
          <w:sz w:val="24"/>
          <w:szCs w:val="24"/>
          <w:rFonts w:ascii="宋体" w:eastAsia="宋体" w:hAnsi="宋体" w:hint="default"/>
        </w:rPr>
        <w:t>权额制定。如有变化或补充申报，管理人将通过书面方式送达全体已知债权人，</w:t>
      </w:r>
      <w:r>
        <w:rPr>
          <w:b w:val="0"/>
          <w:color w:val="auto"/>
          <w:position w:val="0"/>
          <w:sz w:val="24"/>
          <w:szCs w:val="24"/>
          <w:rFonts w:ascii="宋体" w:eastAsia="宋体" w:hAnsi="宋体" w:hint="default"/>
        </w:rPr>
        <w:t>各债权人进行书面核查，并可以依法提出异议或诉讼。最终参加破产财产分配的</w:t>
      </w:r>
      <w:r>
        <w:rPr>
          <w:b w:val="0"/>
          <w:color w:val="auto"/>
          <w:position w:val="0"/>
          <w:sz w:val="24"/>
          <w:szCs w:val="24"/>
          <w:rFonts w:ascii="宋体" w:eastAsia="宋体" w:hAnsi="宋体" w:hint="default"/>
        </w:rPr>
        <w:t>债权人名称及债权额，管理人将通过书面方式送达全体已知债权人，并报江都区</w:t>
      </w:r>
      <w:r>
        <w:rPr>
          <w:b w:val="0"/>
          <w:color w:val="auto"/>
          <w:position w:val="0"/>
          <w:sz w:val="24"/>
          <w:szCs w:val="24"/>
          <w:rFonts w:ascii="宋体" w:eastAsia="宋体" w:hAnsi="宋体" w:hint="default"/>
        </w:rPr>
        <w:t>人民法院裁定确认。</w:t>
      </w:r>
    </w:p>
    <w:p>
      <w:pPr>
        <w:pStyle w:val="PO152"/>
        <w:numPr>
          <w:ilvl w:val="0"/>
          <w:numId w:val="0"/>
        </w:numPr>
        <w:jc w:val="both"/>
        <w:spacing w:lineRule="exact" w:line="440" w:before="0" w:after="0"/>
        <w:ind w:right="0" w:left="0" w:firstLine="480"/>
        <w:rPr>
          <w:b w:val="0"/>
          <w:color w:val="auto"/>
          <w:position w:val="0"/>
          <w:sz w:val="24"/>
          <w:szCs w:val="24"/>
          <w:rFonts w:ascii="宋体" w:eastAsia="宋体" w:hAnsi="宋体" w:hint="default"/>
        </w:rPr>
        <w:snapToGrid w:val="off"/>
        <w:autoSpaceDE w:val="1"/>
        <w:autoSpaceDN w:val="1"/>
      </w:pPr>
      <w:r>
        <w:rPr>
          <w:b w:val="0"/>
          <w:color w:val="auto"/>
          <w:position w:val="0"/>
          <w:sz w:val="24"/>
          <w:szCs w:val="24"/>
          <w:rFonts w:ascii="宋体" w:eastAsia="宋体" w:hAnsi="宋体" w:hint="default"/>
        </w:rPr>
        <w:t>四、具体分配方案</w:t>
      </w:r>
    </w:p>
    <w:p>
      <w:pPr>
        <w:pStyle w:val="PO152"/>
        <w:numPr>
          <w:ilvl w:val="0"/>
          <w:numId w:val="0"/>
        </w:numPr>
        <w:jc w:val="both"/>
        <w:spacing w:lineRule="exact" w:line="440" w:before="0" w:after="0"/>
        <w:ind w:right="0" w:left="0" w:firstLine="480"/>
        <w:rPr>
          <w:b w:val="0"/>
          <w:color w:val="auto"/>
          <w:position w:val="0"/>
          <w:sz w:val="24"/>
          <w:szCs w:val="24"/>
          <w:rFonts w:ascii="宋体" w:eastAsia="宋体" w:hAnsi="宋体" w:hint="default"/>
        </w:rPr>
        <w:snapToGrid w:val="off"/>
        <w:autoSpaceDE w:val="1"/>
        <w:autoSpaceDN w:val="1"/>
      </w:pPr>
      <w:r>
        <w:rPr>
          <w:b w:val="0"/>
          <w:color w:val="auto"/>
          <w:position w:val="0"/>
          <w:sz w:val="24"/>
          <w:szCs w:val="24"/>
          <w:rFonts w:ascii="宋体" w:eastAsia="宋体" w:hAnsi="宋体" w:hint="default"/>
        </w:rPr>
        <w:t>（一）破产财产优先清偿破产费用和共益债务</w:t>
      </w:r>
    </w:p>
    <w:p>
      <w:pPr>
        <w:pStyle w:val="PO152"/>
        <w:numPr>
          <w:ilvl w:val="0"/>
          <w:numId w:val="0"/>
        </w:numPr>
        <w:jc w:val="both"/>
        <w:spacing w:lineRule="exact" w:line="440" w:before="0" w:after="0"/>
        <w:ind w:right="0" w:left="0" w:firstLine="480"/>
        <w:rPr>
          <w:b w:val="0"/>
          <w:color w:val="auto"/>
          <w:position w:val="0"/>
          <w:sz w:val="24"/>
          <w:szCs w:val="24"/>
          <w:rFonts w:ascii="宋体" w:eastAsia="宋体" w:hAnsi="宋体" w:hint="default"/>
        </w:rPr>
        <w:snapToGrid w:val="off"/>
        <w:autoSpaceDE w:val="1"/>
        <w:autoSpaceDN w:val="1"/>
      </w:pPr>
      <w:r>
        <w:rPr>
          <w:b w:val="0"/>
          <w:color w:val="auto"/>
          <w:position w:val="0"/>
          <w:sz w:val="24"/>
          <w:szCs w:val="24"/>
          <w:rFonts w:ascii="宋体" w:eastAsia="宋体" w:hAnsi="宋体" w:hint="default"/>
        </w:rPr>
        <w:t>1、破产费用</w:t>
      </w:r>
    </w:p>
    <w:p>
      <w:pPr>
        <w:pStyle w:val="PO152"/>
        <w:numPr>
          <w:ilvl w:val="0"/>
          <w:numId w:val="0"/>
        </w:numPr>
        <w:jc w:val="both"/>
        <w:spacing w:lineRule="exact" w:line="440" w:before="0" w:after="0"/>
        <w:ind w:right="0" w:left="0" w:firstLine="480"/>
        <w:rPr>
          <w:b w:val="0"/>
          <w:color w:val="auto"/>
          <w:position w:val="0"/>
          <w:sz w:val="24"/>
          <w:szCs w:val="24"/>
          <w:rFonts w:ascii="宋体" w:eastAsia="宋体" w:hAnsi="宋体" w:hint="default"/>
        </w:rPr>
        <w:snapToGrid w:val="off"/>
        <w:autoSpaceDE w:val="1"/>
        <w:autoSpaceDN w:val="1"/>
      </w:pPr>
      <w:r>
        <w:rPr>
          <w:b w:val="0"/>
          <w:color w:val="auto"/>
          <w:position w:val="0"/>
          <w:sz w:val="24"/>
          <w:szCs w:val="24"/>
          <w:rFonts w:ascii="宋体" w:eastAsia="宋体" w:hAnsi="宋体" w:hint="default"/>
        </w:rPr>
        <w:t>按照《企业破产法》第四十一条的规定，人民法院受理破产申请后发生的下</w:t>
      </w:r>
      <w:r>
        <w:rPr>
          <w:b w:val="0"/>
          <w:color w:val="auto"/>
          <w:position w:val="0"/>
          <w:sz w:val="24"/>
          <w:szCs w:val="24"/>
          <w:rFonts w:ascii="宋体" w:eastAsia="宋体" w:hAnsi="宋体" w:hint="default"/>
        </w:rPr>
        <w:t>列费用为破产费用：破产案件的诉讼费用；管理、变价和分配债务人财产的费用；</w:t>
      </w:r>
      <w:r>
        <w:rPr>
          <w:b w:val="0"/>
          <w:color w:val="auto"/>
          <w:position w:val="0"/>
          <w:sz w:val="24"/>
          <w:szCs w:val="24"/>
          <w:rFonts w:ascii="宋体" w:eastAsia="宋体" w:hAnsi="宋体" w:hint="default"/>
        </w:rPr>
        <w:t>管理人执行职务的费用、报酬和聘用工作人员的费用。管理人赴外地及本地履行</w:t>
      </w:r>
      <w:r>
        <w:rPr>
          <w:b w:val="0"/>
          <w:color w:val="auto"/>
          <w:position w:val="0"/>
          <w:sz w:val="24"/>
          <w:szCs w:val="24"/>
          <w:rFonts w:ascii="宋体" w:eastAsia="宋体" w:hAnsi="宋体" w:hint="default"/>
        </w:rPr>
        <w:t>职务所发生的费用作为管理人执行职务的费用，其标准参照扬州市机关和事业单</w:t>
      </w:r>
      <w:r>
        <w:rPr>
          <w:b w:val="0"/>
          <w:color w:val="auto"/>
          <w:position w:val="0"/>
          <w:sz w:val="24"/>
          <w:szCs w:val="24"/>
          <w:rFonts w:ascii="宋体" w:eastAsia="宋体" w:hAnsi="宋体" w:hint="default"/>
        </w:rPr>
        <w:t>位国内差旅费标准执行。</w:t>
      </w:r>
    </w:p>
    <w:p>
      <w:pPr>
        <w:pStyle w:val="PO152"/>
        <w:numPr>
          <w:ilvl w:val="0"/>
          <w:numId w:val="0"/>
        </w:numPr>
        <w:jc w:val="both"/>
        <w:spacing w:lineRule="exact" w:line="440" w:before="0" w:after="0"/>
        <w:ind w:right="0" w:left="0" w:firstLine="480"/>
        <w:rPr>
          <w:b w:val="0"/>
          <w:color w:val="auto"/>
          <w:position w:val="0"/>
          <w:sz w:val="24"/>
          <w:szCs w:val="24"/>
          <w:rFonts w:ascii="宋体" w:eastAsia="宋体" w:hAnsi="宋体" w:hint="default"/>
        </w:rPr>
        <w:snapToGrid w:val="off"/>
        <w:autoSpaceDE w:val="1"/>
        <w:autoSpaceDN w:val="1"/>
      </w:pPr>
      <w:r>
        <w:rPr>
          <w:b w:val="0"/>
          <w:color w:val="auto"/>
          <w:position w:val="0"/>
          <w:sz w:val="24"/>
          <w:szCs w:val="24"/>
          <w:rFonts w:ascii="宋体" w:eastAsia="宋体" w:hAnsi="宋体" w:hint="default"/>
        </w:rPr>
        <w:t>截止目前，管理人执行职务发生的费用包括：刻制管理人印章费130元、</w:t>
      </w:r>
      <w:r>
        <w:rPr>
          <w:b w:val="0"/>
          <w:color w:val="auto"/>
          <w:position w:val="0"/>
          <w:sz w:val="24"/>
          <w:szCs w:val="24"/>
          <w:rFonts w:ascii="宋体" w:eastAsia="宋体" w:hAnsi="宋体" w:hint="default"/>
        </w:rPr>
        <w:t>EMS邮寄费1000元、文印费1000元、交通费5000元、</w:t>
      </w:r>
      <w:r>
        <w:rPr>
          <w:b w:val="0"/>
          <w:color w:val="000000" w:themeColor="text1"/>
          <w:position w:val="0"/>
          <w:sz w:val="24"/>
          <w:szCs w:val="24"/>
          <w14:textFill>
            <w14:solidFill>
              <w14:schemeClr w14:val="tx1"/>
            </w14:solidFill>
          </w14:textFill>
          <w:rFonts w:ascii="宋体" w:eastAsia="宋体" w:hAnsi="宋体" w:hint="default"/>
        </w:rPr>
        <w:t xml:space="preserve">资产评估费38000元，合计 </w:t>
      </w:r>
      <w:r>
        <w:rPr>
          <w:b w:val="0"/>
          <w:color w:val="000000" w:themeColor="text1"/>
          <w:position w:val="0"/>
          <w:sz w:val="24"/>
          <w:szCs w:val="24"/>
          <w14:textFill>
            <w14:solidFill>
              <w14:schemeClr w14:val="tx1"/>
            </w14:solidFill>
          </w14:textFill>
          <w:rFonts w:ascii="宋体" w:eastAsia="宋体" w:hAnsi="宋体" w:hint="default"/>
        </w:rPr>
        <w:t>45130元，</w:t>
      </w:r>
      <w:r>
        <w:rPr>
          <w:b w:val="0"/>
          <w:color w:val="auto"/>
          <w:position w:val="0"/>
          <w:sz w:val="24"/>
          <w:szCs w:val="24"/>
          <w:rFonts w:ascii="宋体" w:eastAsia="宋体" w:hAnsi="宋体" w:hint="default"/>
        </w:rPr>
        <w:t>后续可能还会产生邮寄费、交通费、资产评估费、税务消非及罚款、办</w:t>
      </w:r>
      <w:r>
        <w:rPr>
          <w:b w:val="0"/>
          <w:color w:val="auto"/>
          <w:position w:val="0"/>
          <w:sz w:val="24"/>
          <w:szCs w:val="24"/>
          <w:rFonts w:ascii="宋体" w:eastAsia="宋体" w:hAnsi="宋体" w:hint="default"/>
        </w:rPr>
        <w:t>理工商注销手续、档案保管等相关费用。以上费用从华豪公司可分配资金中予以</w:t>
      </w:r>
      <w:r>
        <w:rPr>
          <w:b w:val="0"/>
          <w:color w:val="auto"/>
          <w:position w:val="0"/>
          <w:sz w:val="24"/>
          <w:szCs w:val="24"/>
          <w:rFonts w:ascii="宋体" w:eastAsia="宋体" w:hAnsi="宋体" w:hint="default"/>
        </w:rPr>
        <w:t>列支。</w:t>
      </w:r>
    </w:p>
    <w:p>
      <w:pPr>
        <w:pStyle w:val="PO152"/>
        <w:numPr>
          <w:ilvl w:val="0"/>
          <w:numId w:val="0"/>
        </w:numPr>
        <w:jc w:val="both"/>
        <w:spacing w:lineRule="exact" w:line="440" w:before="0" w:after="0"/>
        <w:ind w:right="0" w:left="0" w:firstLine="480"/>
        <w:rPr>
          <w:b w:val="0"/>
          <w:color w:val="auto"/>
          <w:position w:val="0"/>
          <w:sz w:val="24"/>
          <w:szCs w:val="24"/>
          <w:rFonts w:ascii="宋体" w:eastAsia="宋体" w:hAnsi="宋体" w:hint="default"/>
        </w:rPr>
        <w:snapToGrid w:val="off"/>
        <w:autoSpaceDE w:val="1"/>
        <w:autoSpaceDN w:val="1"/>
      </w:pPr>
      <w:r>
        <w:rPr>
          <w:b w:val="0"/>
          <w:color w:val="auto"/>
          <w:position w:val="0"/>
          <w:sz w:val="24"/>
          <w:szCs w:val="24"/>
          <w:rFonts w:ascii="宋体" w:eastAsia="宋体" w:hAnsi="宋体" w:hint="default"/>
        </w:rPr>
        <w:t>2、共益债务</w:t>
      </w:r>
    </w:p>
    <w:p>
      <w:pPr>
        <w:pStyle w:val="PO152"/>
        <w:numPr>
          <w:ilvl w:val="0"/>
          <w:numId w:val="0"/>
        </w:numPr>
        <w:jc w:val="both"/>
        <w:spacing w:lineRule="exact" w:line="440" w:before="0" w:after="0"/>
        <w:ind w:right="0" w:left="0" w:firstLine="480"/>
        <w:rPr>
          <w:b w:val="0"/>
          <w:color w:val="auto"/>
          <w:position w:val="0"/>
          <w:sz w:val="24"/>
          <w:szCs w:val="24"/>
          <w:rFonts w:ascii="宋体" w:eastAsia="宋体" w:hAnsi="宋体" w:hint="default"/>
        </w:rPr>
        <w:snapToGrid w:val="off"/>
        <w:autoSpaceDE w:val="1"/>
        <w:autoSpaceDN w:val="1"/>
      </w:pPr>
      <w:r>
        <w:rPr>
          <w:b w:val="0"/>
          <w:color w:val="auto"/>
          <w:position w:val="0"/>
          <w:sz w:val="24"/>
          <w:szCs w:val="24"/>
          <w:rFonts w:ascii="宋体" w:eastAsia="宋体" w:hAnsi="宋体" w:hint="default"/>
        </w:rPr>
        <w:t>按照《企业破产法》第四十二条的规定，人民法院受理破产申请后发生的下</w:t>
      </w:r>
      <w:r>
        <w:rPr>
          <w:b w:val="0"/>
          <w:color w:val="auto"/>
          <w:position w:val="0"/>
          <w:sz w:val="24"/>
          <w:szCs w:val="24"/>
          <w:rFonts w:ascii="宋体" w:eastAsia="宋体" w:hAnsi="宋体" w:hint="default"/>
        </w:rPr>
        <w:t>列债务为共益债务：因管理人或者债务人请求对方当事人履行双方均未履行完毕</w:t>
      </w:r>
      <w:r>
        <w:rPr>
          <w:b w:val="0"/>
          <w:color w:val="auto"/>
          <w:position w:val="0"/>
          <w:sz w:val="24"/>
          <w:szCs w:val="24"/>
          <w:rFonts w:ascii="宋体" w:eastAsia="宋体" w:hAnsi="宋体" w:hint="default"/>
        </w:rPr>
        <w:t>的合同所产生的债务；债务人财产受无因管理所产生的债务；因债务人不当得利</w:t>
      </w:r>
      <w:r>
        <w:rPr>
          <w:b w:val="0"/>
          <w:color w:val="auto"/>
          <w:position w:val="0"/>
          <w:sz w:val="24"/>
          <w:szCs w:val="24"/>
          <w:rFonts w:ascii="宋体" w:eastAsia="宋体" w:hAnsi="宋体" w:hint="default"/>
        </w:rPr>
        <w:t>所产生的债务；为债务人继续营业而应支付的劳动报酬和社会保险费用以及由此</w:t>
      </w:r>
      <w:r>
        <w:rPr>
          <w:b w:val="0"/>
          <w:color w:val="auto"/>
          <w:position w:val="0"/>
          <w:sz w:val="24"/>
          <w:szCs w:val="24"/>
          <w:rFonts w:ascii="宋体" w:eastAsia="宋体" w:hAnsi="宋体" w:hint="default"/>
        </w:rPr>
        <w:t>产生的其他债务；管理人或者相关人员执行职务致人损害所产生的债务；债务人</w:t>
      </w:r>
      <w:r>
        <w:rPr>
          <w:b w:val="0"/>
          <w:color w:val="auto"/>
          <w:position w:val="0"/>
          <w:sz w:val="24"/>
          <w:szCs w:val="24"/>
          <w:rFonts w:ascii="宋体" w:eastAsia="宋体" w:hAnsi="宋体" w:hint="default"/>
        </w:rPr>
        <w:t>财产致人损害所产生的债务。</w:t>
      </w:r>
    </w:p>
    <w:p>
      <w:pPr>
        <w:pStyle w:val="PO152"/>
        <w:numPr>
          <w:ilvl w:val="0"/>
          <w:numId w:val="0"/>
        </w:numPr>
        <w:jc w:val="both"/>
        <w:spacing w:lineRule="exact" w:line="440" w:before="0" w:after="0"/>
        <w:ind w:right="0" w:left="0" w:firstLine="480"/>
        <w:rPr>
          <w:b w:val="0"/>
          <w:color w:val="auto"/>
          <w:position w:val="0"/>
          <w:sz w:val="24"/>
          <w:szCs w:val="24"/>
          <w:rFonts w:ascii="宋体" w:eastAsia="宋体" w:hAnsi="宋体" w:hint="default"/>
        </w:rPr>
        <w:snapToGrid w:val="off"/>
        <w:autoSpaceDE w:val="1"/>
        <w:autoSpaceDN w:val="1"/>
      </w:pPr>
      <w:r>
        <w:rPr>
          <w:b w:val="0"/>
          <w:color w:val="auto"/>
          <w:position w:val="0"/>
          <w:sz w:val="24"/>
          <w:szCs w:val="24"/>
          <w:rFonts w:ascii="宋体" w:eastAsia="宋体" w:hAnsi="宋体" w:hint="default"/>
        </w:rPr>
        <w:t>（二）以抵押物变现金额清偿抵押优先债权后，剩余为破产财产。破产财产</w:t>
      </w:r>
      <w:r>
        <w:rPr>
          <w:b w:val="0"/>
          <w:color w:val="auto"/>
          <w:position w:val="0"/>
          <w:sz w:val="24"/>
          <w:szCs w:val="24"/>
          <w:rFonts w:ascii="宋体" w:eastAsia="宋体" w:hAnsi="宋体" w:hint="default"/>
        </w:rPr>
        <w:t>在优先清偿破产费用、共益债务后，依照下列顺序清偿：</w:t>
      </w:r>
    </w:p>
    <w:p>
      <w:pPr>
        <w:pStyle w:val="PO152"/>
        <w:numPr>
          <w:ilvl w:val="0"/>
          <w:numId w:val="0"/>
        </w:numPr>
        <w:jc w:val="both"/>
        <w:spacing w:lineRule="exact" w:line="440" w:before="0" w:after="0"/>
        <w:ind w:right="0" w:left="0" w:firstLine="480"/>
        <w:rPr>
          <w:b w:val="0"/>
          <w:color w:val="auto"/>
          <w:position w:val="0"/>
          <w:sz w:val="24"/>
          <w:szCs w:val="24"/>
          <w:rFonts w:ascii="宋体" w:eastAsia="宋体" w:hAnsi="宋体" w:hint="default"/>
        </w:rPr>
        <w:snapToGrid w:val="off"/>
        <w:autoSpaceDE w:val="1"/>
        <w:autoSpaceDN w:val="1"/>
      </w:pPr>
      <w:r>
        <w:rPr>
          <w:b w:val="0"/>
          <w:color w:val="auto"/>
          <w:position w:val="0"/>
          <w:sz w:val="24"/>
          <w:szCs w:val="24"/>
          <w:rFonts w:ascii="宋体" w:eastAsia="宋体" w:hAnsi="宋体" w:hint="default"/>
        </w:rPr>
        <w:t>1、债务人所欠职工的工资和医疗、伤残补助、抚恤费用，所欠的应当划入职</w:t>
      </w:r>
      <w:r>
        <w:rPr>
          <w:b w:val="0"/>
          <w:color w:val="auto"/>
          <w:position w:val="0"/>
          <w:sz w:val="24"/>
          <w:szCs w:val="24"/>
          <w:rFonts w:ascii="宋体" w:eastAsia="宋体" w:hAnsi="宋体" w:hint="default"/>
        </w:rPr>
        <w:t>工个人账户的基本养老保险、基本医疗保险费用，以及法律、行政法规规定应当</w:t>
      </w:r>
      <w:r>
        <w:rPr>
          <w:b w:val="0"/>
          <w:color w:val="auto"/>
          <w:position w:val="0"/>
          <w:sz w:val="24"/>
          <w:szCs w:val="24"/>
          <w:rFonts w:ascii="宋体" w:eastAsia="宋体" w:hAnsi="宋体" w:hint="default"/>
        </w:rPr>
        <w:t>支付给职工的补偿金；</w:t>
      </w:r>
    </w:p>
    <w:p>
      <w:pPr>
        <w:pStyle w:val="PO152"/>
        <w:numPr>
          <w:ilvl w:val="0"/>
          <w:numId w:val="0"/>
        </w:numPr>
        <w:jc w:val="both"/>
        <w:spacing w:lineRule="exact" w:line="440" w:before="0" w:after="0"/>
        <w:ind w:right="0" w:left="0" w:firstLine="480"/>
        <w:rPr>
          <w:b w:val="0"/>
          <w:color w:val="auto"/>
          <w:position w:val="0"/>
          <w:sz w:val="24"/>
          <w:szCs w:val="24"/>
          <w:rFonts w:ascii="宋体" w:eastAsia="宋体" w:hAnsi="宋体" w:hint="default"/>
        </w:rPr>
        <w:snapToGrid w:val="off"/>
        <w:autoSpaceDE w:val="1"/>
        <w:autoSpaceDN w:val="1"/>
      </w:pPr>
      <w:r>
        <w:rPr>
          <w:b w:val="0"/>
          <w:color w:val="auto"/>
          <w:position w:val="0"/>
          <w:sz w:val="24"/>
          <w:szCs w:val="24"/>
          <w:rFonts w:ascii="宋体" w:eastAsia="宋体" w:hAnsi="宋体" w:hint="default"/>
        </w:rPr>
        <w:t>2、债务人欠缴的除前项规定以外的社会保险费用和债务人所欠税款；</w:t>
      </w:r>
    </w:p>
    <w:p>
      <w:pPr>
        <w:pStyle w:val="PO152"/>
        <w:numPr>
          <w:ilvl w:val="0"/>
          <w:numId w:val="0"/>
        </w:numPr>
        <w:jc w:val="both"/>
        <w:spacing w:lineRule="exact" w:line="440" w:before="0" w:after="0"/>
        <w:ind w:right="0" w:left="0" w:firstLine="480"/>
        <w:rPr>
          <w:b w:val="0"/>
          <w:color w:val="auto"/>
          <w:position w:val="0"/>
          <w:sz w:val="24"/>
          <w:szCs w:val="24"/>
          <w:rFonts w:ascii="宋体" w:eastAsia="宋体" w:hAnsi="宋体" w:hint="default"/>
        </w:rPr>
        <w:snapToGrid w:val="off"/>
        <w:autoSpaceDE w:val="1"/>
        <w:autoSpaceDN w:val="1"/>
      </w:pPr>
      <w:r>
        <w:rPr>
          <w:b w:val="0"/>
          <w:color w:val="auto"/>
          <w:position w:val="0"/>
          <w:sz w:val="24"/>
          <w:szCs w:val="24"/>
          <w:rFonts w:ascii="宋体" w:eastAsia="宋体" w:hAnsi="宋体" w:hint="default"/>
        </w:rPr>
        <w:t>3、普通破产债权。</w:t>
      </w:r>
    </w:p>
    <w:p>
      <w:pPr>
        <w:pStyle w:val="PO152"/>
        <w:numPr>
          <w:ilvl w:val="0"/>
          <w:numId w:val="0"/>
        </w:numPr>
        <w:jc w:val="both"/>
        <w:spacing w:lineRule="exact" w:line="440" w:before="0" w:after="0"/>
        <w:ind w:right="0" w:left="0" w:firstLine="480"/>
        <w:rPr>
          <w:b w:val="0"/>
          <w:color w:val="auto"/>
          <w:position w:val="0"/>
          <w:sz w:val="24"/>
          <w:szCs w:val="24"/>
          <w:rFonts w:ascii="宋体" w:eastAsia="宋体" w:hAnsi="宋体" w:hint="default"/>
        </w:rPr>
        <w:snapToGrid w:val="off"/>
        <w:autoSpaceDE w:val="1"/>
        <w:autoSpaceDN w:val="1"/>
      </w:pPr>
      <w:r>
        <w:rPr>
          <w:b w:val="0"/>
          <w:color w:val="auto"/>
          <w:position w:val="0"/>
          <w:sz w:val="24"/>
          <w:szCs w:val="24"/>
          <w:rFonts w:ascii="宋体" w:eastAsia="宋体" w:hAnsi="宋体" w:hint="default"/>
        </w:rPr>
        <w:t>破产财产不足以清偿同一顺序的清偿要求的，按照比例分配。</w:t>
      </w:r>
    </w:p>
    <w:p>
      <w:pPr>
        <w:pStyle w:val="PO152"/>
        <w:numPr>
          <w:ilvl w:val="0"/>
          <w:numId w:val="0"/>
        </w:numPr>
        <w:jc w:val="both"/>
        <w:spacing w:lineRule="exact" w:line="440" w:before="0" w:after="0"/>
        <w:ind w:right="0" w:left="0" w:firstLine="480"/>
        <w:rPr>
          <w:b w:val="0"/>
          <w:color w:val="auto"/>
          <w:position w:val="0"/>
          <w:sz w:val="24"/>
          <w:szCs w:val="24"/>
          <w:rFonts w:ascii="宋体" w:eastAsia="宋体" w:hAnsi="宋体" w:hint="default"/>
        </w:rPr>
        <w:snapToGrid w:val="off"/>
        <w:autoSpaceDE w:val="1"/>
        <w:autoSpaceDN w:val="1"/>
      </w:pPr>
      <w:r>
        <w:rPr>
          <w:b w:val="0"/>
          <w:color w:val="auto"/>
          <w:position w:val="0"/>
          <w:sz w:val="24"/>
          <w:szCs w:val="24"/>
          <w:rFonts w:ascii="宋体" w:eastAsia="宋体" w:hAnsi="宋体" w:hint="default"/>
        </w:rPr>
        <w:t>五、分配方案的实施</w:t>
      </w:r>
    </w:p>
    <w:p>
      <w:pPr>
        <w:pStyle w:val="PO152"/>
        <w:numPr>
          <w:ilvl w:val="0"/>
          <w:numId w:val="0"/>
        </w:numPr>
        <w:jc w:val="both"/>
        <w:spacing w:lineRule="exact" w:line="440" w:before="0" w:after="0"/>
        <w:ind w:right="0" w:left="0" w:firstLine="480"/>
        <w:rPr>
          <w:b w:val="0"/>
          <w:color w:val="auto"/>
          <w:position w:val="0"/>
          <w:sz w:val="24"/>
          <w:szCs w:val="24"/>
          <w:rFonts w:ascii="宋体" w:eastAsia="宋体" w:hAnsi="宋体" w:hint="default"/>
        </w:rPr>
        <w:snapToGrid w:val="off"/>
        <w:autoSpaceDE w:val="1"/>
        <w:autoSpaceDN w:val="1"/>
      </w:pPr>
      <w:r>
        <w:rPr>
          <w:b w:val="0"/>
          <w:color w:val="auto"/>
          <w:position w:val="0"/>
          <w:sz w:val="24"/>
          <w:szCs w:val="24"/>
          <w:rFonts w:ascii="宋体" w:eastAsia="宋体" w:hAnsi="宋体" w:hint="default"/>
        </w:rPr>
        <w:t>1、实施条件</w:t>
      </w:r>
    </w:p>
    <w:p>
      <w:pPr>
        <w:pStyle w:val="PO152"/>
        <w:numPr>
          <w:ilvl w:val="0"/>
          <w:numId w:val="0"/>
        </w:numPr>
        <w:jc w:val="both"/>
        <w:spacing w:lineRule="exact" w:line="440" w:before="0" w:after="0"/>
        <w:ind w:right="0" w:left="0" w:firstLine="480"/>
        <w:rPr>
          <w:b w:val="0"/>
          <w:color w:val="auto"/>
          <w:position w:val="0"/>
          <w:sz w:val="24"/>
          <w:szCs w:val="24"/>
          <w:rFonts w:ascii="宋体" w:eastAsia="宋体" w:hAnsi="宋体" w:hint="default"/>
        </w:rPr>
        <w:snapToGrid w:val="off"/>
        <w:autoSpaceDE w:val="1"/>
        <w:autoSpaceDN w:val="1"/>
      </w:pPr>
      <w:r>
        <w:rPr>
          <w:b w:val="0"/>
          <w:color w:val="auto"/>
          <w:position w:val="0"/>
          <w:sz w:val="24"/>
          <w:szCs w:val="24"/>
          <w:rFonts w:ascii="宋体" w:eastAsia="宋体" w:hAnsi="宋体" w:hint="default"/>
        </w:rPr>
        <w:t>破产财产分配方案经人民法院裁定认可后，由管理人执行。</w:t>
      </w:r>
    </w:p>
    <w:p>
      <w:pPr>
        <w:pStyle w:val="PO152"/>
        <w:numPr>
          <w:ilvl w:val="0"/>
          <w:numId w:val="0"/>
        </w:numPr>
        <w:jc w:val="both"/>
        <w:spacing w:lineRule="exact" w:line="440" w:before="0" w:after="0"/>
        <w:ind w:right="0" w:left="0" w:firstLine="480"/>
        <w:rPr>
          <w:b w:val="0"/>
          <w:color w:val="auto"/>
          <w:position w:val="0"/>
          <w:sz w:val="24"/>
          <w:szCs w:val="24"/>
          <w:rFonts w:ascii="宋体" w:eastAsia="宋体" w:hAnsi="宋体" w:hint="default"/>
        </w:rPr>
        <w:snapToGrid w:val="off"/>
        <w:autoSpaceDE w:val="1"/>
        <w:autoSpaceDN w:val="1"/>
      </w:pPr>
      <w:r>
        <w:rPr>
          <w:b w:val="0"/>
          <w:color w:val="auto"/>
          <w:position w:val="0"/>
          <w:sz w:val="24"/>
          <w:szCs w:val="24"/>
          <w:rFonts w:ascii="宋体" w:eastAsia="宋体" w:hAnsi="宋体" w:hint="default"/>
        </w:rPr>
        <w:t>2、分配方式</w:t>
      </w:r>
    </w:p>
    <w:p>
      <w:pPr>
        <w:pStyle w:val="PO152"/>
        <w:numPr>
          <w:ilvl w:val="0"/>
          <w:numId w:val="0"/>
        </w:numPr>
        <w:jc w:val="both"/>
        <w:spacing w:lineRule="exact" w:line="440" w:before="0" w:after="0"/>
        <w:ind w:right="0" w:left="0" w:firstLine="480"/>
        <w:rPr>
          <w:b w:val="0"/>
          <w:color w:val="auto"/>
          <w:position w:val="0"/>
          <w:sz w:val="24"/>
          <w:szCs w:val="24"/>
          <w:rFonts w:ascii="宋体" w:eastAsia="宋体" w:hAnsi="宋体" w:hint="default"/>
        </w:rPr>
        <w:snapToGrid w:val="off"/>
        <w:autoSpaceDE w:val="1"/>
        <w:autoSpaceDN w:val="1"/>
      </w:pPr>
      <w:r>
        <w:rPr>
          <w:b w:val="0"/>
          <w:color w:val="auto"/>
          <w:position w:val="0"/>
          <w:sz w:val="24"/>
          <w:szCs w:val="24"/>
          <w:rFonts w:ascii="宋体" w:eastAsia="宋体" w:hAnsi="宋体" w:hint="default"/>
        </w:rPr>
        <w:t>管理人将采取货币分配方式，将上述应分配额通过网银转账支付给债权人。</w:t>
      </w:r>
    </w:p>
    <w:p>
      <w:pPr>
        <w:pStyle w:val="PO152"/>
        <w:numPr>
          <w:ilvl w:val="0"/>
          <w:numId w:val="0"/>
        </w:numPr>
        <w:jc w:val="both"/>
        <w:spacing w:lineRule="exact" w:line="440" w:before="0" w:after="0"/>
        <w:ind w:right="0" w:left="0" w:firstLine="480"/>
        <w:rPr>
          <w:b w:val="0"/>
          <w:color w:val="auto"/>
          <w:position w:val="0"/>
          <w:sz w:val="24"/>
          <w:szCs w:val="24"/>
          <w:rFonts w:ascii="宋体" w:eastAsia="宋体" w:hAnsi="宋体" w:hint="default"/>
        </w:rPr>
        <w:snapToGrid w:val="off"/>
        <w:autoSpaceDE w:val="1"/>
        <w:autoSpaceDN w:val="1"/>
      </w:pPr>
      <w:r>
        <w:rPr>
          <w:b w:val="0"/>
          <w:color w:val="auto"/>
          <w:position w:val="0"/>
          <w:sz w:val="24"/>
          <w:szCs w:val="24"/>
          <w:rFonts w:ascii="宋体" w:eastAsia="宋体" w:hAnsi="宋体" w:hint="default"/>
        </w:rPr>
        <w:t>3、分配额的支付期限</w:t>
      </w:r>
    </w:p>
    <w:p>
      <w:pPr>
        <w:pStyle w:val="PO152"/>
        <w:numPr>
          <w:ilvl w:val="0"/>
          <w:numId w:val="0"/>
        </w:numPr>
        <w:jc w:val="both"/>
        <w:spacing w:lineRule="exact" w:line="440" w:before="0" w:after="0"/>
        <w:ind w:right="0" w:left="0" w:firstLine="480"/>
        <w:rPr>
          <w:b w:val="0"/>
          <w:color w:val="auto"/>
          <w:position w:val="0"/>
          <w:sz w:val="24"/>
          <w:szCs w:val="24"/>
          <w:rFonts w:ascii="宋体" w:eastAsia="宋体" w:hAnsi="宋体" w:hint="default"/>
        </w:rPr>
        <w:snapToGrid w:val="off"/>
        <w:autoSpaceDE w:val="1"/>
        <w:autoSpaceDN w:val="1"/>
      </w:pPr>
      <w:r>
        <w:rPr>
          <w:b w:val="0"/>
          <w:color w:val="auto"/>
          <w:position w:val="0"/>
          <w:sz w:val="24"/>
          <w:szCs w:val="24"/>
          <w:rFonts w:ascii="宋体" w:eastAsia="宋体" w:hAnsi="宋体" w:hint="default"/>
        </w:rPr>
        <w:t>由各债权人提供清晰、明确的银行账户，管理人将在法院裁定认可后10个工</w:t>
      </w:r>
      <w:r>
        <w:rPr>
          <w:b w:val="0"/>
          <w:color w:val="auto"/>
          <w:position w:val="0"/>
          <w:sz w:val="24"/>
          <w:szCs w:val="24"/>
          <w:rFonts w:ascii="宋体" w:eastAsia="宋体" w:hAnsi="宋体" w:hint="default"/>
        </w:rPr>
        <w:t>作日内支付。</w:t>
      </w:r>
    </w:p>
    <w:p>
      <w:pPr>
        <w:pStyle w:val="PO152"/>
        <w:numPr>
          <w:ilvl w:val="0"/>
          <w:numId w:val="0"/>
        </w:numPr>
        <w:jc w:val="both"/>
        <w:spacing w:lineRule="exact" w:line="440" w:before="0" w:after="0"/>
        <w:ind w:right="0" w:left="0" w:firstLine="480"/>
        <w:rPr>
          <w:b w:val="0"/>
          <w:color w:val="auto"/>
          <w:position w:val="0"/>
          <w:sz w:val="24"/>
          <w:szCs w:val="24"/>
          <w:rFonts w:ascii="宋体" w:eastAsia="宋体" w:hAnsi="宋体" w:hint="default"/>
        </w:rPr>
        <w:snapToGrid w:val="off"/>
        <w:autoSpaceDE w:val="1"/>
        <w:autoSpaceDN w:val="1"/>
      </w:pPr>
      <w:r>
        <w:rPr>
          <w:b w:val="0"/>
          <w:color w:val="auto"/>
          <w:position w:val="0"/>
          <w:sz w:val="24"/>
          <w:szCs w:val="24"/>
          <w:rFonts w:ascii="宋体" w:eastAsia="宋体" w:hAnsi="宋体" w:hint="default"/>
        </w:rPr>
        <w:t>六、其他事项说明</w:t>
      </w:r>
    </w:p>
    <w:p>
      <w:pPr>
        <w:pStyle w:val="PO152"/>
        <w:numPr>
          <w:ilvl w:val="0"/>
          <w:numId w:val="0"/>
        </w:numPr>
        <w:jc w:val="both"/>
        <w:spacing w:lineRule="exact" w:line="440" w:before="0" w:after="0"/>
        <w:ind w:right="0" w:left="0" w:firstLine="480"/>
        <w:rPr>
          <w:b w:val="0"/>
          <w:color w:val="auto"/>
          <w:position w:val="0"/>
          <w:sz w:val="24"/>
          <w:szCs w:val="24"/>
          <w:rFonts w:ascii="宋体" w:eastAsia="宋体" w:hAnsi="宋体" w:hint="default"/>
        </w:rPr>
        <w:snapToGrid w:val="off"/>
        <w:autoSpaceDE w:val="1"/>
        <w:autoSpaceDN w:val="1"/>
      </w:pPr>
      <w:r>
        <w:rPr>
          <w:b w:val="0"/>
          <w:color w:val="auto"/>
          <w:position w:val="0"/>
          <w:sz w:val="24"/>
          <w:szCs w:val="24"/>
          <w:rFonts w:ascii="宋体" w:eastAsia="宋体" w:hAnsi="宋体" w:hint="default"/>
        </w:rPr>
        <w:t>1、提存分配额的分配说明</w:t>
      </w:r>
    </w:p>
    <w:p>
      <w:pPr>
        <w:pStyle w:val="PO152"/>
        <w:numPr>
          <w:ilvl w:val="0"/>
          <w:numId w:val="0"/>
        </w:numPr>
        <w:jc w:val="both"/>
        <w:spacing w:lineRule="exact" w:line="440" w:before="0" w:after="0"/>
        <w:ind w:right="0" w:left="0" w:firstLine="480"/>
        <w:rPr>
          <w:b w:val="0"/>
          <w:color w:val="auto"/>
          <w:position w:val="0"/>
          <w:sz w:val="24"/>
          <w:szCs w:val="24"/>
          <w:rFonts w:ascii="宋体" w:eastAsia="宋体" w:hAnsi="宋体" w:hint="default"/>
        </w:rPr>
        <w:snapToGrid w:val="off"/>
        <w:autoSpaceDE w:val="1"/>
        <w:autoSpaceDN w:val="1"/>
      </w:pPr>
      <w:r>
        <w:rPr>
          <w:b w:val="0"/>
          <w:color w:val="auto"/>
          <w:position w:val="0"/>
          <w:sz w:val="24"/>
          <w:szCs w:val="24"/>
          <w:rFonts w:ascii="宋体" w:eastAsia="宋体" w:hAnsi="宋体" w:hint="default"/>
        </w:rPr>
        <w:t>（1）债权人未受领的破产财产分配额，管理人予以提存。债权人自最后分配</w:t>
      </w:r>
      <w:r>
        <w:rPr>
          <w:b w:val="0"/>
          <w:color w:val="auto"/>
          <w:position w:val="0"/>
          <w:sz w:val="24"/>
          <w:szCs w:val="24"/>
          <w:rFonts w:ascii="宋体" w:eastAsia="宋体" w:hAnsi="宋体" w:hint="default"/>
        </w:rPr>
        <w:t>公告之日起满两个月仍不领取的，视为放弃受领分配的权利，管理人或者人民法</w:t>
      </w:r>
      <w:r>
        <w:rPr>
          <w:b w:val="0"/>
          <w:color w:val="auto"/>
          <w:position w:val="0"/>
          <w:sz w:val="24"/>
          <w:szCs w:val="24"/>
          <w:rFonts w:ascii="宋体" w:eastAsia="宋体" w:hAnsi="宋体" w:hint="default"/>
        </w:rPr>
        <w:t>院应当将提存的分配额分配给其他债权人。</w:t>
      </w:r>
    </w:p>
    <w:p>
      <w:pPr>
        <w:pStyle w:val="PO152"/>
        <w:numPr>
          <w:ilvl w:val="0"/>
          <w:numId w:val="0"/>
        </w:numPr>
        <w:jc w:val="both"/>
        <w:spacing w:lineRule="exact" w:line="440" w:before="0" w:after="0"/>
        <w:ind w:right="0" w:left="0" w:firstLine="480"/>
        <w:rPr>
          <w:b w:val="0"/>
          <w:color w:val="auto"/>
          <w:position w:val="0"/>
          <w:sz w:val="24"/>
          <w:szCs w:val="24"/>
          <w:rFonts w:ascii="宋体" w:eastAsia="宋体" w:hAnsi="宋体" w:hint="default"/>
        </w:rPr>
        <w:snapToGrid w:val="off"/>
        <w:autoSpaceDE w:val="1"/>
        <w:autoSpaceDN w:val="1"/>
      </w:pPr>
      <w:r>
        <w:rPr>
          <w:b w:val="0"/>
          <w:color w:val="auto"/>
          <w:position w:val="0"/>
          <w:sz w:val="24"/>
          <w:szCs w:val="24"/>
          <w:rFonts w:ascii="宋体" w:eastAsia="宋体" w:hAnsi="宋体" w:hint="default"/>
        </w:rPr>
        <w:t>（2）对于附生效条件或者解除条件的债权，管理人将其分配额提存。管理人</w:t>
      </w:r>
      <w:r>
        <w:rPr>
          <w:b w:val="0"/>
          <w:color w:val="auto"/>
          <w:position w:val="0"/>
          <w:sz w:val="24"/>
          <w:szCs w:val="24"/>
          <w:rFonts w:ascii="宋体" w:eastAsia="宋体" w:hAnsi="宋体" w:hint="default"/>
        </w:rPr>
        <w:t>依照规定提存的分配额，在最后分配公告日，生效条件未成就或者解除条件成就</w:t>
      </w:r>
      <w:r>
        <w:rPr>
          <w:b w:val="0"/>
          <w:color w:val="auto"/>
          <w:position w:val="0"/>
          <w:sz w:val="24"/>
          <w:szCs w:val="24"/>
          <w:rFonts w:ascii="宋体" w:eastAsia="宋体" w:hAnsi="宋体" w:hint="default"/>
        </w:rPr>
        <w:t>的，应当分配给其他债权人；在最后分配公告日，生效条件成就或者解除条件未</w:t>
      </w:r>
      <w:r>
        <w:rPr>
          <w:b w:val="0"/>
          <w:color w:val="auto"/>
          <w:position w:val="0"/>
          <w:sz w:val="24"/>
          <w:szCs w:val="24"/>
          <w:rFonts w:ascii="宋体" w:eastAsia="宋体" w:hAnsi="宋体" w:hint="default"/>
        </w:rPr>
        <w:t>成就的，应当交付给该债权人。</w:t>
      </w:r>
    </w:p>
    <w:p>
      <w:pPr>
        <w:pStyle w:val="PO152"/>
        <w:numPr>
          <w:ilvl w:val="0"/>
          <w:numId w:val="0"/>
        </w:numPr>
        <w:jc w:val="both"/>
        <w:spacing w:lineRule="exact" w:line="440" w:before="0" w:after="0"/>
        <w:ind w:right="0" w:left="0" w:firstLine="480"/>
        <w:rPr>
          <w:b w:val="0"/>
          <w:color w:val="auto"/>
          <w:position w:val="0"/>
          <w:sz w:val="24"/>
          <w:szCs w:val="24"/>
          <w:rFonts w:ascii="宋体" w:eastAsia="宋体" w:hAnsi="宋体" w:hint="default"/>
        </w:rPr>
        <w:snapToGrid w:val="off"/>
        <w:autoSpaceDE w:val="1"/>
        <w:autoSpaceDN w:val="1"/>
      </w:pPr>
      <w:r>
        <w:rPr>
          <w:b w:val="0"/>
          <w:color w:val="auto"/>
          <w:position w:val="0"/>
          <w:sz w:val="24"/>
          <w:szCs w:val="24"/>
          <w:rFonts w:ascii="宋体" w:eastAsia="宋体" w:hAnsi="宋体" w:hint="default"/>
        </w:rPr>
        <w:t>（3）破产财产分配时，对于诉讼或者仲裁未决的债权，管理人将其分配额提</w:t>
      </w:r>
      <w:r>
        <w:rPr>
          <w:b w:val="0"/>
          <w:color w:val="auto"/>
          <w:position w:val="0"/>
          <w:sz w:val="24"/>
          <w:szCs w:val="24"/>
          <w:rFonts w:ascii="宋体" w:eastAsia="宋体" w:hAnsi="宋体" w:hint="default"/>
        </w:rPr>
        <w:t>存。自破产程序终结之日起满2年仍不能受领分配的，人民法院应当将提存的分</w:t>
      </w:r>
      <w:r>
        <w:rPr>
          <w:b w:val="0"/>
          <w:color w:val="auto"/>
          <w:position w:val="0"/>
          <w:sz w:val="24"/>
          <w:szCs w:val="24"/>
          <w:rFonts w:ascii="宋体" w:eastAsia="宋体" w:hAnsi="宋体" w:hint="default"/>
        </w:rPr>
        <w:t>配额分配给其他债权人。</w:t>
      </w:r>
    </w:p>
    <w:p>
      <w:pPr>
        <w:pStyle w:val="PO152"/>
        <w:numPr>
          <w:ilvl w:val="0"/>
          <w:numId w:val="0"/>
        </w:numPr>
        <w:jc w:val="both"/>
        <w:spacing w:lineRule="exact" w:line="440" w:before="0" w:after="0"/>
        <w:ind w:right="0" w:left="0" w:firstLine="480"/>
        <w:rPr>
          <w:b w:val="0"/>
          <w:color w:val="auto"/>
          <w:position w:val="0"/>
          <w:sz w:val="24"/>
          <w:szCs w:val="24"/>
          <w:rFonts w:ascii="宋体" w:eastAsia="宋体" w:hAnsi="宋体" w:hint="default"/>
        </w:rPr>
        <w:snapToGrid w:val="off"/>
        <w:autoSpaceDE w:val="1"/>
        <w:autoSpaceDN w:val="1"/>
      </w:pPr>
      <w:r>
        <w:rPr>
          <w:b w:val="0"/>
          <w:color w:val="auto"/>
          <w:position w:val="0"/>
          <w:sz w:val="24"/>
          <w:szCs w:val="24"/>
          <w:rFonts w:ascii="宋体" w:eastAsia="宋体" w:hAnsi="宋体" w:hint="default"/>
        </w:rPr>
        <w:t>2、参加破产财产分配的债权人及债权额如发生变化，</w:t>
      </w:r>
      <w:bookmarkStart w:id="1" w:name="_Hlk2092043"/>
      <w:r>
        <w:rPr>
          <w:b w:val="0"/>
          <w:color w:val="auto"/>
          <w:position w:val="0"/>
          <w:sz w:val="24"/>
          <w:szCs w:val="24"/>
          <w:rFonts w:ascii="宋体" w:eastAsia="宋体" w:hAnsi="宋体" w:hint="default"/>
        </w:rPr>
        <w:t>由管理人书面方式送达</w:t>
      </w:r>
      <w:r>
        <w:rPr>
          <w:b w:val="0"/>
          <w:color w:val="auto"/>
          <w:position w:val="0"/>
          <w:sz w:val="24"/>
          <w:szCs w:val="24"/>
          <w:rFonts w:ascii="宋体" w:eastAsia="宋体" w:hAnsi="宋体" w:hint="default"/>
        </w:rPr>
        <w:t>全体已知债权人，并报江都区人民法院裁定。</w:t>
      </w:r>
      <w:bookmarkEnd w:id="1"/>
    </w:p>
    <w:p>
      <w:pPr>
        <w:pStyle w:val="PO152"/>
        <w:numPr>
          <w:ilvl w:val="0"/>
          <w:numId w:val="0"/>
        </w:numPr>
        <w:jc w:val="both"/>
        <w:spacing w:lineRule="exact" w:line="440" w:before="0" w:after="0"/>
        <w:ind w:right="0" w:left="0" w:firstLine="480"/>
        <w:rPr>
          <w:b w:val="0"/>
          <w:color w:val="auto"/>
          <w:position w:val="0"/>
          <w:sz w:val="24"/>
          <w:szCs w:val="24"/>
          <w:rFonts w:ascii="宋体" w:eastAsia="宋体" w:hAnsi="宋体" w:hint="default"/>
        </w:rPr>
        <w:snapToGrid w:val="off"/>
        <w:autoSpaceDE w:val="1"/>
        <w:autoSpaceDN w:val="1"/>
      </w:pPr>
      <w:r>
        <w:rPr>
          <w:b w:val="0"/>
          <w:color w:val="auto"/>
          <w:position w:val="0"/>
          <w:sz w:val="24"/>
          <w:szCs w:val="24"/>
          <w:rFonts w:ascii="宋体" w:eastAsia="宋体" w:hAnsi="宋体" w:hint="default"/>
        </w:rPr>
        <w:t>3、如破产程序终结后2年内发现有依法应当追回的财产或者有应当供分配</w:t>
      </w:r>
      <w:r>
        <w:rPr>
          <w:b w:val="0"/>
          <w:color w:val="auto"/>
          <w:position w:val="0"/>
          <w:sz w:val="24"/>
          <w:szCs w:val="24"/>
          <w:rFonts w:ascii="宋体" w:eastAsia="宋体" w:hAnsi="宋体" w:hint="default"/>
        </w:rPr>
        <w:t>的其他财产的，债权人可以请求人民法院追加分配，管理人根据债权人会议决议</w:t>
      </w:r>
      <w:r>
        <w:rPr>
          <w:b w:val="0"/>
          <w:color w:val="auto"/>
          <w:position w:val="0"/>
          <w:sz w:val="24"/>
          <w:szCs w:val="24"/>
          <w:rFonts w:ascii="宋体" w:eastAsia="宋体" w:hAnsi="宋体" w:hint="default"/>
        </w:rPr>
        <w:t>通过的分配方案具体实施。</w:t>
      </w:r>
    </w:p>
    <w:p>
      <w:pPr>
        <w:pStyle w:val="PO152"/>
        <w:numPr>
          <w:ilvl w:val="0"/>
          <w:numId w:val="0"/>
        </w:numPr>
        <w:jc w:val="both"/>
        <w:spacing w:lineRule="exact" w:line="440" w:before="0" w:after="0"/>
        <w:ind w:right="0" w:left="0" w:firstLine="480"/>
        <w:rPr>
          <w:b w:val="0"/>
          <w:color w:val="auto"/>
          <w:position w:val="0"/>
          <w:sz w:val="24"/>
          <w:szCs w:val="24"/>
          <w:rFonts w:ascii="宋体" w:eastAsia="宋体" w:hAnsi="宋体" w:hint="default"/>
        </w:rPr>
        <w:snapToGrid w:val="off"/>
        <w:autoSpaceDE w:val="1"/>
        <w:autoSpaceDN w:val="1"/>
      </w:pPr>
      <w:r>
        <w:rPr>
          <w:b w:val="0"/>
          <w:color w:val="auto"/>
          <w:position w:val="0"/>
          <w:sz w:val="24"/>
          <w:szCs w:val="24"/>
          <w:rFonts w:ascii="宋体" w:eastAsia="宋体" w:hAnsi="宋体" w:hint="default"/>
        </w:rPr>
        <w:t>现根据《中华人民共和国企业破产法》第一百一十五条之规定，就以上破产</w:t>
      </w:r>
      <w:r>
        <w:rPr>
          <w:b w:val="0"/>
          <w:color w:val="auto"/>
          <w:position w:val="0"/>
          <w:sz w:val="24"/>
          <w:szCs w:val="24"/>
          <w:rFonts w:ascii="宋体" w:eastAsia="宋体" w:hAnsi="宋体" w:hint="default"/>
        </w:rPr>
        <w:t>财产分配方案，提交债权人会议审议表决。</w:t>
      </w:r>
    </w:p>
    <w:p>
      <w:pPr>
        <w:numPr>
          <w:ilvl w:val="0"/>
          <w:numId w:val="0"/>
        </w:numPr>
        <w:jc w:val="both"/>
        <w:spacing w:lineRule="exact" w:line="440" w:before="0" w:after="0"/>
        <w:ind w:right="0" w:left="0" w:firstLine="600"/>
        <w:rPr>
          <w:b w:val="0"/>
          <w:color w:val="auto"/>
          <w:position w:val="0"/>
          <w:sz w:val="24"/>
          <w:szCs w:val="24"/>
          <w:rFonts w:ascii="宋体" w:eastAsia="宋体" w:hAnsi="宋体" w:hint="default"/>
        </w:rPr>
        <w:snapToGrid w:val="off"/>
        <w:autoSpaceDE w:val="1"/>
        <w:autoSpaceDN w:val="1"/>
      </w:pPr>
      <w:r>
        <w:rPr>
          <w:b w:val="0"/>
          <w:color w:val="auto"/>
          <w:position w:val="0"/>
          <w:sz w:val="24"/>
          <w:szCs w:val="24"/>
          <w:rFonts w:ascii="宋体" w:eastAsia="宋体" w:hAnsi="宋体" w:hint="default"/>
        </w:rPr>
        <w:t>特此报告。</w:t>
      </w:r>
    </w:p>
    <w:p>
      <w:pPr>
        <w:numPr>
          <w:ilvl w:val="0"/>
          <w:numId w:val="0"/>
        </w:numPr>
        <w:jc w:val="both"/>
        <w:spacing w:lineRule="exact" w:line="440" w:before="0" w:after="0"/>
        <w:ind w:right="0" w:left="0" w:firstLine="4560"/>
        <w:rPr>
          <w:b w:val="0"/>
          <w:color w:val="auto"/>
          <w:position w:val="0"/>
          <w:sz w:val="24"/>
          <w:szCs w:val="24"/>
          <w:rFonts w:ascii="宋体" w:eastAsia="宋体" w:hAnsi="宋体" w:hint="default"/>
        </w:rPr>
        <w:wordWrap w:val="off"/>
        <w:autoSpaceDE w:val="1"/>
        <w:autoSpaceDN w:val="1"/>
      </w:pPr>
      <w:r>
        <w:rPr>
          <w:b w:val="0"/>
          <w:color w:val="auto"/>
          <w:position w:val="0"/>
          <w:sz w:val="24"/>
          <w:szCs w:val="24"/>
          <w:rFonts w:ascii="宋体" w:eastAsia="宋体" w:hAnsi="宋体" w:hint="default"/>
        </w:rPr>
        <w:t>江苏华豪航海电器有限公司管理人</w:t>
      </w:r>
    </w:p>
    <w:p>
      <w:pPr>
        <w:numPr>
          <w:ilvl w:val="0"/>
          <w:numId w:val="0"/>
        </w:numPr>
        <w:jc w:val="right"/>
        <w:spacing w:lineRule="auto" w:line="360" w:before="0" w:after="0"/>
        <w:ind w:right="960" w:left="0" w:firstLine="0"/>
        <w:rPr>
          <w:b w:val="0"/>
          <w:color w:val="auto"/>
          <w:position w:val="0"/>
          <w:sz w:val="24"/>
          <w:szCs w:val="24"/>
          <w:rFonts w:ascii="宋体" w:eastAsia="宋体" w:hAnsi="宋体" w:hint="default"/>
        </w:rPr>
        <w:snapToGrid w:val="off"/>
        <w:autoSpaceDE w:val="1"/>
        <w:autoSpaceDN w:val="1"/>
      </w:pPr>
      <w:r>
        <w:rPr>
          <w:b w:val="0"/>
          <w:color w:val="auto"/>
          <w:position w:val="0"/>
          <w:sz w:val="24"/>
          <w:szCs w:val="24"/>
          <w:rFonts w:ascii="宋体" w:eastAsia="宋体" w:hAnsi="宋体" w:hint="default"/>
        </w:rPr>
        <w:t>2022年2月18日</w:t>
      </w:r>
    </w:p>
    <w:sectPr>
      <w:pgSz w:w="11906" w:h="16838"/>
      <w:pgMar w:top="1440" w:left="1800" w:bottom="1440" w:right="1800" w:header="851" w:footer="992" w:gutter="0"/>
      <w:pgNumType w:fmt="decimal"/>
      <w:docGrid w:type="lines" w:linePitch="312" w:charSpace="0"/>
    </w:sectPr>
  </w:body>
</w:document>
</file>

<file path=word/fontTable.xml><?xml version="1.0" encoding="utf-8"?>
<w:fonts xmlns:r="http://schemas.openxmlformats.org/officeDocument/2006/relationships" xmlns:w="http://schemas.openxmlformats.org/wordprocessingml/2006/main">
  <w:font w:name="宋体">
    <w:panose1 w:val="020F0502020204030204"/>
    <w:charset w:val="0"/>
    <w:family w:val="mordern"/>
    <w:pitch w:val="variable"/>
    <w:sig w:usb0="A00002EF" w:usb1="4000207B" w:usb2="00000000" w:usb3="00000000" w:csb0="FFFFFFFF" w:csb1="00000000"/>
  </w:font>
  <w:font w:name="Calibri">
    <w:panose1 w:val="020F0502020204030204"/>
    <w:charset w:val="0"/>
    <w:family w:val="mordern"/>
    <w:pitch w:val="variable"/>
    <w:sig w:usb0="A00002EF" w:usb1="4000207B" w:usb2="00000000" w:usb3="00000000" w:csb0="FFFFFFFF" w:csb1="00000000"/>
  </w:font>
  <w:font w:name="Wingdings">
    <w:panose1 w:val="020F0502020204030204"/>
    <w:charset w:val="0"/>
    <w:family w:val="mordern"/>
    <w:pitch w:val="variable"/>
    <w:sig w:usb0="A00002EF" w:usb1="4000207B" w:usb2="00000000" w:usb3="00000000" w:csb0="FFFFFFFF" w:csb1="00000000"/>
  </w:font>
  <w:font w:name="Times New Roman">
    <w:panose1 w:val="020F0502020204030204"/>
    <w:charset w:val="0"/>
    <w:family w:val="mordern"/>
    <w:pitch w:val="variable"/>
    <w:sig w:usb0="A00002EF" w:usb1="4000207B" w:usb2="00000000" w:usb3="00000000" w:csb0="FFFFFFFF" w:csb1="00000000"/>
  </w:font>
  <w:font w:name="楷体_GB2312">
    <w:panose1 w:val="020F0502020204030204"/>
    <w:charset w:val="0"/>
    <w:family w:val="mordern"/>
    <w:pitch w:val="variable"/>
    <w:sig w:usb0="A00002EF" w:usb1="4000207B" w:usb2="00000000" w:usb3="00000000" w:csb0="FFFFFFFF" w:csb1="00000000"/>
  </w:font>
  <w:font w:name="맑은 고딕">
    <w:panose1 w:val="020F0502020204030204"/>
    <w:charset w:val="0"/>
    <w:family w:val="mordern"/>
    <w:pitch w:val="variable"/>
    <w:sig w:usb0="A00002EF" w:usb1="4000207B" w:usb2="00000000" w:usb3="00000000" w:csb0="FFFFFF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savePreviewPicture/>
  <w:proofState w:spelling="clean" w:grammar="clean"/>
  <w:defaultTabStop w:val="420"/>
  <w:displayHorizontalDrawingGridEvery w:val="0"/>
  <w:displayVerticalDrawingGridEvery w:val="2"/>
  <w:characterSpacingControl w:val="compressPunctuation"/>
  <w:bordersDoNotSurroundHeader/>
  <w:bordersDoNotSurroundFooter/>
  <w:compat>
    <w:balanceSingleByteDoubleByteWidth/>
    <w:adjustLineHeightInTable/>
    <w:useFELayout/>
    <w:compatSetting w:name="compatibilityMode" w:uri="http://schemas.microsoft.com/office/word" w:val="14"/>
    <w:ulTrailSpace/>
  </w:compat>
  <m:mathPr>
    <m:mathFont m:value="Cambria Math"/>
    <m:brkBin m:value="before"/>
    <m:brkBinSub m:value="--"/>
    <m:smallFrac m:value="off"/>
    <m:dispDef/>
    <m:lMargin m:value="0"/>
    <m:rMargin m:value="0"/>
    <m:defJc m:value="centerGroup"/>
    <m:wrapIndent m:value="1440"/>
    <m:intLim m:value="subSup"/>
    <m:naryLim m:value="undOvr"/>
  </m:mathPr>
  <w:themeFontLang w:val="en-US" w:eastAsia="ko-KR"/>
  <w:clrSchemeMapping w:bg1="light1" w:t1="dark1" w:bg2="light2" w:t2="dark2" w:accent1="accent1" w:accent2="accent2" w:accent3="accent3" w:accent4="accent4" w:accent5="accent5" w:accent6="accent6" w:hyperlink="hyperlink" w:followedHyperlink="followedHyperlink"/>
  <w:doNotIncludeSubdocsInSta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w:docDefaults>
    <w:pPrDefault>
      <w:pPr>
        <w:autoSpaceDE w:val="1"/>
        <w:autoSpaceDN w:val="1"/>
        <w:widowControl/>
        <w:wordWrap/>
      </w:pPr>
    </w:pPrDefault>
    <w:rPrDefault>
      <w:rPr>
        <w:rFonts w:ascii="Calibri" w:eastAsia="宋体" w:hAnsi="Calibri"/>
        <w:shd w:val="clear"/>
        <w:sz w:val="20"/>
        <w:szCs w:val="20"/>
        <w:w w:val="100"/>
      </w:rPr>
    </w:rPrDefault>
  </w:docDefaults>
  <w:style w:default="1" w:styleId="PO1" w:type="paragraph">
    <w:name w:val="Normal"/>
    <w:qFormat/>
    <w:uiPriority w:val="1"/>
    <w:pPr>
      <w:autoSpaceDE w:val="1"/>
      <w:autoSpaceDN w:val="1"/>
      <w:jc w:val="both"/>
      <w:widowControl/>
      <w:wordWrap/>
    </w:pPr>
    <w:rPr>
      <w:rFonts w:ascii="Times New Roman" w:eastAsia="Times New Roman" w:hAnsi="Times New Roman"/>
      <w:shd w:val="clear"/>
      <w:sz w:val="21"/>
      <w:szCs w:val="21"/>
      <w:w w:val="100"/>
    </w:rPr>
  </w:style>
  <w:style w:default="1" w:styleId="PO2" w:type="character">
    <w:name w:val="Default Paragraph Font"/>
    <w:uiPriority w:val="2"/>
    <w:semiHidden/>
    <w:unhideWhenUsed/>
  </w:style>
  <w:style w:default="1" w:styleId="PO3" w:type="table">
    <w:name w:val="Normal Table"/>
    <w:basedOn w:val="PO3"/>
    <w:uiPriority w:val="3"/>
    <w:tblPr>
      <w:tblCellMar>
        <w:bottom w:type="dxa" w:w="0"/>
        <w:left w:type="dxa" w:w="108"/>
        <w:right w:type="dxa" w:w="108"/>
        <w:top w:type="dxa" w:w="0"/>
      </w:tblCellMar>
      <w:tblInd w:type="dxa" w:w="0"/>
    </w:tblPr>
  </w:style>
  <w:style w:default="1" w:styleId="PO4" w:type="numbering">
    <w:name w:val="No List"/>
    <w:uiPriority w:val="4"/>
    <w:semiHidden/>
    <w:unhideWhenUsed/>
  </w:style>
  <w:style w:styleId="PO5" w:type="paragraph">
    <w:name w:val="No Spacing"/>
    <w:link w:val="PO-1"/>
    <w:qFormat/>
    <w:uiPriority w:val="5"/>
    <w:pPr>
      <w:autoSpaceDE w:val="1"/>
      <w:autoSpaceDN w:val="1"/>
      <w:jc w:val="both"/>
      <w:widowControl/>
      <w:wordWrap/>
    </w:pPr>
    <w:rPr>
      <w:shd w:val="clear"/>
      <w:sz w:val="21"/>
      <w:szCs w:val="21"/>
      <w:w w:val="100"/>
    </w:rPr>
  </w:style>
  <w:style w:styleId="PO6" w:type="paragraph">
    <w:name w:val="Title"/>
    <w:link w:val="PO-1"/>
    <w:qFormat/>
    <w:uiPriority w:val="6"/>
    <w:pPr>
      <w:autoSpaceDE w:val="1"/>
      <w:autoSpaceDN w:val="1"/>
      <w:jc w:val="center"/>
      <w:widowControl/>
      <w:wordWrap/>
    </w:pPr>
    <w:rPr>
      <w:b/>
      <w:shd w:val="clear"/>
      <w:sz w:val="32"/>
      <w:szCs w:val="32"/>
      <w:w w:val="100"/>
    </w:rPr>
  </w:style>
  <w:style w:styleId="PO7" w:type="paragraph">
    <w:name w:val="heading 1"/>
    <w:link w:val="PO-1"/>
    <w:qFormat/>
    <w:uiPriority w:val="7"/>
    <w:pPr>
      <w:autoSpaceDE w:val="1"/>
      <w:autoSpaceDN w:val="1"/>
      <w:jc w:val="both"/>
      <w:widowControl/>
      <w:wordWrap/>
    </w:pPr>
    <w:rPr>
      <w:shd w:val="clear"/>
      <w:sz w:val="28"/>
      <w:szCs w:val="28"/>
      <w:w w:val="100"/>
    </w:rPr>
  </w:style>
  <w:style w:styleId="PO8" w:type="paragraph">
    <w:name w:val="heading 2"/>
    <w:link w:val="PO-1"/>
    <w:qFormat/>
    <w:uiPriority w:val="8"/>
    <w:pPr>
      <w:autoSpaceDE w:val="1"/>
      <w:autoSpaceDN w:val="1"/>
      <w:jc w:val="both"/>
      <w:widowControl/>
      <w:wordWrap/>
    </w:pPr>
    <w:rPr>
      <w:shd w:val="clear"/>
      <w:sz w:val="21"/>
      <w:szCs w:val="21"/>
      <w:w w:val="100"/>
    </w:rPr>
  </w:style>
  <w:style w:styleId="PO9" w:type="paragraph">
    <w:name w:val="heading 3"/>
    <w:link w:val="PO-1"/>
    <w:qFormat/>
    <w:uiPriority w:val="9"/>
    <w:pPr>
      <w:autoSpaceDE w:val="1"/>
      <w:autoSpaceDN w:val="1"/>
      <w:ind w:left="1000" w:hanging="400"/>
      <w:jc w:val="both"/>
      <w:widowControl/>
      <w:wordWrap/>
    </w:pPr>
    <w:rPr>
      <w:shd w:val="clear"/>
      <w:sz w:val="21"/>
      <w:szCs w:val="21"/>
      <w:w w:val="100"/>
    </w:rPr>
  </w:style>
  <w:style w:styleId="PO10" w:type="paragraph">
    <w:name w:val="heading 4"/>
    <w:link w:val="PO-1"/>
    <w:qFormat/>
    <w:uiPriority w:val="10"/>
    <w:pPr>
      <w:autoSpaceDE w:val="1"/>
      <w:autoSpaceDN w:val="1"/>
      <w:ind w:left="1200" w:hanging="400"/>
      <w:jc w:val="both"/>
      <w:widowControl/>
      <w:wordWrap/>
    </w:pPr>
    <w:rPr>
      <w:b/>
      <w:shd w:val="clear"/>
      <w:sz w:val="21"/>
      <w:szCs w:val="21"/>
      <w:w w:val="100"/>
    </w:rPr>
  </w:style>
  <w:style w:styleId="PO11" w:type="paragraph">
    <w:name w:val="heading 5"/>
    <w:link w:val="PO-1"/>
    <w:qFormat/>
    <w:uiPriority w:val="11"/>
    <w:pPr>
      <w:autoSpaceDE w:val="1"/>
      <w:autoSpaceDN w:val="1"/>
      <w:ind w:left="1400" w:hanging="400"/>
      <w:jc w:val="both"/>
      <w:widowControl/>
      <w:wordWrap/>
    </w:pPr>
    <w:rPr>
      <w:shd w:val="clear"/>
      <w:sz w:val="21"/>
      <w:szCs w:val="21"/>
      <w:w w:val="100"/>
    </w:rPr>
  </w:style>
  <w:style w:styleId="PO12" w:type="paragraph">
    <w:name w:val="heading 6"/>
    <w:link w:val="PO-1"/>
    <w:qFormat/>
    <w:uiPriority w:val="12"/>
    <w:pPr>
      <w:autoSpaceDE w:val="1"/>
      <w:autoSpaceDN w:val="1"/>
      <w:ind w:left="1600" w:hanging="400"/>
      <w:jc w:val="both"/>
      <w:widowControl/>
      <w:wordWrap/>
    </w:pPr>
    <w:rPr>
      <w:b/>
      <w:shd w:val="clear"/>
      <w:sz w:val="21"/>
      <w:szCs w:val="21"/>
      <w:w w:val="100"/>
    </w:rPr>
  </w:style>
  <w:style w:styleId="PO13" w:type="paragraph">
    <w:name w:val="heading 7"/>
    <w:link w:val="PO-1"/>
    <w:qFormat/>
    <w:uiPriority w:val="13"/>
    <w:pPr>
      <w:autoSpaceDE w:val="1"/>
      <w:autoSpaceDN w:val="1"/>
      <w:ind w:left="1800" w:hanging="400"/>
      <w:jc w:val="both"/>
      <w:widowControl/>
      <w:wordWrap/>
    </w:pPr>
    <w:rPr>
      <w:shd w:val="clear"/>
      <w:sz w:val="21"/>
      <w:szCs w:val="21"/>
      <w:w w:val="100"/>
    </w:rPr>
  </w:style>
  <w:style w:styleId="PO14" w:type="paragraph">
    <w:name w:val="heading 8"/>
    <w:link w:val="PO-1"/>
    <w:qFormat/>
    <w:uiPriority w:val="14"/>
    <w:pPr>
      <w:autoSpaceDE w:val="1"/>
      <w:autoSpaceDN w:val="1"/>
      <w:ind w:left="2000" w:hanging="400"/>
      <w:jc w:val="both"/>
      <w:widowControl/>
      <w:wordWrap/>
    </w:pPr>
    <w:rPr>
      <w:shd w:val="clear"/>
      <w:sz w:val="21"/>
      <w:szCs w:val="21"/>
      <w:w w:val="100"/>
    </w:rPr>
  </w:style>
  <w:style w:styleId="PO15" w:type="paragraph">
    <w:name w:val="heading 9"/>
    <w:link w:val="PO-1"/>
    <w:qFormat/>
    <w:uiPriority w:val="15"/>
    <w:pPr>
      <w:autoSpaceDE w:val="1"/>
      <w:autoSpaceDN w:val="1"/>
      <w:ind w:left="2200" w:hanging="400"/>
      <w:jc w:val="both"/>
      <w:widowControl/>
      <w:wordWrap/>
    </w:pPr>
    <w:rPr>
      <w:shd w:val="clear"/>
      <w:sz w:val="21"/>
      <w:szCs w:val="21"/>
      <w:w w:val="100"/>
    </w:rPr>
  </w:style>
  <w:style w:styleId="PO16" w:type="paragraph">
    <w:name w:val="Subtitle"/>
    <w:link w:val="PO-1"/>
    <w:qFormat/>
    <w:uiPriority w:val="16"/>
    <w:pPr>
      <w:autoSpaceDE w:val="1"/>
      <w:autoSpaceDN w:val="1"/>
      <w:jc w:val="center"/>
      <w:widowControl/>
      <w:wordWrap/>
    </w:pPr>
    <w:rPr>
      <w:shd w:val="clear"/>
      <w:sz w:val="24"/>
      <w:szCs w:val="24"/>
      <w:w w:val="100"/>
    </w:rPr>
  </w:style>
  <w:style w:styleId="PO17" w:type="character">
    <w:name w:val="Subtle Emphasis"/>
    <w:qFormat/>
    <w:uiPriority w:val="17"/>
    <w:rPr>
      <w:color w:val="404040"/>
      <w:i/>
      <w:shd w:val="clear"/>
      <w:sz w:val="21"/>
      <w:szCs w:val="21"/>
      <w:w w:val="100"/>
    </w:rPr>
  </w:style>
  <w:style w:styleId="PO18" w:type="character">
    <w:name w:val="Emphasis"/>
    <w:qFormat/>
    <w:uiPriority w:val="18"/>
    <w:rPr>
      <w:i/>
      <w:shd w:val="clear"/>
      <w:sz w:val="21"/>
      <w:szCs w:val="21"/>
      <w:w w:val="100"/>
    </w:rPr>
  </w:style>
  <w:style w:styleId="PO19" w:type="character">
    <w:name w:val="Intense Emphasis"/>
    <w:qFormat/>
    <w:uiPriority w:val="19"/>
    <w:rPr>
      <w:color w:val="5B9BD5"/>
      <w:i/>
      <w:shd w:val="clear"/>
      <w:sz w:val="21"/>
      <w:szCs w:val="21"/>
      <w:w w:val="100"/>
    </w:rPr>
  </w:style>
  <w:style w:styleId="PO20" w:type="character">
    <w:name w:val="Strong"/>
    <w:qFormat/>
    <w:uiPriority w:val="20"/>
    <w:rPr>
      <w:b/>
      <w:shd w:val="clear"/>
      <w:sz w:val="21"/>
      <w:szCs w:val="21"/>
      <w:w w:val="100"/>
    </w:rPr>
  </w:style>
  <w:style w:styleId="PO21" w:type="paragraph">
    <w:name w:val="Quote"/>
    <w:link w:val="PO-1"/>
    <w:qFormat/>
    <w:uiPriority w:val="21"/>
    <w:pPr>
      <w:autoSpaceDE w:val="1"/>
      <w:autoSpaceDN w:val="1"/>
      <w:ind w:left="864" w:right="864" w:firstLine="0"/>
      <w:jc w:val="center"/>
      <w:widowControl/>
      <w:wordWrap/>
    </w:pPr>
    <w:rPr>
      <w:color w:val="404040"/>
      <w:i/>
      <w:shd w:val="clear"/>
      <w:sz w:val="21"/>
      <w:szCs w:val="21"/>
      <w:w w:val="100"/>
    </w:rPr>
  </w:style>
  <w:style w:styleId="PO22" w:type="paragraph">
    <w:name w:val="Intense Quote"/>
    <w:link w:val="PO-1"/>
    <w:qFormat/>
    <w:uiPriority w:val="22"/>
    <w:pPr>
      <w:autoSpaceDE w:val="1"/>
      <w:autoSpaceDN w:val="1"/>
      <w:ind w:left="950" w:right="950" w:firstLine="0"/>
      <w:jc w:val="center"/>
      <w:widowControl/>
      <w:wordWrap/>
    </w:pPr>
    <w:rPr>
      <w:color w:val="5B9BD5"/>
      <w:i/>
      <w:shd w:val="clear"/>
      <w:sz w:val="21"/>
      <w:szCs w:val="21"/>
      <w:w w:val="100"/>
    </w:rPr>
  </w:style>
  <w:style w:styleId="PO23" w:type="character">
    <w:name w:val="Subtle Reference"/>
    <w:qFormat/>
    <w:uiPriority w:val="23"/>
    <w:rPr>
      <w:color w:val="5A5A5A"/>
      <w:shd w:val="clear"/>
      <w:smallCaps/>
      <w:sz w:val="21"/>
      <w:szCs w:val="21"/>
      <w:w w:val="100"/>
    </w:rPr>
  </w:style>
  <w:style w:styleId="PO24" w:type="character">
    <w:name w:val="Intense Reference"/>
    <w:qFormat/>
    <w:uiPriority w:val="24"/>
    <w:rPr>
      <w:color w:val="5B9BD5"/>
      <w:b/>
      <w:shd w:val="clear"/>
      <w:smallCaps/>
      <w:sz w:val="21"/>
      <w:szCs w:val="21"/>
      <w:w w:val="100"/>
    </w:rPr>
  </w:style>
  <w:style w:styleId="PO25" w:type="character">
    <w:name w:val="Book Title"/>
    <w:qFormat/>
    <w:uiPriority w:val="25"/>
    <w:rPr>
      <w:i/>
      <w:b/>
      <w:shd w:val="clear"/>
      <w:sz w:val="21"/>
      <w:szCs w:val="21"/>
      <w:w w:val="100"/>
    </w:rPr>
  </w:style>
  <w:style w:styleId="PO26" w:type="paragraph">
    <w:name w:val="List Paragraph"/>
    <w:link w:val="PO-1"/>
    <w:qFormat/>
    <w:uiPriority w:val="26"/>
    <w:pPr>
      <w:autoSpaceDE w:val="1"/>
      <w:autoSpaceDN w:val="1"/>
      <w:ind w:left="850" w:firstLine="0"/>
      <w:jc w:val="both"/>
      <w:widowControl/>
      <w:wordWrap/>
    </w:pPr>
    <w:rPr>
      <w:shd w:val="clear"/>
      <w:sz w:val="21"/>
      <w:szCs w:val="21"/>
      <w:w w:val="100"/>
    </w:rPr>
  </w:style>
  <w:style w:styleId="PO27" w:type="paragraph">
    <w:name w:val="TOC Heading"/>
    <w:link w:val="PO-1"/>
    <w:qFormat/>
    <w:uiPriority w:val="27"/>
    <w:unhideWhenUsed/>
    <w:pPr>
      <w:autoSpaceDE w:val="1"/>
      <w:autoSpaceDN w:val="1"/>
      <w:widowControl/>
      <w:wordWrap/>
    </w:pPr>
    <w:rPr>
      <w:color w:val="2E74B5"/>
      <w:shd w:val="clear"/>
      <w:sz w:val="32"/>
      <w:szCs w:val="32"/>
      <w:w w:val="100"/>
    </w:rPr>
  </w:style>
  <w:style w:styleId="PO28" w:type="paragraph">
    <w:name w:val="toc 1"/>
    <w:link w:val="PO-1"/>
    <w:qFormat/>
    <w:uiPriority w:val="28"/>
    <w:unhideWhenUsed/>
    <w:pPr>
      <w:autoSpaceDE w:val="1"/>
      <w:autoSpaceDN w:val="1"/>
      <w:jc w:val="both"/>
      <w:widowControl/>
      <w:wordWrap/>
    </w:pPr>
    <w:rPr>
      <w:shd w:val="clear"/>
      <w:sz w:val="21"/>
      <w:szCs w:val="21"/>
      <w:w w:val="100"/>
    </w:rPr>
  </w:style>
  <w:style w:styleId="PO29" w:type="paragraph">
    <w:name w:val="toc 2"/>
    <w:link w:val="PO-1"/>
    <w:qFormat/>
    <w:uiPriority w:val="29"/>
    <w:unhideWhenUsed/>
    <w:pPr>
      <w:autoSpaceDE w:val="1"/>
      <w:autoSpaceDN w:val="1"/>
      <w:ind w:left="425" w:firstLine="0"/>
      <w:jc w:val="both"/>
      <w:widowControl/>
      <w:wordWrap/>
    </w:pPr>
    <w:rPr>
      <w:shd w:val="clear"/>
      <w:sz w:val="21"/>
      <w:szCs w:val="21"/>
      <w:w w:val="100"/>
    </w:rPr>
  </w:style>
  <w:style w:styleId="PO30" w:type="paragraph">
    <w:name w:val="toc 3"/>
    <w:link w:val="PO-1"/>
    <w:qFormat/>
    <w:uiPriority w:val="30"/>
    <w:unhideWhenUsed/>
    <w:pPr>
      <w:autoSpaceDE w:val="1"/>
      <w:autoSpaceDN w:val="1"/>
      <w:ind w:left="850" w:firstLine="0"/>
      <w:jc w:val="both"/>
      <w:widowControl/>
      <w:wordWrap/>
    </w:pPr>
    <w:rPr>
      <w:shd w:val="clear"/>
      <w:sz w:val="21"/>
      <w:szCs w:val="21"/>
      <w:w w:val="100"/>
    </w:rPr>
  </w:style>
  <w:style w:styleId="PO31" w:type="paragraph">
    <w:name w:val="toc 4"/>
    <w:link w:val="PO-1"/>
    <w:qFormat/>
    <w:uiPriority w:val="31"/>
    <w:unhideWhenUsed/>
    <w:pPr>
      <w:autoSpaceDE w:val="1"/>
      <w:autoSpaceDN w:val="1"/>
      <w:ind w:left="1275" w:firstLine="0"/>
      <w:jc w:val="both"/>
      <w:widowControl/>
      <w:wordWrap/>
    </w:pPr>
    <w:rPr>
      <w:shd w:val="clear"/>
      <w:sz w:val="21"/>
      <w:szCs w:val="21"/>
      <w:w w:val="100"/>
    </w:rPr>
  </w:style>
  <w:style w:styleId="PO32" w:type="paragraph">
    <w:name w:val="toc 5"/>
    <w:link w:val="PO-1"/>
    <w:qFormat/>
    <w:uiPriority w:val="32"/>
    <w:unhideWhenUsed/>
    <w:pPr>
      <w:autoSpaceDE w:val="1"/>
      <w:autoSpaceDN w:val="1"/>
      <w:ind w:left="1700" w:firstLine="0"/>
      <w:jc w:val="both"/>
      <w:widowControl/>
      <w:wordWrap/>
    </w:pPr>
    <w:rPr>
      <w:shd w:val="clear"/>
      <w:sz w:val="21"/>
      <w:szCs w:val="21"/>
      <w:w w:val="100"/>
    </w:rPr>
  </w:style>
  <w:style w:styleId="PO33" w:type="paragraph">
    <w:name w:val="toc 6"/>
    <w:link w:val="PO-1"/>
    <w:qFormat/>
    <w:uiPriority w:val="33"/>
    <w:unhideWhenUsed/>
    <w:pPr>
      <w:autoSpaceDE w:val="1"/>
      <w:autoSpaceDN w:val="1"/>
      <w:ind w:left="2125" w:firstLine="0"/>
      <w:jc w:val="both"/>
      <w:widowControl/>
      <w:wordWrap/>
    </w:pPr>
    <w:rPr>
      <w:shd w:val="clear"/>
      <w:sz w:val="21"/>
      <w:szCs w:val="21"/>
      <w:w w:val="100"/>
    </w:rPr>
  </w:style>
  <w:style w:styleId="PO34" w:type="paragraph">
    <w:name w:val="toc 7"/>
    <w:link w:val="PO-1"/>
    <w:qFormat/>
    <w:uiPriority w:val="34"/>
    <w:unhideWhenUsed/>
    <w:pPr>
      <w:autoSpaceDE w:val="1"/>
      <w:autoSpaceDN w:val="1"/>
      <w:ind w:left="2550" w:firstLine="0"/>
      <w:jc w:val="both"/>
      <w:widowControl/>
      <w:wordWrap/>
    </w:pPr>
    <w:rPr>
      <w:shd w:val="clear"/>
      <w:sz w:val="21"/>
      <w:szCs w:val="21"/>
      <w:w w:val="100"/>
    </w:rPr>
  </w:style>
  <w:style w:styleId="PO35" w:type="paragraph">
    <w:name w:val="toc 8"/>
    <w:link w:val="PO-1"/>
    <w:qFormat/>
    <w:uiPriority w:val="35"/>
    <w:unhideWhenUsed/>
    <w:pPr>
      <w:autoSpaceDE w:val="1"/>
      <w:autoSpaceDN w:val="1"/>
      <w:ind w:left="2975" w:firstLine="0"/>
      <w:jc w:val="both"/>
      <w:widowControl/>
      <w:wordWrap/>
    </w:pPr>
    <w:rPr>
      <w:shd w:val="clear"/>
      <w:sz w:val="21"/>
      <w:szCs w:val="21"/>
      <w:w w:val="100"/>
    </w:rPr>
  </w:style>
  <w:style w:styleId="PO36" w:type="paragraph">
    <w:name w:val="toc 9"/>
    <w:link w:val="PO-1"/>
    <w:qFormat/>
    <w:uiPriority w:val="36"/>
    <w:unhideWhenUsed/>
    <w:pPr>
      <w:autoSpaceDE w:val="1"/>
      <w:autoSpaceDN w:val="1"/>
      <w:ind w:left="3400" w:firstLine="0"/>
      <w:jc w:val="both"/>
      <w:widowControl/>
      <w:wordWrap/>
    </w:pPr>
    <w:rPr>
      <w:shd w:val="clear"/>
      <w:sz w:val="21"/>
      <w:szCs w:val="21"/>
      <w:w w:val="100"/>
    </w:rPr>
  </w:style>
  <w:style w:default="1" w:styleId="PO37" w:type="table">
    <w:name w:val="Normal Table"/>
    <w:basedOn w:val="PO3"/>
    <w:uiPriority w:val="37"/>
    <w:tblPr>
      <w:tblCellMar>
        <w:bottom w:type="dxa" w:w="0"/>
        <w:left w:type="dxa" w:w="108"/>
        <w:right w:type="dxa" w:w="108"/>
        <w:top w:type="dxa" w:w="0"/>
      </w:tblCellMar>
      <w:tblInd w:type="dxa" w:w="0"/>
    </w:tblPr>
  </w:style>
  <w:style w:styleId="PO152" w:type="paragraph">
    <w:name w:val="Body Text Indent"/>
    <w:basedOn w:val="PO1"/>
    <w:link w:val="PO157"/>
    <w:qFormat/>
    <w:uiPriority w:val="152"/>
    <w:pPr>
      <w:autoSpaceDE w:val="1"/>
      <w:autoSpaceDN w:val="1"/>
      <w:ind w:firstLine="480"/>
      <w:widowControl/>
      <w:wordWrap/>
    </w:pPr>
    <w:rPr>
      <w:rFonts w:ascii="楷体_GB2312" w:eastAsia="楷体_GB2312" w:hAnsi="楷体_GB2312"/>
      <w:shd w:val="clear"/>
      <w:sz w:val="24"/>
      <w:szCs w:val="24"/>
      <w:w w:val="100"/>
    </w:rPr>
  </w:style>
  <w:style w:styleId="PO153" w:type="paragraph">
    <w:name w:val="footer"/>
    <w:basedOn w:val="PO1"/>
    <w:link w:val="PO156"/>
    <w:uiPriority w:val="153"/>
    <w:unhideWhenUsed/>
    <w:pPr>
      <w:autoSpaceDE w:val="1"/>
      <w:autoSpaceDN w:val="1"/>
      <w:tabs>
        <w:tab w:val="center" w:pos="4153"/>
        <w:tab w:val="right" w:pos="8306"/>
      </w:tabs>
      <w:widowControl/>
      <w:wordWrap/>
    </w:pPr>
    <w:rPr>
      <w:rFonts w:ascii="Calibri" w:eastAsia="宋体" w:hAnsi="Calibri"/>
      <w:shd w:val="clear"/>
      <w:sz w:val="18"/>
      <w:szCs w:val="18"/>
      <w:w w:val="100"/>
    </w:rPr>
  </w:style>
  <w:style w:styleId="PO154" w:type="paragraph">
    <w:name w:val="header"/>
    <w:basedOn w:val="PO1"/>
    <w:link w:val="PO155"/>
    <w:uiPriority w:val="154"/>
    <w:unhideWhenUsed/>
    <w:pPr>
      <w:autoSpaceDE w:val="1"/>
      <w:autoSpaceDN w:val="1"/>
      <w:jc w:val="center"/>
      <w:tabs>
        <w:tab w:val="center" w:pos="4153"/>
        <w:tab w:val="right" w:pos="8306"/>
      </w:tabs>
      <w:widowControl/>
      <w:wordWrap/>
    </w:pPr>
    <w:rPr>
      <w:rFonts w:ascii="Calibri" w:eastAsia="宋体" w:hAnsi="Calibri"/>
      <w:shd w:val="clear"/>
      <w:sz w:val="18"/>
      <w:szCs w:val="18"/>
      <w:w w:val="100"/>
    </w:rPr>
  </w:style>
  <w:style w:customStyle="1" w:styleId="PO155" w:type="character">
    <w:name w:val="页眉 字符"/>
    <w:basedOn w:val="PO2"/>
    <w:link w:val="PO154"/>
    <w:uiPriority w:val="155"/>
    <w:rPr>
      <w:shd w:val="clear"/>
      <w:sz w:val="18"/>
      <w:szCs w:val="18"/>
      <w:w w:val="100"/>
    </w:rPr>
  </w:style>
  <w:style w:customStyle="1" w:styleId="PO156" w:type="character">
    <w:name w:val="页脚 字符"/>
    <w:basedOn w:val="PO2"/>
    <w:link w:val="PO153"/>
    <w:uiPriority w:val="156"/>
    <w:rPr>
      <w:shd w:val="clear"/>
      <w:sz w:val="18"/>
      <w:szCs w:val="18"/>
      <w:w w:val="100"/>
    </w:rPr>
  </w:style>
  <w:style w:customStyle="1" w:styleId="PO157" w:type="character">
    <w:name w:val="正文文本缩进 字符"/>
    <w:basedOn w:val="PO2"/>
    <w:link w:val="PO152"/>
    <w:uiPriority w:val="157"/>
    <w:rPr>
      <w:rFonts w:ascii="楷体_GB2312" w:eastAsia="Times New Roman" w:hAnsi="楷体_GB2312"/>
      <w:shd w:val="clear"/>
      <w:sz w:val="24"/>
      <w:szCs w:val="24"/>
      <w:w w:val="10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Relationships xmlns="http://schemas.openxmlformats.org/package/2006/relationships"><Relationship Id="rId1" Type="http://schemas.openxmlformats.org/officeDocument/2006/relationships/webSettings" Target="webSettings.xml"></Relationship><Relationship Id="rId2" Type="http://schemas.openxmlformats.org/officeDocument/2006/relationships/fontTable" Target="fontTable.xml"></Relationship><Relationship Id="rId3" Type="http://schemas.openxmlformats.org/officeDocument/2006/relationships/settings" Target="settings.xml"></Relationship><Relationship Id="rId4" Type="http://schemas.openxmlformats.org/officeDocument/2006/relationships/styles" Target="styles.xml"></Relationship><Relationship Id="rId5" Type="http://schemas.openxmlformats.org/officeDocument/2006/relationships/theme" Target="theme/theme1.xml"></Relationship></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JisuOffice Write</Application>
  <AppVersion>12.000</AppVersion>
  <Characters>0</Characters>
  <CharactersWithSpaces>0</CharactersWithSpaces>
  <DocSecurity>0</DocSecurity>
  <HyperlinksChanged>false</HyperlinksChanged>
  <Lines>14</Lines>
  <LinksUpToDate>false</LinksUpToDate>
  <Pages>3</Pages>
  <Paragraphs>4</Paragraphs>
  <Words>308</Words>
  <TotalTime>0</TotalTime>
  <MMClips>0</MMClips>
  <ScaleCrop>false</ScaleCrop>
  <HeadingPairs>
    <vt:vector size="2" baseType="variant">
      <vt:variant>
        <vt:lpstr>제목</vt:lpstr>
      </vt:variant>
      <vt:variant>
        <vt:i4>1</vt:i4>
      </vt:variant>
    </vt:vector>
  </HeadingPairs>
  <TitlesOfParts>
    <vt:vector size="1" baseType="lpstr">
      <vt:lpstr>Title text</vt:lpstr>
    </vt:vector>
  </TitlesOfParts>
  <SharedDoc>false</SharedDoc>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3</cp:revision>
  <dc:creator>huayu</dc:creator>
  <cp:lastModifiedBy/>
  <dcterms:modified xsi:type="dcterms:W3CDTF">2021-10-20T11:02:00Z</dcterms:modified>
</cp:coreProperties>
</file>