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948"/>
          <w:tab w:val="center" w:pos="4477"/>
        </w:tabs>
        <w:spacing w:line="560" w:lineRule="exact"/>
        <w:ind w:firstLine="649" w:firstLineChars="147"/>
        <w:rPr>
          <w:rFonts w:ascii="黑体" w:hAnsi="黑体" w:eastAsia="黑体" w:cs="微软雅黑"/>
          <w:b/>
          <w:bCs/>
          <w:sz w:val="44"/>
          <w:szCs w:val="44"/>
        </w:rPr>
      </w:pPr>
      <w:r>
        <w:rPr>
          <w:rFonts w:hint="eastAsia" w:ascii="宋体" w:hAnsi="宋体" w:cs="微软雅黑"/>
          <w:b/>
          <w:bCs/>
          <w:color w:val="FF0000"/>
          <w:sz w:val="44"/>
          <w:szCs w:val="4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eastAsia="仿宋_GB2312"/>
          <w:b/>
          <w:bCs/>
          <w:sz w:val="36"/>
          <w:szCs w:val="36"/>
          <w:lang w:eastAsia="zh-CN"/>
        </w:rPr>
      </w:pPr>
      <w:r>
        <w:rPr>
          <w:rFonts w:hint="eastAsia" w:ascii="宋体" w:hAnsi="宋体" w:eastAsia="宋体" w:cs="宋体"/>
          <w:b/>
          <w:bCs/>
          <w:color w:val="000000"/>
          <w:sz w:val="44"/>
          <w:szCs w:val="44"/>
        </w:rPr>
        <w:t>河北一加一教育科技</w:t>
      </w:r>
      <w:r>
        <w:rPr>
          <w:rFonts w:hint="eastAsia" w:ascii="宋体" w:hAnsi="宋体" w:eastAsia="宋体" w:cs="宋体"/>
          <w:b/>
          <w:bCs/>
          <w:sz w:val="44"/>
          <w:szCs w:val="44"/>
        </w:rPr>
        <w:t>有限公司</w:t>
      </w:r>
      <w:r>
        <w:rPr>
          <w:rFonts w:hint="eastAsia" w:ascii="宋体" w:hAnsi="宋体" w:eastAsia="宋体" w:cs="宋体"/>
          <w:b/>
          <w:bCs/>
          <w:sz w:val="44"/>
          <w:szCs w:val="44"/>
          <w:lang w:eastAsia="zh-CN"/>
        </w:rPr>
        <w:t>破产清算案</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cs="微软雅黑"/>
          <w:b/>
          <w:bCs/>
          <w:sz w:val="44"/>
          <w:szCs w:val="44"/>
        </w:rPr>
      </w:pPr>
      <w:r>
        <w:rPr>
          <w:rFonts w:hint="eastAsia"/>
          <w:b/>
          <w:bCs/>
          <w:sz w:val="44"/>
          <w:szCs w:val="44"/>
          <w:lang w:eastAsia="zh-CN"/>
        </w:rPr>
        <w:t>破产财产分配方案</w:t>
      </w:r>
    </w:p>
    <w:p>
      <w:pPr>
        <w:spacing w:line="520" w:lineRule="exact"/>
        <w:jc w:val="right"/>
        <w:rPr>
          <w:rFonts w:ascii="仿宋" w:hAnsi="仿宋" w:eastAsia="仿宋"/>
          <w:sz w:val="28"/>
          <w:szCs w:val="28"/>
        </w:rPr>
      </w:pP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lang w:val="en-US"/>
        </w:rPr>
      </w:pPr>
      <w:r>
        <w:rPr>
          <w:rFonts w:hint="eastAsia" w:ascii="仿宋" w:hAnsi="仿宋" w:eastAsia="仿宋" w:cs="仿宋"/>
          <w:sz w:val="32"/>
          <w:szCs w:val="32"/>
          <w:lang w:val="en-US" w:eastAsia="zh-CN"/>
        </w:rPr>
        <w:t>2024年5月30日，石家庄市中级人民法院作出（2024）冀01破申13号之民事裁定书，裁定受理河北一加一教育科技有限公司（以下简称“一加一公司”或“债务人”）的破产清算一案，并指定石家庄市裕华区人民法院（以下简称“裕华法院”）审理。裕华法院于2024年5月31日作出（2024）冀0108破2号之决定书，指定河北天宏律师事务所担任河北一加一教育科技有限公司管理人，负责开展破产清算工作。</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根据</w:t>
      </w:r>
      <w:r>
        <w:rPr>
          <w:rFonts w:hint="eastAsia" w:ascii="仿宋" w:hAnsi="仿宋" w:eastAsia="仿宋" w:cs="仿宋"/>
          <w:sz w:val="32"/>
          <w:szCs w:val="32"/>
        </w:rPr>
        <w:t>《中华人民共和国企业破产法》</w:t>
      </w:r>
      <w:r>
        <w:rPr>
          <w:rFonts w:hint="eastAsia" w:ascii="仿宋" w:hAnsi="仿宋" w:eastAsia="仿宋" w:cs="仿宋"/>
          <w:sz w:val="32"/>
          <w:szCs w:val="32"/>
          <w:lang w:eastAsia="zh-CN"/>
        </w:rPr>
        <w:t>（以下简称“《企业破产法》”）第四十一条、第四十二条、第四十三条、第一百一十三条、第一百一十四条、第一百一十五条的规定，为依法公平实现全体债权人的清偿权益，管理人制度本破产财产分配方案，提交本次债权人会议审议表决。</w:t>
      </w:r>
    </w:p>
    <w:p>
      <w:pPr>
        <w:keepNext w:val="0"/>
        <w:keepLines w:val="0"/>
        <w:pageBreakBefore w:val="0"/>
        <w:kinsoku/>
        <w:wordWrap/>
        <w:overflowPunct/>
        <w:topLinePunct w:val="0"/>
        <w:autoSpaceDE/>
        <w:autoSpaceDN/>
        <w:bidi w:val="0"/>
        <w:adjustRightInd/>
        <w:snapToGrid/>
        <w:spacing w:line="240" w:lineRule="auto"/>
        <w:ind w:firstLine="643" w:firstLineChars="20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eastAsia="zh-CN"/>
        </w:rPr>
        <w:t>一、分配前提</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经管理人前期调查一加一公司财产情况，一加一公司目前无财产，但对股东有注册资本实缴债权。在债权人通过诉讼方式追收股东出资且追回财产的前提下，按照债权人会议表决通过的分配方案予以分配。</w:t>
      </w:r>
    </w:p>
    <w:p>
      <w:pPr>
        <w:keepNext w:val="0"/>
        <w:keepLines w:val="0"/>
        <w:pageBreakBefore w:val="0"/>
        <w:kinsoku/>
        <w:wordWrap/>
        <w:overflowPunct/>
        <w:topLinePunct w:val="0"/>
        <w:autoSpaceDE/>
        <w:autoSpaceDN/>
        <w:bidi w:val="0"/>
        <w:adjustRightInd/>
        <w:snapToGrid/>
        <w:spacing w:line="240" w:lineRule="auto"/>
        <w:ind w:firstLine="643" w:firstLineChars="200"/>
        <w:textAlignment w:val="auto"/>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二、参与破产财产分配的债权情况</w:t>
      </w:r>
    </w:p>
    <w:p>
      <w:pPr>
        <w:keepNext w:val="0"/>
        <w:keepLines w:val="0"/>
        <w:pageBreakBefore w:val="0"/>
        <w:kinsoku/>
        <w:wordWrap/>
        <w:overflowPunct/>
        <w:topLinePunct w:val="0"/>
        <w:autoSpaceDE/>
        <w:autoSpaceDN/>
        <w:bidi w:val="0"/>
        <w:adjustRightInd/>
        <w:snapToGrid/>
        <w:spacing w:line="240" w:lineRule="auto"/>
        <w:ind w:firstLine="56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（一）</w:t>
      </w:r>
      <w:r>
        <w:rPr>
          <w:rFonts w:hint="eastAsia" w:ascii="仿宋" w:hAnsi="仿宋" w:eastAsia="仿宋" w:cs="仿宋"/>
          <w:sz w:val="32"/>
          <w:szCs w:val="32"/>
          <w:lang w:val="en-US" w:eastAsia="zh-CN"/>
        </w:rPr>
        <w:t>截至2024年7月3日，</w:t>
      </w:r>
      <w:r>
        <w:rPr>
          <w:rFonts w:hint="eastAsia" w:ascii="仿宋" w:hAnsi="仿宋" w:eastAsia="仿宋" w:cs="仿宋"/>
          <w:color w:val="auto"/>
          <w:sz w:val="32"/>
          <w:szCs w:val="32"/>
          <w:lang w:val="en-US" w:eastAsia="zh-CN"/>
        </w:rPr>
        <w:t>债权人共有36户，合计审定债权金额为人民币514923.22元，其中：职工债权19883.74元，涉及债权人1户；普通债权495039.48元，涉及债权人35户</w:t>
      </w:r>
      <w:bookmarkStart w:id="0" w:name="_GoBack"/>
      <w:bookmarkEnd w:id="0"/>
      <w:r>
        <w:rPr>
          <w:rFonts w:hint="eastAsia" w:ascii="仿宋" w:hAnsi="仿宋" w:eastAsia="仿宋" w:cs="仿宋"/>
          <w:color w:val="auto"/>
          <w:sz w:val="32"/>
          <w:szCs w:val="32"/>
          <w:lang w:val="en-US" w:eastAsia="zh-CN"/>
        </w:rPr>
        <w:t>。</w:t>
      </w:r>
      <w:r>
        <w:rPr>
          <w:rFonts w:hint="eastAsia" w:ascii="仿宋" w:hAnsi="仿宋" w:eastAsia="仿宋" w:cs="仿宋"/>
          <w:sz w:val="32"/>
          <w:szCs w:val="32"/>
          <w:lang w:val="en-US" w:eastAsia="zh-CN"/>
        </w:rPr>
        <w:t>最终债权金额以债权人会议核查并经裕华法院裁定无异议债权为准。</w:t>
      </w:r>
    </w:p>
    <w:p>
      <w:pPr>
        <w:keepNext w:val="0"/>
        <w:keepLines w:val="0"/>
        <w:pageBreakBefore w:val="0"/>
        <w:kinsoku/>
        <w:wordWrap/>
        <w:overflowPunct/>
        <w:topLinePunct w:val="0"/>
        <w:autoSpaceDE/>
        <w:autoSpaceDN/>
        <w:bidi w:val="0"/>
        <w:adjustRightInd/>
        <w:snapToGrid/>
        <w:spacing w:line="240" w:lineRule="auto"/>
        <w:ind w:firstLine="56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二）根据《企业破产法》第五十六条的规定，在人民法院确定的债权申报期限内，债权人未申报债权的，可以在破产财产最后分配前补充申报；但是，此前已进行的分配，不再对其补充分配。为审查和确认补充申报债权的费用，由补充申报人承担。因此，如果在本案破产财产分配方案经债权人会议表决通过后，又有补充申报的债权，管理人将按照上述法律规定进行处理。</w:t>
      </w:r>
    </w:p>
    <w:p>
      <w:pPr>
        <w:keepNext w:val="0"/>
        <w:keepLines w:val="0"/>
        <w:pageBreakBefore w:val="0"/>
        <w:kinsoku/>
        <w:wordWrap/>
        <w:overflowPunct/>
        <w:topLinePunct w:val="0"/>
        <w:autoSpaceDE/>
        <w:autoSpaceDN/>
        <w:bidi w:val="0"/>
        <w:adjustRightInd/>
        <w:snapToGrid/>
        <w:spacing w:line="240" w:lineRule="auto"/>
        <w:ind w:firstLine="560"/>
        <w:textAlignment w:val="auto"/>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三、可供分配的破产财产</w:t>
      </w:r>
    </w:p>
    <w:p>
      <w:pPr>
        <w:keepNext w:val="0"/>
        <w:keepLines w:val="0"/>
        <w:pageBreakBefore w:val="0"/>
        <w:kinsoku/>
        <w:wordWrap/>
        <w:overflowPunct/>
        <w:topLinePunct w:val="0"/>
        <w:autoSpaceDE/>
        <w:autoSpaceDN/>
        <w:bidi w:val="0"/>
        <w:adjustRightInd/>
        <w:snapToGrid/>
        <w:spacing w:line="240" w:lineRule="auto"/>
        <w:ind w:firstLine="56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经管理人调查，可供分配的破产财产为一加一公司享有的对股东闫琳博、崔建茹等的注册资本追缴债权。该债权需经诉讼程序进行追收，最终以诉讼结果与执行回款结果为准。</w:t>
      </w:r>
    </w:p>
    <w:p>
      <w:pPr>
        <w:keepNext w:val="0"/>
        <w:keepLines w:val="0"/>
        <w:pageBreakBefore w:val="0"/>
        <w:kinsoku/>
        <w:wordWrap/>
        <w:overflowPunct/>
        <w:topLinePunct w:val="0"/>
        <w:autoSpaceDE/>
        <w:autoSpaceDN/>
        <w:bidi w:val="0"/>
        <w:adjustRightInd/>
        <w:snapToGrid/>
        <w:spacing w:line="240" w:lineRule="auto"/>
        <w:ind w:firstLine="560"/>
        <w:textAlignment w:val="auto"/>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四、破产费用、共益债务和有财产担保债权</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48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（一）破产费用</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480"/>
        <w:textAlignment w:val="auto"/>
        <w:rPr>
          <w:rFonts w:hint="eastAsia" w:ascii="仿宋" w:hAnsi="仿宋" w:eastAsia="仿宋" w:cs="仿宋"/>
          <w:i w:val="0"/>
          <w:iCs w:val="0"/>
          <w:caps w:val="0"/>
          <w:color w:val="auto"/>
          <w:spacing w:val="0"/>
          <w:sz w:val="32"/>
          <w:szCs w:val="32"/>
          <w:shd w:val="clear" w:fill="FFFFFF"/>
          <w:lang w:eastAsia="zh-CN"/>
        </w:rPr>
      </w:pPr>
      <w:r>
        <w:rPr>
          <w:rFonts w:hint="eastAsia" w:ascii="仿宋" w:hAnsi="仿宋" w:eastAsia="仿宋" w:cs="仿宋"/>
          <w:color w:val="auto"/>
          <w:sz w:val="32"/>
          <w:szCs w:val="32"/>
          <w:lang w:val="en-US" w:eastAsia="zh-CN"/>
        </w:rPr>
        <w:t>《企业破产法》第四十一条规定，下列费用属于破产费用：</w:t>
      </w:r>
      <w:r>
        <w:rPr>
          <w:rFonts w:hint="eastAsia" w:ascii="仿宋" w:hAnsi="仿宋" w:eastAsia="仿宋" w:cs="仿宋"/>
          <w:i w:val="0"/>
          <w:iCs w:val="0"/>
          <w:caps w:val="0"/>
          <w:color w:val="auto"/>
          <w:spacing w:val="0"/>
          <w:sz w:val="32"/>
          <w:szCs w:val="32"/>
          <w:shd w:val="clear" w:fill="FFFFFF"/>
        </w:rPr>
        <w:t>破产案件的诉讼费用；管理、变价和分配债务人财产的费用；管理人执行职务的费用、报酬和聘用工作人员的费用</w:t>
      </w:r>
      <w:r>
        <w:rPr>
          <w:rFonts w:hint="eastAsia" w:ascii="仿宋" w:hAnsi="仿宋" w:eastAsia="仿宋" w:cs="仿宋"/>
          <w:i w:val="0"/>
          <w:iCs w:val="0"/>
          <w:caps w:val="0"/>
          <w:color w:val="auto"/>
          <w:spacing w:val="0"/>
          <w:sz w:val="32"/>
          <w:szCs w:val="32"/>
          <w:shd w:val="clear" w:fill="FFFFFF"/>
          <w:lang w:eastAsia="zh-CN"/>
        </w:rPr>
        <w:t>。破产费用以最终实际使用和发生的金额为准。</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48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（二）共益债务</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480"/>
        <w:textAlignment w:val="auto"/>
        <w:rPr>
          <w:rFonts w:hint="default" w:ascii="仿宋" w:hAnsi="仿宋" w:eastAsia="仿宋" w:cs="仿宋"/>
          <w:i w:val="0"/>
          <w:iCs w:val="0"/>
          <w:caps w:val="0"/>
          <w:color w:val="auto"/>
          <w:spacing w:val="0"/>
          <w:sz w:val="32"/>
          <w:szCs w:val="32"/>
          <w:shd w:val="clear" w:fill="FFFFFF"/>
        </w:rPr>
      </w:pPr>
      <w:r>
        <w:rPr>
          <w:rFonts w:hint="eastAsia" w:ascii="仿宋" w:hAnsi="仿宋" w:eastAsia="仿宋" w:cs="仿宋"/>
          <w:i w:val="0"/>
          <w:iCs w:val="0"/>
          <w:caps w:val="0"/>
          <w:color w:val="auto"/>
          <w:spacing w:val="0"/>
          <w:sz w:val="32"/>
          <w:szCs w:val="32"/>
          <w:shd w:val="clear" w:fill="FFFFFF"/>
          <w:lang w:val="en-US" w:eastAsia="zh-CN"/>
        </w:rPr>
        <w:t>《企业破产法》第四十二条规定，</w:t>
      </w:r>
      <w:r>
        <w:rPr>
          <w:rFonts w:hint="eastAsia" w:ascii="仿宋" w:hAnsi="仿宋" w:eastAsia="仿宋" w:cs="仿宋"/>
          <w:i w:val="0"/>
          <w:iCs w:val="0"/>
          <w:caps w:val="0"/>
          <w:color w:val="auto"/>
          <w:spacing w:val="0"/>
          <w:sz w:val="32"/>
          <w:szCs w:val="32"/>
          <w:shd w:val="clear" w:fill="FFFFFF"/>
        </w:rPr>
        <w:t>人民法院受理破产申请后发生的下列债务，为共益债务：</w:t>
      </w:r>
      <w:r>
        <w:rPr>
          <w:rFonts w:hint="default" w:ascii="仿宋" w:hAnsi="仿宋" w:eastAsia="仿宋" w:cs="仿宋"/>
          <w:i w:val="0"/>
          <w:iCs w:val="0"/>
          <w:caps w:val="0"/>
          <w:color w:val="auto"/>
          <w:spacing w:val="0"/>
          <w:sz w:val="32"/>
          <w:szCs w:val="32"/>
          <w:shd w:val="clear" w:fill="FFFFFF"/>
        </w:rPr>
        <w:t>因管理人或者债务人请求对方当事人履行双方均未履行完毕的合同所产生的债务；债务人财产受无因管理所产生的债务；因债务人不当得利所产生的债务；为债务人继续营业而应支付的劳动报酬和社会保险费用以及由此产生的其他债务；管理人或者相关人员执行职务致人损害所产生的债务；债务人财产致人损害所产生的债务。</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480"/>
        <w:textAlignment w:val="auto"/>
        <w:rPr>
          <w:rFonts w:hint="eastAsia" w:ascii="仿宋" w:hAnsi="仿宋" w:eastAsia="仿宋" w:cs="仿宋"/>
          <w:i w:val="0"/>
          <w:iCs w:val="0"/>
          <w:caps w:val="0"/>
          <w:color w:val="auto"/>
          <w:spacing w:val="0"/>
          <w:sz w:val="32"/>
          <w:szCs w:val="32"/>
          <w:shd w:val="clear" w:fill="FFFFFF"/>
          <w:lang w:eastAsia="zh-CN"/>
        </w:rPr>
      </w:pPr>
      <w:r>
        <w:rPr>
          <w:rFonts w:hint="eastAsia" w:ascii="仿宋" w:hAnsi="仿宋" w:eastAsia="仿宋" w:cs="仿宋"/>
          <w:i w:val="0"/>
          <w:iCs w:val="0"/>
          <w:caps w:val="0"/>
          <w:color w:val="auto"/>
          <w:spacing w:val="0"/>
          <w:sz w:val="32"/>
          <w:szCs w:val="32"/>
          <w:shd w:val="clear" w:fill="FFFFFF"/>
          <w:lang w:eastAsia="zh-CN"/>
        </w:rPr>
        <w:t>（三）有财产担保债权</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480"/>
        <w:textAlignment w:val="auto"/>
        <w:rPr>
          <w:rFonts w:hint="eastAsia" w:ascii="仿宋" w:hAnsi="仿宋" w:eastAsia="仿宋" w:cs="仿宋"/>
          <w:i w:val="0"/>
          <w:iCs w:val="0"/>
          <w:caps w:val="0"/>
          <w:color w:val="auto"/>
          <w:spacing w:val="0"/>
          <w:sz w:val="32"/>
          <w:szCs w:val="32"/>
          <w:shd w:val="clear" w:fill="FFFFFF"/>
          <w:lang w:val="en-US" w:eastAsia="zh-CN"/>
        </w:rPr>
      </w:pPr>
      <w:r>
        <w:rPr>
          <w:rFonts w:hint="eastAsia" w:ascii="仿宋" w:hAnsi="仿宋" w:eastAsia="仿宋" w:cs="仿宋"/>
          <w:i w:val="0"/>
          <w:iCs w:val="0"/>
          <w:caps w:val="0"/>
          <w:color w:val="auto"/>
          <w:spacing w:val="0"/>
          <w:sz w:val="32"/>
          <w:szCs w:val="32"/>
          <w:shd w:val="clear" w:fill="FFFFFF"/>
          <w:lang w:val="en-US" w:eastAsia="zh-CN"/>
        </w:rPr>
        <w:t>根据《企业破产法》第一百零九条的规定，对债务人的特定财产享有担保权的债权人，对该特定财产享有优先受偿的权利。特定财产评估价值（如已经处置变现的，则以实际变现价值为准）未能覆盖全部债权金额的，差额部分转为普通债权进行清偿。</w:t>
      </w:r>
    </w:p>
    <w:p>
      <w:pPr>
        <w:keepNext w:val="0"/>
        <w:keepLines w:val="0"/>
        <w:pageBreakBefore w:val="0"/>
        <w:kinsoku/>
        <w:wordWrap/>
        <w:overflowPunct/>
        <w:topLinePunct w:val="0"/>
        <w:autoSpaceDE/>
        <w:autoSpaceDN/>
        <w:bidi w:val="0"/>
        <w:adjustRightInd/>
        <w:snapToGrid/>
        <w:spacing w:line="240" w:lineRule="auto"/>
        <w:ind w:firstLine="560"/>
        <w:textAlignment w:val="auto"/>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五、破产财产分配的顺序和比例</w:t>
      </w:r>
    </w:p>
    <w:p>
      <w:pPr>
        <w:keepNext w:val="0"/>
        <w:keepLines w:val="0"/>
        <w:pageBreakBefore w:val="0"/>
        <w:kinsoku/>
        <w:wordWrap/>
        <w:overflowPunct/>
        <w:topLinePunct w:val="0"/>
        <w:autoSpaceDE/>
        <w:autoSpaceDN/>
        <w:bidi w:val="0"/>
        <w:adjustRightInd/>
        <w:snapToGrid/>
        <w:spacing w:line="240" w:lineRule="auto"/>
        <w:ind w:firstLine="560"/>
        <w:textAlignment w:val="auto"/>
        <w:rPr>
          <w:rFonts w:hint="eastAsia" w:ascii="仿宋" w:hAnsi="仿宋" w:eastAsia="仿宋" w:cs="仿宋"/>
          <w:i w:val="0"/>
          <w:iCs w:val="0"/>
          <w:caps w:val="0"/>
          <w:color w:val="auto"/>
          <w:spacing w:val="0"/>
          <w:kern w:val="2"/>
          <w:sz w:val="32"/>
          <w:szCs w:val="32"/>
          <w:shd w:val="clear" w:fill="FFFFFF"/>
          <w:lang w:val="en-US" w:eastAsia="zh-CN" w:bidi="ar-SA"/>
        </w:rPr>
      </w:pPr>
      <w:r>
        <w:rPr>
          <w:rFonts w:hint="eastAsia" w:ascii="仿宋" w:hAnsi="仿宋" w:eastAsia="仿宋" w:cs="仿宋"/>
          <w:i w:val="0"/>
          <w:iCs w:val="0"/>
          <w:caps w:val="0"/>
          <w:color w:val="auto"/>
          <w:spacing w:val="0"/>
          <w:kern w:val="2"/>
          <w:sz w:val="32"/>
          <w:szCs w:val="32"/>
          <w:shd w:val="clear" w:fill="FFFFFF"/>
          <w:lang w:val="en-US" w:eastAsia="zh-CN" w:bidi="ar-SA"/>
        </w:rPr>
        <w:t>（一）依据《企业破产法》第一百一十三条的规定，本案破产财产在优先清偿破产费用和共益债务后后，依照下列顺序清偿：</w:t>
      </w:r>
    </w:p>
    <w:p>
      <w:pPr>
        <w:pStyle w:val="5"/>
        <w:keepNext w:val="0"/>
        <w:keepLines w:val="0"/>
        <w:widowControl/>
        <w:suppressLineNumbers w:val="0"/>
        <w:spacing w:before="0" w:beforeAutospacing="0" w:after="0" w:afterAutospacing="0" w:line="420" w:lineRule="atLeast"/>
        <w:ind w:right="0" w:firstLine="640" w:firstLineChars="200"/>
        <w:rPr>
          <w:rFonts w:hint="eastAsia" w:ascii="仿宋" w:hAnsi="仿宋" w:eastAsia="仿宋" w:cs="仿宋"/>
          <w:i w:val="0"/>
          <w:iCs w:val="0"/>
          <w:caps w:val="0"/>
          <w:color w:val="auto"/>
          <w:spacing w:val="0"/>
          <w:kern w:val="2"/>
          <w:sz w:val="32"/>
          <w:szCs w:val="32"/>
          <w:shd w:val="clear" w:fill="FFFFFF"/>
          <w:lang w:val="en-US" w:eastAsia="zh-CN" w:bidi="ar-SA"/>
        </w:rPr>
      </w:pPr>
      <w:r>
        <w:rPr>
          <w:rFonts w:hint="eastAsia" w:ascii="仿宋" w:hAnsi="仿宋" w:eastAsia="仿宋" w:cs="仿宋"/>
          <w:i w:val="0"/>
          <w:iCs w:val="0"/>
          <w:caps w:val="0"/>
          <w:color w:val="auto"/>
          <w:spacing w:val="0"/>
          <w:kern w:val="2"/>
          <w:sz w:val="32"/>
          <w:szCs w:val="32"/>
          <w:shd w:val="clear" w:fill="FFFFFF"/>
          <w:lang w:val="en-US" w:eastAsia="zh-CN" w:bidi="ar-SA"/>
        </w:rPr>
        <w:t>1、破产人所欠职工的工资和医疗、伤残补助、抚恤费用，所欠的应当划入职工个人账户的基本养老保险、基本医疗保险费用，以及法律、行政法规规定应当支付给职工的补偿金；</w:t>
      </w:r>
    </w:p>
    <w:p>
      <w:pPr>
        <w:pStyle w:val="5"/>
        <w:keepNext w:val="0"/>
        <w:keepLines w:val="0"/>
        <w:widowControl/>
        <w:suppressLineNumbers w:val="0"/>
        <w:spacing w:before="0" w:beforeAutospacing="0" w:after="0" w:afterAutospacing="0" w:line="420" w:lineRule="atLeast"/>
        <w:ind w:right="0" w:firstLine="640" w:firstLineChars="200"/>
        <w:rPr>
          <w:rFonts w:hint="default"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2、</w:t>
      </w:r>
      <w:r>
        <w:rPr>
          <w:rFonts w:hint="default" w:ascii="仿宋" w:hAnsi="仿宋" w:eastAsia="仿宋" w:cs="仿宋"/>
          <w:color w:val="auto"/>
          <w:kern w:val="2"/>
          <w:sz w:val="32"/>
          <w:szCs w:val="32"/>
          <w:lang w:val="en-US" w:eastAsia="zh-CN" w:bidi="ar-SA"/>
        </w:rPr>
        <w:t>破产人欠缴的除前项规定以外的社会保险费用和破产人所欠税款；</w:t>
      </w:r>
    </w:p>
    <w:p>
      <w:pPr>
        <w:pStyle w:val="5"/>
        <w:keepNext w:val="0"/>
        <w:keepLines w:val="0"/>
        <w:widowControl/>
        <w:suppressLineNumbers w:val="0"/>
        <w:spacing w:before="0" w:beforeAutospacing="0" w:after="0" w:afterAutospacing="0" w:line="420" w:lineRule="atLeast"/>
        <w:ind w:right="0" w:firstLine="640" w:firstLineChars="200"/>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3、</w:t>
      </w:r>
      <w:r>
        <w:rPr>
          <w:rFonts w:hint="default" w:ascii="仿宋" w:hAnsi="仿宋" w:eastAsia="仿宋" w:cs="仿宋"/>
          <w:color w:val="auto"/>
          <w:kern w:val="2"/>
          <w:sz w:val="32"/>
          <w:szCs w:val="32"/>
          <w:lang w:val="en-US" w:eastAsia="zh-CN" w:bidi="ar-SA"/>
        </w:rPr>
        <w:t>普通破产债权。</w:t>
      </w:r>
    </w:p>
    <w:p>
      <w:pPr>
        <w:keepNext w:val="0"/>
        <w:keepLines w:val="0"/>
        <w:pageBreakBefore w:val="0"/>
        <w:kinsoku/>
        <w:wordWrap/>
        <w:overflowPunct/>
        <w:topLinePunct w:val="0"/>
        <w:autoSpaceDE/>
        <w:autoSpaceDN/>
        <w:bidi w:val="0"/>
        <w:adjustRightInd/>
        <w:snapToGrid/>
        <w:spacing w:line="240" w:lineRule="auto"/>
        <w:ind w:firstLine="560"/>
        <w:textAlignment w:val="auto"/>
        <w:rPr>
          <w:rFonts w:hint="eastAsia" w:ascii="仿宋" w:hAnsi="仿宋" w:eastAsia="仿宋" w:cs="仿宋"/>
          <w:i w:val="0"/>
          <w:iCs w:val="0"/>
          <w:caps w:val="0"/>
          <w:color w:val="auto"/>
          <w:spacing w:val="0"/>
          <w:sz w:val="32"/>
          <w:szCs w:val="32"/>
          <w:shd w:val="clear" w:fill="FFFFFF"/>
          <w:lang w:val="en-US" w:eastAsia="zh-CN"/>
        </w:rPr>
      </w:pPr>
      <w:r>
        <w:rPr>
          <w:rFonts w:hint="eastAsia" w:ascii="仿宋" w:hAnsi="仿宋" w:eastAsia="仿宋" w:cs="仿宋"/>
          <w:i w:val="0"/>
          <w:iCs w:val="0"/>
          <w:caps w:val="0"/>
          <w:color w:val="auto"/>
          <w:spacing w:val="0"/>
          <w:sz w:val="32"/>
          <w:szCs w:val="32"/>
          <w:shd w:val="clear" w:fill="FFFFFF"/>
          <w:lang w:val="en-US" w:eastAsia="zh-CN"/>
        </w:rPr>
        <w:t>（二）根据《企业破产法》第五十六条规定，债权人未申报债权的，可以在破产财产最后分配前补充申报。但是此前已进行分配，不再对其补充分配。管理人将按照本次债权人会议通过的破产财产分配方案进行分配，分配结束后，若未申报债权人仍向管理人申报，管理人将预留的金额根据本破产财产分配方案依法进行追加分配。</w:t>
      </w:r>
    </w:p>
    <w:p>
      <w:pPr>
        <w:keepNext w:val="0"/>
        <w:keepLines w:val="0"/>
        <w:pageBreakBefore w:val="0"/>
        <w:kinsoku/>
        <w:wordWrap/>
        <w:overflowPunct/>
        <w:topLinePunct w:val="0"/>
        <w:autoSpaceDE/>
        <w:autoSpaceDN/>
        <w:bidi w:val="0"/>
        <w:adjustRightInd/>
        <w:snapToGrid/>
        <w:spacing w:line="240" w:lineRule="auto"/>
        <w:ind w:firstLine="560"/>
        <w:textAlignment w:val="auto"/>
        <w:rPr>
          <w:rFonts w:hint="eastAsia" w:ascii="仿宋" w:hAnsi="仿宋" w:eastAsia="仿宋" w:cs="仿宋"/>
          <w:i w:val="0"/>
          <w:iCs w:val="0"/>
          <w:caps w:val="0"/>
          <w:color w:val="auto"/>
          <w:spacing w:val="0"/>
          <w:sz w:val="32"/>
          <w:szCs w:val="32"/>
          <w:shd w:val="clear" w:fill="FFFFFF"/>
          <w:lang w:val="en-US" w:eastAsia="zh-CN"/>
        </w:rPr>
      </w:pPr>
      <w:r>
        <w:rPr>
          <w:rFonts w:hint="eastAsia" w:ascii="仿宋" w:hAnsi="仿宋" w:eastAsia="仿宋" w:cs="仿宋"/>
          <w:i w:val="0"/>
          <w:iCs w:val="0"/>
          <w:caps w:val="0"/>
          <w:color w:val="auto"/>
          <w:spacing w:val="0"/>
          <w:sz w:val="32"/>
          <w:szCs w:val="32"/>
          <w:shd w:val="clear" w:fill="FFFFFF"/>
          <w:lang w:val="en-US" w:eastAsia="zh-CN"/>
        </w:rPr>
        <w:t>（三）破产财产按照清偿顺序逐一分配，前一顺序债权全部清偿之前，后位顺序的债权人不予分配。破产财产不足清偿同一顺序债权的，按照裕华法院裁定的无异议债权金额的比例分配。本次债权人会议后，如有债权人对已审核的债权有异议需要调整债权金额、类别或者有新的债权人补充申报债权，管理人将依法进行调整，分配比例及分配顺序或将发生相应变化。</w:t>
      </w:r>
    </w:p>
    <w:p>
      <w:pPr>
        <w:keepNext w:val="0"/>
        <w:keepLines w:val="0"/>
        <w:pageBreakBefore w:val="0"/>
        <w:kinsoku/>
        <w:wordWrap/>
        <w:overflowPunct/>
        <w:topLinePunct w:val="0"/>
        <w:autoSpaceDE/>
        <w:autoSpaceDN/>
        <w:bidi w:val="0"/>
        <w:adjustRightInd/>
        <w:snapToGrid/>
        <w:spacing w:line="240" w:lineRule="auto"/>
        <w:ind w:firstLine="560"/>
        <w:textAlignment w:val="auto"/>
        <w:rPr>
          <w:rFonts w:hint="eastAsia" w:ascii="仿宋" w:hAnsi="仿宋" w:eastAsia="仿宋" w:cs="仿宋"/>
          <w:i w:val="0"/>
          <w:iCs w:val="0"/>
          <w:caps w:val="0"/>
          <w:color w:val="auto"/>
          <w:spacing w:val="0"/>
          <w:sz w:val="32"/>
          <w:szCs w:val="32"/>
          <w:shd w:val="clear" w:fill="FFFFFF"/>
          <w:lang w:val="en-US" w:eastAsia="zh-CN"/>
        </w:rPr>
      </w:pPr>
      <w:r>
        <w:rPr>
          <w:rFonts w:hint="eastAsia" w:ascii="仿宋" w:hAnsi="仿宋" w:eastAsia="仿宋" w:cs="仿宋"/>
          <w:i w:val="0"/>
          <w:iCs w:val="0"/>
          <w:caps w:val="0"/>
          <w:color w:val="auto"/>
          <w:spacing w:val="0"/>
          <w:sz w:val="32"/>
          <w:szCs w:val="32"/>
          <w:shd w:val="clear" w:fill="FFFFFF"/>
          <w:lang w:val="en-US" w:eastAsia="zh-CN"/>
        </w:rPr>
        <w:t>（四）后续具体分配之时，管理人依法将直接依据本破产财产分配方案制作分配表并公示，按照分配表进行分配。</w:t>
      </w:r>
    </w:p>
    <w:p>
      <w:pPr>
        <w:keepNext w:val="0"/>
        <w:keepLines w:val="0"/>
        <w:pageBreakBefore w:val="0"/>
        <w:kinsoku/>
        <w:wordWrap/>
        <w:overflowPunct/>
        <w:topLinePunct w:val="0"/>
        <w:autoSpaceDE/>
        <w:autoSpaceDN/>
        <w:bidi w:val="0"/>
        <w:adjustRightInd/>
        <w:snapToGrid/>
        <w:spacing w:line="240" w:lineRule="auto"/>
        <w:ind w:firstLine="560"/>
        <w:textAlignment w:val="auto"/>
        <w:rPr>
          <w:rFonts w:hint="eastAsia" w:ascii="仿宋" w:hAnsi="仿宋" w:eastAsia="仿宋" w:cs="仿宋"/>
          <w:b/>
          <w:bCs/>
          <w:color w:val="auto"/>
          <w:sz w:val="32"/>
          <w:szCs w:val="32"/>
          <w:lang w:eastAsia="zh-CN"/>
        </w:rPr>
      </w:pPr>
      <w:r>
        <w:rPr>
          <w:rFonts w:hint="eastAsia" w:ascii="仿宋" w:hAnsi="仿宋" w:eastAsia="仿宋" w:cs="仿宋"/>
          <w:b/>
          <w:bCs/>
          <w:color w:val="auto"/>
          <w:sz w:val="32"/>
          <w:szCs w:val="32"/>
          <w:lang w:eastAsia="zh-CN"/>
        </w:rPr>
        <w:t>六、破产财产分配实施办法</w:t>
      </w:r>
    </w:p>
    <w:p>
      <w:pPr>
        <w:keepNext w:val="0"/>
        <w:keepLines w:val="0"/>
        <w:pageBreakBefore w:val="0"/>
        <w:kinsoku/>
        <w:wordWrap/>
        <w:overflowPunct/>
        <w:topLinePunct w:val="0"/>
        <w:autoSpaceDE/>
        <w:autoSpaceDN/>
        <w:bidi w:val="0"/>
        <w:adjustRightInd/>
        <w:snapToGrid/>
        <w:spacing w:line="240" w:lineRule="auto"/>
        <w:ind w:firstLine="56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（一）分配方式</w:t>
      </w:r>
    </w:p>
    <w:p>
      <w:pPr>
        <w:keepNext w:val="0"/>
        <w:keepLines w:val="0"/>
        <w:pageBreakBefore w:val="0"/>
        <w:kinsoku/>
        <w:wordWrap/>
        <w:overflowPunct/>
        <w:topLinePunct w:val="0"/>
        <w:autoSpaceDE/>
        <w:autoSpaceDN/>
        <w:bidi w:val="0"/>
        <w:adjustRightInd/>
        <w:snapToGrid/>
        <w:spacing w:line="240" w:lineRule="auto"/>
        <w:ind w:firstLine="56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财产分配以货币进行。若追缴股东出资的执行回款方式为以物抵债，则管理人按照《财产管理及变价方案》进行处置，所得货币在扣除处置费用后，按照本分配方案予以分配。</w:t>
      </w:r>
    </w:p>
    <w:p>
      <w:pPr>
        <w:keepNext w:val="0"/>
        <w:keepLines w:val="0"/>
        <w:pageBreakBefore w:val="0"/>
        <w:kinsoku/>
        <w:wordWrap/>
        <w:overflowPunct/>
        <w:topLinePunct w:val="0"/>
        <w:autoSpaceDE/>
        <w:autoSpaceDN/>
        <w:bidi w:val="0"/>
        <w:adjustRightInd/>
        <w:snapToGrid/>
        <w:spacing w:line="240" w:lineRule="auto"/>
        <w:ind w:firstLine="56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（二）分配提存</w:t>
      </w:r>
    </w:p>
    <w:p>
      <w:pPr>
        <w:keepNext w:val="0"/>
        <w:keepLines w:val="0"/>
        <w:pageBreakBefore w:val="0"/>
        <w:kinsoku/>
        <w:wordWrap/>
        <w:overflowPunct/>
        <w:topLinePunct w:val="0"/>
        <w:autoSpaceDE/>
        <w:autoSpaceDN/>
        <w:bidi w:val="0"/>
        <w:adjustRightInd/>
        <w:snapToGrid/>
        <w:spacing w:line="240" w:lineRule="auto"/>
        <w:ind w:firstLine="56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根据《企业破产法》第一百一十八条规定，</w:t>
      </w:r>
      <w:r>
        <w:rPr>
          <w:rFonts w:hint="eastAsia" w:ascii="仿宋" w:hAnsi="仿宋" w:eastAsia="仿宋" w:cs="仿宋"/>
          <w:i w:val="0"/>
          <w:iCs w:val="0"/>
          <w:caps w:val="0"/>
          <w:color w:val="auto"/>
          <w:spacing w:val="0"/>
          <w:sz w:val="32"/>
          <w:szCs w:val="32"/>
          <w:shd w:val="clear" w:fill="FFFFFF"/>
        </w:rPr>
        <w:t>债权人未受领的破产财产分配额，管理人应当提存。债权人自最后分配公告之日起满二个月仍不领取的，视为放弃受领分配的权利，管理人或者人民法院应当将提存的分配额分配给其他债权人。</w:t>
      </w:r>
    </w:p>
    <w:p>
      <w:pPr>
        <w:keepNext w:val="0"/>
        <w:keepLines w:val="0"/>
        <w:pageBreakBefore w:val="0"/>
        <w:kinsoku/>
        <w:wordWrap/>
        <w:overflowPunct/>
        <w:topLinePunct w:val="0"/>
        <w:autoSpaceDE/>
        <w:autoSpaceDN/>
        <w:bidi w:val="0"/>
        <w:adjustRightInd/>
        <w:snapToGrid/>
        <w:spacing w:line="240" w:lineRule="auto"/>
        <w:ind w:firstLine="56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对于将提存的分配额分配给其他债权人的，将向普通债权按同比例追加分配。如果财产数额不足以支付分配费用的，按《企业破产法》第一百二十三条的规定不再追加分配，由管理人交人民法院上交国库。</w:t>
      </w:r>
    </w:p>
    <w:p>
      <w:pPr>
        <w:keepNext w:val="0"/>
        <w:keepLines w:val="0"/>
        <w:pageBreakBefore w:val="0"/>
        <w:kinsoku/>
        <w:wordWrap/>
        <w:overflowPunct/>
        <w:topLinePunct w:val="0"/>
        <w:autoSpaceDE/>
        <w:autoSpaceDN/>
        <w:bidi w:val="0"/>
        <w:adjustRightInd/>
        <w:snapToGrid/>
        <w:spacing w:line="240" w:lineRule="auto"/>
        <w:ind w:firstLine="56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（三）破产程序终结后的追加分配</w:t>
      </w:r>
    </w:p>
    <w:p>
      <w:pPr>
        <w:keepNext w:val="0"/>
        <w:keepLines w:val="0"/>
        <w:pageBreakBefore w:val="0"/>
        <w:kinsoku/>
        <w:wordWrap/>
        <w:overflowPunct/>
        <w:topLinePunct w:val="0"/>
        <w:autoSpaceDE/>
        <w:autoSpaceDN/>
        <w:bidi w:val="0"/>
        <w:adjustRightInd/>
        <w:snapToGrid/>
        <w:spacing w:line="240" w:lineRule="auto"/>
        <w:ind w:firstLine="56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破产程序终结后如发现债务人仍有可供执行的财产，如为货币资金，则管理人按照本分配方式予以分配；如为非货币财产，管理人</w:t>
      </w:r>
      <w:r>
        <w:rPr>
          <w:rFonts w:hint="eastAsia" w:ascii="仿宋" w:hAnsi="仿宋" w:eastAsia="仿宋" w:cs="仿宋"/>
          <w:color w:val="auto"/>
          <w:sz w:val="32"/>
          <w:szCs w:val="32"/>
          <w:lang w:eastAsia="zh-CN"/>
        </w:rPr>
        <w:t>按照《财产管理及变价方案》进行处置，所得货币在扣除处置费用后，按照本分配方案予以分配。</w:t>
      </w:r>
    </w:p>
    <w:p>
      <w:pPr>
        <w:keepNext w:val="0"/>
        <w:keepLines w:val="0"/>
        <w:pageBreakBefore w:val="0"/>
        <w:kinsoku/>
        <w:wordWrap/>
        <w:overflowPunct/>
        <w:topLinePunct w:val="0"/>
        <w:autoSpaceDE/>
        <w:autoSpaceDN/>
        <w:bidi w:val="0"/>
        <w:adjustRightInd/>
        <w:snapToGrid/>
        <w:spacing w:line="240" w:lineRule="auto"/>
        <w:ind w:firstLine="560"/>
        <w:textAlignment w:val="auto"/>
        <w:rPr>
          <w:rFonts w:hint="eastAsia" w:ascii="仿宋" w:hAnsi="仿宋" w:eastAsia="仿宋" w:cs="仿宋"/>
          <w:b/>
          <w:bCs/>
          <w:color w:val="auto"/>
          <w:sz w:val="32"/>
          <w:szCs w:val="32"/>
          <w:lang w:eastAsia="zh-CN"/>
        </w:rPr>
      </w:pPr>
      <w:r>
        <w:rPr>
          <w:rFonts w:hint="eastAsia" w:ascii="仿宋" w:hAnsi="仿宋" w:eastAsia="仿宋" w:cs="仿宋"/>
          <w:b/>
          <w:bCs/>
          <w:color w:val="auto"/>
          <w:sz w:val="32"/>
          <w:szCs w:val="32"/>
          <w:lang w:eastAsia="zh-CN"/>
        </w:rPr>
        <w:t>七、有关事项的说明</w:t>
      </w:r>
    </w:p>
    <w:p>
      <w:pPr>
        <w:keepNext w:val="0"/>
        <w:keepLines w:val="0"/>
        <w:pageBreakBefore w:val="0"/>
        <w:kinsoku/>
        <w:wordWrap/>
        <w:overflowPunct/>
        <w:topLinePunct w:val="0"/>
        <w:autoSpaceDE/>
        <w:autoSpaceDN/>
        <w:bidi w:val="0"/>
        <w:adjustRightInd/>
        <w:snapToGrid/>
        <w:spacing w:line="240" w:lineRule="auto"/>
        <w:ind w:firstLine="560"/>
        <w:textAlignment w:val="auto"/>
        <w:rPr>
          <w:rFonts w:hint="eastAsia" w:ascii="仿宋" w:hAnsi="仿宋" w:eastAsia="仿宋" w:cs="仿宋"/>
          <w:sz w:val="32"/>
          <w:szCs w:val="32"/>
          <w:lang w:eastAsia="zh-CN"/>
        </w:rPr>
      </w:pPr>
      <w:r>
        <w:rPr>
          <w:rFonts w:hint="eastAsia" w:ascii="仿宋" w:hAnsi="仿宋" w:eastAsia="仿宋" w:cs="仿宋"/>
          <w:color w:val="auto"/>
          <w:sz w:val="32"/>
          <w:szCs w:val="32"/>
          <w:lang w:eastAsia="zh-CN"/>
        </w:rPr>
        <w:t>（一）本次分配方案经裕华法院裁定认可后由管理人执行。本分配方案执行过程中若涉及未明确规定的事项，且该等事项对债权人权益不会</w:t>
      </w:r>
      <w:r>
        <w:rPr>
          <w:rFonts w:hint="eastAsia" w:ascii="仿宋" w:hAnsi="仿宋" w:eastAsia="仿宋" w:cs="仿宋"/>
          <w:sz w:val="32"/>
          <w:szCs w:val="32"/>
          <w:lang w:eastAsia="zh-CN"/>
        </w:rPr>
        <w:t>产生重大影响的，由管理人报告人民法院后执行。如因具体情况变化导致本分配方案部分无法实施，管理人将制定修正方案，报人民法院后执行。</w:t>
      </w:r>
    </w:p>
    <w:p>
      <w:pPr>
        <w:keepNext w:val="0"/>
        <w:keepLines w:val="0"/>
        <w:pageBreakBefore w:val="0"/>
        <w:kinsoku/>
        <w:wordWrap/>
        <w:overflowPunct/>
        <w:topLinePunct w:val="0"/>
        <w:autoSpaceDE/>
        <w:autoSpaceDN/>
        <w:bidi w:val="0"/>
        <w:adjustRightInd/>
        <w:snapToGrid/>
        <w:spacing w:line="240" w:lineRule="auto"/>
        <w:ind w:firstLine="56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二）在本案破产财产最后分配前，债权金额可能会发生变化，为节省各债权人的时间和费用，如出现清偿比例发生变动，则不再召开现场会议，而由管理人根据本次债权人会议表决通过并经人民法院裁定认可的财产分配方案，编制新的破产财产分配表并予以公告。</w:t>
      </w:r>
    </w:p>
    <w:p>
      <w:pPr>
        <w:keepNext w:val="0"/>
        <w:keepLines w:val="0"/>
        <w:pageBreakBefore w:val="0"/>
        <w:kinsoku/>
        <w:wordWrap/>
        <w:overflowPunct/>
        <w:topLinePunct w:val="0"/>
        <w:autoSpaceDE/>
        <w:autoSpaceDN/>
        <w:bidi w:val="0"/>
        <w:adjustRightInd/>
        <w:snapToGrid/>
        <w:spacing w:line="240" w:lineRule="auto"/>
        <w:ind w:firstLine="560"/>
        <w:textAlignment w:val="auto"/>
        <w:rPr>
          <w:rFonts w:hint="eastAsia" w:ascii="仿宋" w:hAnsi="仿宋" w:eastAsia="仿宋" w:cs="仿宋"/>
          <w:sz w:val="32"/>
          <w:szCs w:val="32"/>
        </w:rPr>
      </w:pPr>
      <w:r>
        <w:rPr>
          <w:rFonts w:hint="eastAsia" w:ascii="仿宋" w:hAnsi="仿宋" w:eastAsia="仿宋" w:cs="仿宋"/>
          <w:sz w:val="32"/>
          <w:szCs w:val="32"/>
          <w:lang w:eastAsia="zh-CN"/>
        </w:rPr>
        <w:t>以上为本方案内容，现提交债权人会议审议并表决</w:t>
      </w:r>
      <w:r>
        <w:rPr>
          <w:rFonts w:hint="eastAsia" w:ascii="仿宋" w:hAnsi="仿宋" w:eastAsia="仿宋" w:cs="仿宋"/>
          <w:sz w:val="32"/>
          <w:szCs w:val="32"/>
        </w:rPr>
        <w:t>。</w:t>
      </w:r>
    </w:p>
    <w:p>
      <w:pPr>
        <w:keepNext w:val="0"/>
        <w:keepLines w:val="0"/>
        <w:pageBreakBefore w:val="0"/>
        <w:kinsoku/>
        <w:wordWrap/>
        <w:overflowPunct/>
        <w:topLinePunct w:val="0"/>
        <w:autoSpaceDE/>
        <w:autoSpaceDN/>
        <w:bidi w:val="0"/>
        <w:adjustRightInd/>
        <w:snapToGrid/>
        <w:spacing w:line="240" w:lineRule="auto"/>
        <w:ind w:firstLine="4720" w:firstLineChars="1475"/>
        <w:textAlignment w:val="auto"/>
        <w:rPr>
          <w:rFonts w:hint="eastAsia" w:ascii="仿宋" w:hAnsi="仿宋" w:eastAsia="仿宋" w:cs="仿宋"/>
          <w:sz w:val="32"/>
          <w:szCs w:val="32"/>
        </w:rPr>
      </w:pPr>
    </w:p>
    <w:p>
      <w:pPr>
        <w:keepNext w:val="0"/>
        <w:keepLines w:val="0"/>
        <w:pageBreakBefore w:val="0"/>
        <w:kinsoku/>
        <w:wordWrap/>
        <w:overflowPunct/>
        <w:topLinePunct w:val="0"/>
        <w:autoSpaceDE/>
        <w:autoSpaceDN/>
        <w:bidi w:val="0"/>
        <w:adjustRightInd/>
        <w:snapToGrid/>
        <w:spacing w:line="240" w:lineRule="auto"/>
        <w:ind w:firstLine="560"/>
        <w:jc w:val="righ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 xml:space="preserve">  河北一加一教育科技</w:t>
      </w:r>
      <w:r>
        <w:rPr>
          <w:rFonts w:hint="eastAsia" w:ascii="仿宋" w:hAnsi="仿宋" w:eastAsia="仿宋" w:cs="仿宋"/>
          <w:sz w:val="32"/>
          <w:szCs w:val="32"/>
        </w:rPr>
        <w:t>有限公司管理人</w:t>
      </w:r>
    </w:p>
    <w:p>
      <w:pPr>
        <w:keepNext w:val="0"/>
        <w:keepLines w:val="0"/>
        <w:pageBreakBefore w:val="0"/>
        <w:kinsoku/>
        <w:wordWrap/>
        <w:overflowPunct/>
        <w:topLinePunct w:val="0"/>
        <w:autoSpaceDE/>
        <w:autoSpaceDN/>
        <w:bidi w:val="0"/>
        <w:adjustRightInd/>
        <w:snapToGrid/>
        <w:spacing w:line="240" w:lineRule="auto"/>
        <w:ind w:firstLine="4720" w:firstLineChars="1475"/>
        <w:textAlignment w:val="auto"/>
        <w:rPr>
          <w:rFonts w:hint="eastAsia" w:ascii="仿宋" w:hAnsi="仿宋" w:eastAsia="仿宋" w:cs="仿宋"/>
          <w:sz w:val="32"/>
          <w:szCs w:val="32"/>
        </w:rPr>
      </w:pPr>
      <w:r>
        <w:rPr>
          <w:rFonts w:hint="eastAsia" w:ascii="仿宋" w:hAnsi="仿宋" w:eastAsia="仿宋" w:cs="仿宋"/>
          <w:sz w:val="32"/>
          <w:szCs w:val="32"/>
          <w:lang w:eastAsia="zh-CN"/>
        </w:rPr>
        <w:t>二○二四</w:t>
      </w:r>
      <w:r>
        <w:rPr>
          <w:rFonts w:hint="eastAsia" w:ascii="仿宋" w:hAnsi="仿宋" w:eastAsia="仿宋" w:cs="仿宋"/>
          <w:sz w:val="32"/>
          <w:szCs w:val="32"/>
        </w:rPr>
        <w:t>年</w:t>
      </w:r>
      <w:r>
        <w:rPr>
          <w:rFonts w:hint="eastAsia" w:ascii="仿宋" w:hAnsi="仿宋" w:eastAsia="仿宋" w:cs="仿宋"/>
          <w:sz w:val="32"/>
          <w:szCs w:val="32"/>
          <w:lang w:val="en-US" w:eastAsia="zh-CN"/>
        </w:rPr>
        <w:t>七</w:t>
      </w:r>
      <w:r>
        <w:rPr>
          <w:rFonts w:hint="eastAsia" w:ascii="仿宋" w:hAnsi="仿宋" w:eastAsia="仿宋" w:cs="仿宋"/>
          <w:sz w:val="32"/>
          <w:szCs w:val="32"/>
        </w:rPr>
        <w:t>月</w:t>
      </w:r>
      <w:r>
        <w:rPr>
          <w:rFonts w:hint="eastAsia" w:ascii="仿宋" w:hAnsi="仿宋" w:eastAsia="仿宋" w:cs="仿宋"/>
          <w:sz w:val="32"/>
          <w:szCs w:val="32"/>
          <w:lang w:val="en-US" w:eastAsia="zh-CN"/>
        </w:rPr>
        <w:t>九</w:t>
      </w:r>
      <w:r>
        <w:rPr>
          <w:rFonts w:hint="eastAsia" w:ascii="仿宋" w:hAnsi="仿宋" w:eastAsia="仿宋" w:cs="仿宋"/>
          <w:sz w:val="32"/>
          <w:szCs w:val="32"/>
        </w:rPr>
        <w:t>日</w:t>
      </w:r>
    </w:p>
    <w:sectPr>
      <w:footerReference r:id="rId3" w:type="default"/>
      <w:footerReference r:id="rId4" w:type="even"/>
      <w:pgSz w:w="11906" w:h="16838"/>
      <w:pgMar w:top="1440" w:right="1576" w:bottom="1440" w:left="163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swiss"/>
    <w:pitch w:val="default"/>
    <w:sig w:usb0="80000287" w:usb1="280F3C52" w:usb2="00000016" w:usb3="00000000" w:csb0="0004001F" w:csb1="00000000"/>
  </w:font>
  <w:font w:name="仿宋_GB2312">
    <w:altName w:val="仿宋"/>
    <w:panose1 w:val="00000000000000000000"/>
    <w:charset w:val="00"/>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8"/>
      </w:rPr>
    </w:pPr>
    <w:r>
      <w:rPr>
        <w:rStyle w:val="8"/>
      </w:rPr>
      <w:fldChar w:fldCharType="begin"/>
    </w:r>
    <w:r>
      <w:rPr>
        <w:rStyle w:val="8"/>
      </w:rPr>
      <w:instrText xml:space="preserve">PAGE  </w:instrText>
    </w:r>
    <w:r>
      <w:rPr>
        <w:rStyle w:val="8"/>
      </w:rPr>
      <w:fldChar w:fldCharType="separate"/>
    </w:r>
    <w:r>
      <w:rPr>
        <w:rStyle w:val="8"/>
      </w:rPr>
      <w:t>5</w:t>
    </w:r>
    <w:r>
      <w:rPr>
        <w:rStyle w:val="8"/>
      </w:rPr>
      <w:fldChar w:fldCharType="end"/>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8"/>
      </w:rPr>
    </w:pPr>
    <w:r>
      <w:rPr>
        <w:rStyle w:val="8"/>
      </w:rPr>
      <w:fldChar w:fldCharType="begin"/>
    </w:r>
    <w:r>
      <w:rPr>
        <w:rStyle w:val="8"/>
      </w:rPr>
      <w:instrText xml:space="preserve">PAGE  </w:instrText>
    </w:r>
    <w:r>
      <w:rPr>
        <w:rStyle w:val="8"/>
      </w:rPr>
      <w:fldChar w:fldCharType="end"/>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E5MmI5NGYwZGQwMDU0MDY2YzcyNzQwYzFhZDU4YzMifQ=="/>
  </w:docVars>
  <w:rsids>
    <w:rsidRoot w:val="007D50B9"/>
    <w:rsid w:val="000344D3"/>
    <w:rsid w:val="000C2185"/>
    <w:rsid w:val="00134A21"/>
    <w:rsid w:val="001B0E4F"/>
    <w:rsid w:val="001B70F3"/>
    <w:rsid w:val="001C47D6"/>
    <w:rsid w:val="00350FA2"/>
    <w:rsid w:val="00355E87"/>
    <w:rsid w:val="00384BBD"/>
    <w:rsid w:val="0041327F"/>
    <w:rsid w:val="00420658"/>
    <w:rsid w:val="0047604F"/>
    <w:rsid w:val="004A336C"/>
    <w:rsid w:val="004A3840"/>
    <w:rsid w:val="004D7AC3"/>
    <w:rsid w:val="004E5337"/>
    <w:rsid w:val="00505C45"/>
    <w:rsid w:val="005C1DC4"/>
    <w:rsid w:val="005F4637"/>
    <w:rsid w:val="006040EA"/>
    <w:rsid w:val="0064605C"/>
    <w:rsid w:val="00646DE5"/>
    <w:rsid w:val="00687041"/>
    <w:rsid w:val="006A1423"/>
    <w:rsid w:val="006B690B"/>
    <w:rsid w:val="006B7497"/>
    <w:rsid w:val="00760409"/>
    <w:rsid w:val="007813E8"/>
    <w:rsid w:val="00781A6A"/>
    <w:rsid w:val="00783F92"/>
    <w:rsid w:val="007D50B9"/>
    <w:rsid w:val="007E146B"/>
    <w:rsid w:val="007E2F76"/>
    <w:rsid w:val="008D38F2"/>
    <w:rsid w:val="008D56C0"/>
    <w:rsid w:val="008E0948"/>
    <w:rsid w:val="008F478F"/>
    <w:rsid w:val="009E229C"/>
    <w:rsid w:val="009F0B9B"/>
    <w:rsid w:val="009F6C08"/>
    <w:rsid w:val="00A81DCC"/>
    <w:rsid w:val="00A961E2"/>
    <w:rsid w:val="00AC6D96"/>
    <w:rsid w:val="00AD0DC6"/>
    <w:rsid w:val="00AD2E29"/>
    <w:rsid w:val="00B72CCF"/>
    <w:rsid w:val="00B766B6"/>
    <w:rsid w:val="00C0394F"/>
    <w:rsid w:val="00C16C70"/>
    <w:rsid w:val="00C91873"/>
    <w:rsid w:val="00CD4194"/>
    <w:rsid w:val="00D31C77"/>
    <w:rsid w:val="00D809F7"/>
    <w:rsid w:val="00DD63F7"/>
    <w:rsid w:val="00DE1B28"/>
    <w:rsid w:val="00DF4FA0"/>
    <w:rsid w:val="00E24575"/>
    <w:rsid w:val="00E24D0D"/>
    <w:rsid w:val="00E35391"/>
    <w:rsid w:val="00E523C1"/>
    <w:rsid w:val="00EB7B67"/>
    <w:rsid w:val="00ED0748"/>
    <w:rsid w:val="00ED2643"/>
    <w:rsid w:val="00F37D9F"/>
    <w:rsid w:val="00F44F67"/>
    <w:rsid w:val="00F74AAB"/>
    <w:rsid w:val="00FC1280"/>
    <w:rsid w:val="00FC5A70"/>
    <w:rsid w:val="018A3009"/>
    <w:rsid w:val="029E6CD3"/>
    <w:rsid w:val="06130BFA"/>
    <w:rsid w:val="0C031AB5"/>
    <w:rsid w:val="0CB87237"/>
    <w:rsid w:val="0E3F22A2"/>
    <w:rsid w:val="133E7E6D"/>
    <w:rsid w:val="14FC21E4"/>
    <w:rsid w:val="1525265A"/>
    <w:rsid w:val="18EC5D6D"/>
    <w:rsid w:val="190B633F"/>
    <w:rsid w:val="1A9C5838"/>
    <w:rsid w:val="1E1B7611"/>
    <w:rsid w:val="1E68343F"/>
    <w:rsid w:val="2698622E"/>
    <w:rsid w:val="270C4509"/>
    <w:rsid w:val="288938F5"/>
    <w:rsid w:val="2EF03DB8"/>
    <w:rsid w:val="2F7C2D39"/>
    <w:rsid w:val="2F96081B"/>
    <w:rsid w:val="30444BA9"/>
    <w:rsid w:val="30533F6E"/>
    <w:rsid w:val="305F7D9F"/>
    <w:rsid w:val="30ED34D7"/>
    <w:rsid w:val="326570B0"/>
    <w:rsid w:val="339E2E98"/>
    <w:rsid w:val="33F61A1E"/>
    <w:rsid w:val="3401720A"/>
    <w:rsid w:val="36B267F2"/>
    <w:rsid w:val="36D64771"/>
    <w:rsid w:val="384C6E5B"/>
    <w:rsid w:val="3B7F731F"/>
    <w:rsid w:val="3DC627D2"/>
    <w:rsid w:val="3E167F4C"/>
    <w:rsid w:val="44731D31"/>
    <w:rsid w:val="45236D65"/>
    <w:rsid w:val="454861CA"/>
    <w:rsid w:val="49900626"/>
    <w:rsid w:val="4CB57EAE"/>
    <w:rsid w:val="4F317250"/>
    <w:rsid w:val="5030253F"/>
    <w:rsid w:val="55F95301"/>
    <w:rsid w:val="59A07C01"/>
    <w:rsid w:val="5A196040"/>
    <w:rsid w:val="5AF96EC8"/>
    <w:rsid w:val="5F6F2C77"/>
    <w:rsid w:val="62CB1086"/>
    <w:rsid w:val="63B50CB9"/>
    <w:rsid w:val="65954ED5"/>
    <w:rsid w:val="69651506"/>
    <w:rsid w:val="6E076185"/>
    <w:rsid w:val="6E9437BA"/>
    <w:rsid w:val="6F571666"/>
    <w:rsid w:val="6FE564AF"/>
    <w:rsid w:val="70392E14"/>
    <w:rsid w:val="735D6314"/>
    <w:rsid w:val="75691D09"/>
    <w:rsid w:val="76C957C7"/>
    <w:rsid w:val="76D81E5A"/>
    <w:rsid w:val="771844CA"/>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qFormat="1" w:unhideWhenUsed="0"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qFormat/>
    <w:uiPriority w:val="99"/>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9"/>
    <w:semiHidden/>
    <w:qFormat/>
    <w:uiPriority w:val="99"/>
    <w:pPr>
      <w:ind w:firstLine="560" w:firstLineChars="200"/>
    </w:pPr>
    <w:rPr>
      <w:kern w:val="0"/>
      <w:sz w:val="20"/>
    </w:rPr>
  </w:style>
  <w:style w:type="paragraph" w:styleId="3">
    <w:name w:val="footer"/>
    <w:basedOn w:val="1"/>
    <w:link w:val="10"/>
    <w:qFormat/>
    <w:uiPriority w:val="99"/>
    <w:pPr>
      <w:tabs>
        <w:tab w:val="center" w:pos="4153"/>
        <w:tab w:val="right" w:pos="8306"/>
      </w:tabs>
      <w:snapToGrid w:val="0"/>
      <w:jc w:val="left"/>
    </w:pPr>
    <w:rPr>
      <w:kern w:val="0"/>
      <w:sz w:val="18"/>
      <w:szCs w:val="18"/>
    </w:rPr>
  </w:style>
  <w:style w:type="paragraph" w:styleId="4">
    <w:name w:val="header"/>
    <w:basedOn w:val="1"/>
    <w:link w:val="11"/>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5">
    <w:name w:val="Normal (Web)"/>
    <w:basedOn w:val="1"/>
    <w:semiHidden/>
    <w:unhideWhenUsed/>
    <w:qFormat/>
    <w:uiPriority w:val="99"/>
    <w:rPr>
      <w:sz w:val="24"/>
    </w:rPr>
  </w:style>
  <w:style w:type="character" w:styleId="8">
    <w:name w:val="page number"/>
    <w:basedOn w:val="7"/>
    <w:qFormat/>
    <w:uiPriority w:val="99"/>
    <w:rPr>
      <w:rFonts w:cs="Times New Roman"/>
    </w:rPr>
  </w:style>
  <w:style w:type="character" w:customStyle="1" w:styleId="9">
    <w:name w:val="Body Text Indent Char"/>
    <w:basedOn w:val="7"/>
    <w:link w:val="2"/>
    <w:semiHidden/>
    <w:qFormat/>
    <w:locked/>
    <w:uiPriority w:val="99"/>
    <w:rPr>
      <w:sz w:val="24"/>
    </w:rPr>
  </w:style>
  <w:style w:type="character" w:customStyle="1" w:styleId="10">
    <w:name w:val="Footer Char"/>
    <w:basedOn w:val="7"/>
    <w:link w:val="3"/>
    <w:semiHidden/>
    <w:qFormat/>
    <w:locked/>
    <w:uiPriority w:val="99"/>
    <w:rPr>
      <w:sz w:val="18"/>
    </w:rPr>
  </w:style>
  <w:style w:type="character" w:customStyle="1" w:styleId="11">
    <w:name w:val="Header Char"/>
    <w:basedOn w:val="7"/>
    <w:link w:val="4"/>
    <w:semiHidden/>
    <w:qFormat/>
    <w:locked/>
    <w:uiPriority w:val="99"/>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Pages>6</Pages>
  <Words>2475</Words>
  <Characters>2522</Characters>
  <Lines>0</Lines>
  <Paragraphs>0</Paragraphs>
  <TotalTime>11</TotalTime>
  <ScaleCrop>false</ScaleCrop>
  <LinksUpToDate>false</LinksUpToDate>
  <CharactersWithSpaces>2542</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2014-10-29T20:08:00Z</dcterms:created>
  <dc:creator>lenovo</dc:creator>
  <cp:lastModifiedBy>Administrator</cp:lastModifiedBy>
  <cp:lastPrinted>2023-10-19T19:53:00Z</cp:lastPrinted>
  <dcterms:modified xsi:type="dcterms:W3CDTF">2024-07-06T02:57:27Z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62AF6EAD7E6FE7F4D05975665B908BF6_43</vt:lpwstr>
  </property>
</Properties>
</file>