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b/>
          <w:bCs/>
          <w:sz w:val="36"/>
          <w:szCs w:val="36"/>
          <w:lang w:eastAsia="zh-CN"/>
        </w:rPr>
      </w:pPr>
      <w:r>
        <w:rPr>
          <w:rFonts w:hint="eastAsia" w:ascii="宋体" w:hAnsi="宋体" w:eastAsia="宋体" w:cs="宋体"/>
          <w:b/>
          <w:bCs/>
          <w:color w:val="000000"/>
          <w:sz w:val="44"/>
          <w:szCs w:val="44"/>
        </w:rPr>
        <w:t>河北一加一教育科技</w:t>
      </w:r>
      <w:r>
        <w:rPr>
          <w:rFonts w:hint="eastAsia" w:ascii="宋体" w:hAnsi="宋体" w:eastAsia="宋体" w:cs="宋体"/>
          <w:b/>
          <w:bCs/>
          <w:sz w:val="44"/>
          <w:szCs w:val="44"/>
        </w:rPr>
        <w:t>有限公司</w:t>
      </w:r>
      <w:r>
        <w:rPr>
          <w:rFonts w:hint="eastAsia" w:ascii="宋体" w:hAnsi="宋体" w:eastAsia="宋体" w:cs="宋体"/>
          <w:b/>
          <w:bCs/>
          <w:sz w:val="44"/>
          <w:szCs w:val="44"/>
          <w:lang w:eastAsia="zh-CN"/>
        </w:rPr>
        <w:t>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s="微软雅黑"/>
          <w:b/>
          <w:bCs/>
          <w:sz w:val="44"/>
          <w:szCs w:val="44"/>
        </w:rPr>
      </w:pPr>
      <w:r>
        <w:rPr>
          <w:rFonts w:hint="eastAsia"/>
          <w:b/>
          <w:bCs/>
          <w:sz w:val="44"/>
          <w:szCs w:val="44"/>
          <w:lang w:eastAsia="zh-CN"/>
        </w:rPr>
        <w:t>财产管理及变价方案</w:t>
      </w:r>
    </w:p>
    <w:p>
      <w:pPr>
        <w:spacing w:line="520" w:lineRule="exact"/>
        <w:jc w:val="right"/>
        <w:rPr>
          <w:rFonts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val="en-US"/>
        </w:rPr>
      </w:pPr>
      <w:r>
        <w:rPr>
          <w:rFonts w:hint="eastAsia" w:ascii="仿宋" w:hAnsi="仿宋" w:eastAsia="仿宋" w:cs="仿宋"/>
          <w:sz w:val="32"/>
          <w:szCs w:val="32"/>
          <w:lang w:val="en-US" w:eastAsia="zh-CN"/>
        </w:rPr>
        <w:t>2024年5月30日，石家庄市中级人民法院作出（2024）冀01破申13号之民事裁定书，裁定受理河北一加一教育科技有限公司（以下简称“一加一公司”或“债务人”）的破产清算一案，并指定石家庄市裕华区人民法院（以下简称“裕华法院”）审理。裕华法院于2024年5月31日作出（2024）冀0108破2号之决定书，指定河北天宏律师事务所担任河北一加一教育科技有限公司管理人，负责开展破产清算工作。</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管理人接受指定后立即着手开展债务人的财产接管工作，虽截至目前未接管到债务人任何财产，但不排除将来接管到财产的可能性，为在管理人接管债务人财产后，实现债务人财产整体财产价值最大化，切实保障全体债权人的合法权益，依据</w:t>
      </w:r>
      <w:r>
        <w:rPr>
          <w:rFonts w:hint="eastAsia" w:ascii="仿宋" w:hAnsi="仿宋" w:eastAsia="仿宋" w:cs="仿宋"/>
          <w:sz w:val="32"/>
          <w:szCs w:val="32"/>
        </w:rPr>
        <w:t>《中华人民共和国企业破产法》</w:t>
      </w:r>
      <w:r>
        <w:rPr>
          <w:rFonts w:hint="eastAsia" w:ascii="仿宋" w:hAnsi="仿宋" w:eastAsia="仿宋" w:cs="仿宋"/>
          <w:sz w:val="32"/>
          <w:szCs w:val="32"/>
          <w:lang w:eastAsia="zh-CN"/>
        </w:rPr>
        <w:t>（以下简称“《企业破产法》”）及相关法律法规的规定，管理人制度本破产财产管理及变价方案，提交本次债权人会议审议、表决。</w:t>
      </w:r>
    </w:p>
    <w:p>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一、财产管理及变价的基本原则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（一）依法合规原则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债务人财产管理及变价工作应当严格遵守《企业破产法》及其他相关法律法规、法规和规章的规定，确保财产管理及变价的方式及程序依法、合规。</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（二）公开公正原则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管理人本着公开、公正的原则，开展债务人财产管理及变价相关工作，保证工作程序公开、实体处理公正。</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（三）实现债务人财产价值最大化原则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管理人将采取有效管理措施，全面履行职责，保护债务人财产，防止资产流失、损毁，最大限度地实现债务人财产价值的最大化及保值增值。</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但债务人财产价值的最大化并非单纯的追求债务人财产变现价值的金额最大化，而是在综合考虑时间成本、费用成本基础上，秉承公开、公平、公正原则，为全体债权人利益最大而采取的一种财产效益最大化管理方式。</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（四）高效有序原则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管理人对债务人财产的管理和处置工作应当精心组织，合理安排，保持较高的工作效率和有序的工作状态。</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（五）接受监督原则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管理人对债务人财产的管理及变价工作依法应当接受裕华法院及全体债权人的全面监督。</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二、财产管理方案</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1、货币资金。对债务人的货币资金及银行存款，统一归集至管理人银行账户，由管理人按照管理人制定的财务管理制度管理。</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2、非货币资产。对债务人的实物资产，管理人将采取适当的有利于财产价值保值增值的方式予以管理，确保财产安全，防止财产遭受损失。</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3、如管理人发现债务人财产发生损毁、灭失、被转移或者其他贬损和相应风险的， 管理人应当及时向裕华法院报告， 并采取措施防止损失扩大。 </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三、财产变价方案</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（一）待变价财产范围</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一加一公司待变价的破产财产包括但不限于货币资金、不动产、动产、债权以及其他具有财产价值的权利和实物等。</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（二）财产处置的具体安排</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1、财产处置方式</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（1）除本方案或相关法律法规另有规定或债权人会议另有决议外，财产处置原则上采取拍卖方式。</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财产处置可以以单一财产方式进行处置，亦可以根据财产的实际情况及市场情况，对变价财产进行分拆、部分合并或者整体处置。</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对于不符合拍卖条件或者不适合拍卖的财产，包括法律、 法规规定不得拍卖的财产，评估价值和预计拍卖收入明显少于拍卖费用的财产，易损、易腐、贬值较快、管理维护需要较大成本的低值易耗品以及单项资产价值较低的财产等，经向</w:t>
      </w:r>
      <w:r>
        <w:rPr>
          <w:rFonts w:hint="eastAsia" w:ascii="仿宋" w:hAnsi="仿宋" w:eastAsia="仿宋" w:cs="仿宋"/>
          <w:sz w:val="32"/>
          <w:szCs w:val="32"/>
          <w:lang w:val="en-US" w:eastAsia="zh-CN"/>
        </w:rPr>
        <w:t>裕华</w:t>
      </w:r>
      <w:r>
        <w:rPr>
          <w:rFonts w:hint="default" w:ascii="仿宋" w:hAnsi="仿宋" w:eastAsia="仿宋" w:cs="仿宋"/>
          <w:sz w:val="32"/>
          <w:szCs w:val="32"/>
          <w:lang w:val="en-US" w:eastAsia="zh-CN"/>
        </w:rPr>
        <w:t>法院报告， 管理人可以采取直接公开变卖或协议转让等方式处置。</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按照国家规定不能转让或者限制转让的财产，按照国家规定的方式处理。</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对于经过拍卖和公开变卖或协议转让等方式均无法处置的财产，法律、法规规定不得转让或者以其他形式处置的财产，管理人可以在报告</w:t>
      </w:r>
      <w:r>
        <w:rPr>
          <w:rFonts w:hint="eastAsia" w:ascii="仿宋" w:hAnsi="仿宋" w:eastAsia="仿宋" w:cs="仿宋"/>
          <w:sz w:val="32"/>
          <w:szCs w:val="32"/>
          <w:lang w:val="en-US" w:eastAsia="zh-CN"/>
        </w:rPr>
        <w:t>裕华</w:t>
      </w:r>
      <w:r>
        <w:rPr>
          <w:rFonts w:hint="default" w:ascii="仿宋" w:hAnsi="仿宋" w:eastAsia="仿宋" w:cs="仿宋"/>
          <w:sz w:val="32"/>
          <w:szCs w:val="32"/>
          <w:lang w:val="en-US" w:eastAsia="zh-CN"/>
        </w:rPr>
        <w:t>法院后予以报废、核销或者放弃处置。</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2、拍卖具体处置规则</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（1）资产拍卖原则上采取网络拍卖方式，网络拍卖平台将从最高人民法院确定的司法拍卖网络服务提供者名单库中选定。</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（2）在本议案经债权人会议表决通过或经人民法院裁定通过后，管理人将根据实际情况适时启动拍卖工作。</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（3）管理人实施网络拍卖应当先期公告。公告应同时在选择的网络拍卖平台和全国企业破产重整案件信息网上发布，并可以根据案件需要在其他媒体发布。</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（4）首次网络拍卖的起拍价为管理人聘请评估机构确定的拟处置资产评估值。管理人将根据具体拟拍卖资产的价值情况确定各次拍卖的增价幅度。</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（5）拍卖流拍后，管理人将再次拍卖，再次拍卖起拍价降价幅度不超过上一次起拍价的20%。 拟处置财产经三次拍卖后仍未拍卖成交的，管理人可以按照以下途径之一处置：</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继续下调起拍价格进行拍卖， 每次下调拍卖底价的福度不超过前次起拍价格的20%, 直至拍卖成交为止。</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2）经向裕华法院报告，采取公开变卖或协议转让等方式处置，变卖或转让的对价原则上不低于变卖或转让前最后一次拍卖的起拍价格。</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（6）拍卖成交后，由买受人自行到相关主管部门办理过户手续，管理人将给予必要的配合，买受人自行承担相关标的物过户的风险。</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拍卖成交时，成交价不包含标的物所涉的一切税、费；过户时所产生的一切税、费（包括但不限于增值税及附加、印花税、交易手续费、权证工本费、个人</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企业所得税和其它相关税收和费用，以及相关税收和费用的滞纳金、利息等，以相关部门最终核定为准）等依照相关法律规定由买受人和</w:t>
      </w:r>
      <w:r>
        <w:rPr>
          <w:rFonts w:hint="eastAsia" w:ascii="仿宋" w:hAnsi="仿宋" w:eastAsia="仿宋" w:cs="仿宋"/>
          <w:sz w:val="32"/>
          <w:szCs w:val="32"/>
          <w:lang w:val="en-US" w:eastAsia="zh-CN"/>
        </w:rPr>
        <w:t>一加一公司</w:t>
      </w:r>
      <w:r>
        <w:rPr>
          <w:rFonts w:hint="default" w:ascii="仿宋" w:hAnsi="仿宋" w:eastAsia="仿宋" w:cs="仿宋"/>
          <w:sz w:val="32"/>
          <w:szCs w:val="32"/>
          <w:lang w:val="en-US" w:eastAsia="zh-CN"/>
        </w:rPr>
        <w:t>各自承担其应缴纳部分。</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四、方案的生效</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本方案经本次债权人会议审议通过或裕华法院裁定确认后生效，对全体债权人具有约束力。</w:t>
      </w:r>
    </w:p>
    <w:p>
      <w:pPr>
        <w:keepNext w:val="0"/>
        <w:keepLines w:val="0"/>
        <w:pageBreakBefore w:val="0"/>
        <w:widowControl w:val="0"/>
        <w:kinsoku/>
        <w:wordWrap/>
        <w:overflowPunct/>
        <w:topLinePunct w:val="0"/>
        <w:autoSpaceDE/>
        <w:autoSpaceDN/>
        <w:bidi w:val="0"/>
        <w:adjustRightInd/>
        <w:snapToGrid/>
        <w:spacing w:line="240" w:lineRule="auto"/>
        <w:ind w:firstLine="56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以上为本方案内容，现提交债权人会议审议并表决。</w:t>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560"/>
        <w:jc w:val="righ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河北一加一教育科技</w:t>
      </w:r>
      <w:r>
        <w:rPr>
          <w:rFonts w:hint="eastAsia" w:ascii="仿宋" w:hAnsi="仿宋" w:eastAsia="仿宋" w:cs="仿宋"/>
          <w:sz w:val="32"/>
          <w:szCs w:val="32"/>
        </w:rPr>
        <w:t>有限公司管理人</w:t>
      </w:r>
    </w:p>
    <w:p>
      <w:pPr>
        <w:keepNext w:val="0"/>
        <w:keepLines w:val="0"/>
        <w:pageBreakBefore w:val="0"/>
        <w:widowControl w:val="0"/>
        <w:kinsoku/>
        <w:wordWrap/>
        <w:overflowPunct/>
        <w:topLinePunct w:val="0"/>
        <w:autoSpaceDE/>
        <w:autoSpaceDN/>
        <w:bidi w:val="0"/>
        <w:adjustRightInd/>
        <w:snapToGrid/>
        <w:spacing w:line="240" w:lineRule="auto"/>
        <w:ind w:firstLine="4720" w:firstLineChars="1475"/>
        <w:textAlignment w:val="auto"/>
        <w:rPr>
          <w:rFonts w:hint="eastAsia" w:ascii="仿宋" w:hAnsi="仿宋" w:eastAsia="仿宋" w:cs="仿宋"/>
          <w:sz w:val="32"/>
          <w:szCs w:val="32"/>
        </w:rPr>
      </w:pPr>
      <w:r>
        <w:rPr>
          <w:rFonts w:hint="eastAsia" w:ascii="仿宋" w:hAnsi="仿宋" w:eastAsia="仿宋" w:cs="仿宋"/>
          <w:sz w:val="32"/>
          <w:szCs w:val="32"/>
          <w:lang w:eastAsia="zh-CN"/>
        </w:rPr>
        <w:t>二○二四</w:t>
      </w:r>
      <w:r>
        <w:rPr>
          <w:rFonts w:hint="eastAsia" w:ascii="仿宋" w:hAnsi="仿宋" w:eastAsia="仿宋" w:cs="仿宋"/>
          <w:sz w:val="32"/>
          <w:szCs w:val="32"/>
        </w:rPr>
        <w:t>年</w:t>
      </w:r>
      <w:r>
        <w:rPr>
          <w:rFonts w:hint="eastAsia" w:ascii="仿宋" w:hAnsi="仿宋" w:eastAsia="仿宋" w:cs="仿宋"/>
          <w:sz w:val="32"/>
          <w:szCs w:val="32"/>
          <w:lang w:val="en-US" w:eastAsia="zh-CN"/>
        </w:rPr>
        <w:t>七</w:t>
      </w:r>
      <w:r>
        <w:rPr>
          <w:rFonts w:hint="eastAsia" w:ascii="仿宋" w:hAnsi="仿宋" w:eastAsia="仿宋" w:cs="仿宋"/>
          <w:sz w:val="32"/>
          <w:szCs w:val="32"/>
        </w:rPr>
        <w:t>月</w:t>
      </w:r>
      <w:r>
        <w:rPr>
          <w:rFonts w:hint="eastAsia" w:ascii="仿宋" w:hAnsi="仿宋" w:eastAsia="仿宋" w:cs="仿宋"/>
          <w:sz w:val="32"/>
          <w:szCs w:val="32"/>
          <w:lang w:val="en-US" w:eastAsia="zh-CN"/>
        </w:rPr>
        <w:t>九</w:t>
      </w:r>
      <w:r>
        <w:rPr>
          <w:rFonts w:hint="eastAsia" w:ascii="仿宋" w:hAnsi="仿宋" w:eastAsia="仿宋" w:cs="仿宋"/>
          <w:sz w:val="32"/>
          <w:szCs w:val="32"/>
        </w:rPr>
        <w:t>日</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5</w:t>
    </w:r>
    <w:r>
      <w:rPr>
        <w:rStyle w:val="8"/>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29E6CD3"/>
    <w:rsid w:val="0C031AB5"/>
    <w:rsid w:val="0CB87237"/>
    <w:rsid w:val="0E3F22A2"/>
    <w:rsid w:val="168C5EA5"/>
    <w:rsid w:val="190B633F"/>
    <w:rsid w:val="1A9C5838"/>
    <w:rsid w:val="1E1B7611"/>
    <w:rsid w:val="1E68343F"/>
    <w:rsid w:val="2698622E"/>
    <w:rsid w:val="270C4509"/>
    <w:rsid w:val="288938F5"/>
    <w:rsid w:val="2B9C0B36"/>
    <w:rsid w:val="2EF03DB8"/>
    <w:rsid w:val="2F7C2D39"/>
    <w:rsid w:val="305F7D9F"/>
    <w:rsid w:val="30ED34D7"/>
    <w:rsid w:val="326570B0"/>
    <w:rsid w:val="33F61A1E"/>
    <w:rsid w:val="3401720A"/>
    <w:rsid w:val="36B267F2"/>
    <w:rsid w:val="36D64771"/>
    <w:rsid w:val="384C6E5B"/>
    <w:rsid w:val="3DC627D2"/>
    <w:rsid w:val="44731D31"/>
    <w:rsid w:val="45236D65"/>
    <w:rsid w:val="49900626"/>
    <w:rsid w:val="4CB57EAE"/>
    <w:rsid w:val="4F317250"/>
    <w:rsid w:val="5030253F"/>
    <w:rsid w:val="55F95301"/>
    <w:rsid w:val="59A07C01"/>
    <w:rsid w:val="5A196040"/>
    <w:rsid w:val="5F6F2C77"/>
    <w:rsid w:val="62CB1086"/>
    <w:rsid w:val="632529AE"/>
    <w:rsid w:val="63B50CB9"/>
    <w:rsid w:val="65954ED5"/>
    <w:rsid w:val="6E076185"/>
    <w:rsid w:val="6E9437BA"/>
    <w:rsid w:val="70392E14"/>
    <w:rsid w:val="735D6314"/>
    <w:rsid w:val="75691D09"/>
    <w:rsid w:val="76C957C7"/>
    <w:rsid w:val="76D81E5A"/>
    <w:rsid w:val="7FA06A3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9"/>
    <w:semiHidden/>
    <w:qFormat/>
    <w:uiPriority w:val="99"/>
    <w:pPr>
      <w:ind w:firstLine="560" w:firstLineChars="200"/>
    </w:pPr>
    <w:rPr>
      <w:kern w:val="0"/>
      <w:sz w:val="20"/>
    </w:rPr>
  </w:style>
  <w:style w:type="paragraph" w:styleId="3">
    <w:name w:val="footer"/>
    <w:basedOn w:val="1"/>
    <w:link w:val="10"/>
    <w:qFormat/>
    <w:uiPriority w:val="99"/>
    <w:pPr>
      <w:tabs>
        <w:tab w:val="center" w:pos="4153"/>
        <w:tab w:val="right" w:pos="8306"/>
      </w:tabs>
      <w:snapToGrid w:val="0"/>
      <w:jc w:val="left"/>
    </w:pPr>
    <w:rPr>
      <w:kern w:val="0"/>
      <w:sz w:val="18"/>
      <w:szCs w:val="18"/>
    </w:rPr>
  </w:style>
  <w:style w:type="paragraph" w:styleId="4">
    <w:name w:val="header"/>
    <w:basedOn w:val="1"/>
    <w:link w:val="11"/>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5">
    <w:name w:val="Normal (Web)"/>
    <w:basedOn w:val="1"/>
    <w:semiHidden/>
    <w:unhideWhenUsed/>
    <w:qFormat/>
    <w:uiPriority w:val="99"/>
    <w:rPr>
      <w:sz w:val="24"/>
    </w:rPr>
  </w:style>
  <w:style w:type="character" w:styleId="8">
    <w:name w:val="page number"/>
    <w:basedOn w:val="7"/>
    <w:qFormat/>
    <w:uiPriority w:val="99"/>
    <w:rPr>
      <w:rFonts w:cs="Times New Roman"/>
    </w:rPr>
  </w:style>
  <w:style w:type="character" w:customStyle="1" w:styleId="9">
    <w:name w:val="Body Text Indent Char"/>
    <w:basedOn w:val="7"/>
    <w:link w:val="2"/>
    <w:semiHidden/>
    <w:qFormat/>
    <w:locked/>
    <w:uiPriority w:val="99"/>
    <w:rPr>
      <w:sz w:val="24"/>
    </w:rPr>
  </w:style>
  <w:style w:type="character" w:customStyle="1" w:styleId="10">
    <w:name w:val="Footer Char"/>
    <w:basedOn w:val="7"/>
    <w:link w:val="3"/>
    <w:semiHidden/>
    <w:qFormat/>
    <w:locked/>
    <w:uiPriority w:val="99"/>
    <w:rPr>
      <w:sz w:val="18"/>
    </w:rPr>
  </w:style>
  <w:style w:type="character" w:customStyle="1" w:styleId="11">
    <w:name w:val="Header Char"/>
    <w:basedOn w:val="7"/>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5</Pages>
  <Words>2149</Words>
  <Characters>2173</Characters>
  <Lines>0</Lines>
  <Paragraphs>0</Paragraphs>
  <TotalTime>38</TotalTime>
  <ScaleCrop>false</ScaleCrop>
  <LinksUpToDate>false</LinksUpToDate>
  <CharactersWithSpaces>2201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2024-07-05T13:21:35Z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