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48"/>
          <w:tab w:val="center" w:pos="4477"/>
        </w:tabs>
        <w:spacing w:line="560" w:lineRule="exact"/>
        <w:ind w:firstLine="649" w:firstLineChars="147"/>
        <w:rPr>
          <w:rFonts w:ascii="黑体" w:hAnsi="黑体" w:eastAsia="黑体" w:cs="微软雅黑"/>
          <w:b/>
          <w:bCs/>
          <w:sz w:val="44"/>
          <w:szCs w:val="44"/>
        </w:rPr>
      </w:pPr>
      <w:r>
        <w:rPr>
          <w:rFonts w:hint="eastAsia" w:ascii="宋体" w:hAnsi="宋体" w:cs="微软雅黑"/>
          <w:b/>
          <w:bCs/>
          <w:color w:val="FF000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仿宋_GB2312"/>
          <w:b/>
          <w:bCs/>
          <w:sz w:val="36"/>
          <w:szCs w:val="36"/>
          <w:lang w:eastAsia="zh-CN"/>
        </w:rPr>
      </w:pPr>
      <w:r>
        <w:rPr>
          <w:rFonts w:hint="eastAsia" w:ascii="宋体" w:hAnsi="宋体" w:eastAsia="宋体" w:cs="宋体"/>
          <w:b/>
          <w:bCs/>
          <w:color w:val="000000"/>
          <w:sz w:val="44"/>
          <w:szCs w:val="44"/>
        </w:rPr>
        <w:t>河北一加一教育科技</w:t>
      </w:r>
      <w:r>
        <w:rPr>
          <w:rFonts w:hint="eastAsia" w:ascii="宋体" w:hAnsi="宋体" w:eastAsia="宋体" w:cs="宋体"/>
          <w:b/>
          <w:bCs/>
          <w:sz w:val="44"/>
          <w:szCs w:val="44"/>
        </w:rPr>
        <w:t>有限公司</w:t>
      </w:r>
      <w:r>
        <w:rPr>
          <w:rFonts w:hint="eastAsia" w:ascii="宋体" w:hAnsi="宋体" w:eastAsia="宋体" w:cs="宋体"/>
          <w:b/>
          <w:bCs/>
          <w:sz w:val="44"/>
          <w:szCs w:val="44"/>
          <w:lang w:eastAsia="zh-CN"/>
        </w:rPr>
        <w:t>破产清算案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eastAsia="宋体" w:cs="微软雅黑"/>
          <w:b/>
          <w:bCs/>
          <w:sz w:val="44"/>
          <w:szCs w:val="44"/>
          <w:lang w:eastAsia="zh-CN"/>
        </w:rPr>
      </w:pPr>
      <w:r>
        <w:rPr>
          <w:rFonts w:hint="eastAsia"/>
          <w:b/>
          <w:bCs/>
          <w:sz w:val="44"/>
          <w:szCs w:val="44"/>
          <w:lang w:eastAsia="zh-CN"/>
        </w:rPr>
        <w:t>关于债权人会议议事机制与表决规则的议案</w:t>
      </w:r>
    </w:p>
    <w:p>
      <w:pPr>
        <w:spacing w:line="520" w:lineRule="exact"/>
        <w:jc w:val="right"/>
        <w:rPr>
          <w:rFonts w:ascii="仿宋" w:hAnsi="仿宋" w:eastAsia="仿宋"/>
          <w:sz w:val="28"/>
          <w:szCs w:val="28"/>
        </w:rPr>
      </w:pPr>
    </w:p>
    <w:p>
      <w:pPr>
        <w:spacing w:line="560" w:lineRule="exact"/>
        <w:ind w:firstLine="640" w:firstLineChars="200"/>
        <w:rPr>
          <w:rFonts w:hint="eastAsia" w:ascii="仿宋" w:hAnsi="仿宋" w:eastAsia="仿宋" w:cs="仿宋"/>
          <w:sz w:val="32"/>
          <w:szCs w:val="32"/>
          <w:lang w:val="en-US"/>
        </w:rPr>
      </w:pPr>
      <w:r>
        <w:rPr>
          <w:rFonts w:hint="eastAsia" w:ascii="仿宋" w:hAnsi="仿宋" w:eastAsia="仿宋" w:cs="仿宋"/>
          <w:sz w:val="32"/>
          <w:szCs w:val="32"/>
          <w:lang w:val="en-US" w:eastAsia="zh-CN"/>
        </w:rPr>
        <w:t>2024年5月30日，石家庄市中级人民法院作出（2024）冀01破申13号之民事裁定书，裁定受理河北一加一教育科技有限公司的破产清算，并指定石家庄市裕华区人民法院（以下简称“裕华法院”）审理。裕华法院于2024年5月31日作出（2024）冀0108破2号之决定书，指定河北天宏律师事务所担任河北一加一教育科技有限公司管理人，负责开展破产清算工作。</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为提高工作效率，根据《中华人民共和国企业破产法》（以下简称“《企业破产法》”）第五十九条、第六十一条、第六十三条、第六十四条、第六十五条之规定，管理人特提议就本次债权人会议之后涉及到需由债权人会议审议、表决的事项，可以采用书面审议的方式组织债权人会议进行表决，具体规则如下：</w:t>
      </w:r>
    </w:p>
    <w:p>
      <w:pPr>
        <w:spacing w:line="560" w:lineRule="exact"/>
        <w:ind w:firstLine="56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一、书面审议方式</w:t>
      </w:r>
    </w:p>
    <w:p>
      <w:pPr>
        <w:spacing w:line="56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一）对需要征询债权人意见或需要债权人决议的事项，可由管理人向债权人书面通知审议、决议内容。书面通知指包括但不限于邮寄文件、发送电子邮件、发送手机短信、微信、公开网络公告等能以文字方式送达的一切方式。对以上述方式送达的，发送至债权人提交的债权申报文件中载明的联系方式或其后债权人或其委托代理人通过邮寄文件、发送电子邮件、短信、微信等方式提交给管理人的联系方式即为送达。</w:t>
      </w:r>
    </w:p>
    <w:p>
      <w:pPr>
        <w:spacing w:line="56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二）债权人收到管理人送达的书面需审议、决议的内容后，应于指定期间内书面回复，回复方式包括但不限于邮寄文件、发送电子邮件、短信、微信等能以文字方式送达的一切方式。以电子信息回复的，信息应当源自于债权申报表中载明的债权人或委托代理人的联系方式或其后债权人或委托代理人通过邮寄、电子邮件、短信、微信等方式提交给管理人的联系方式方式。</w:t>
      </w:r>
    </w:p>
    <w:p>
      <w:pPr>
        <w:spacing w:line="56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三）债权人需在管理人规定的表决期限内表决。以书面方式表决的，债权人应签名或加盖公章；以电子送达方式表决的，管理人通过打印、拍照等方式及时提取记载表决内容的电子数据，并盖章或由管理人的两名工作人员签字确认。为保障债权人及时、高效履行债权人会议职责，对于逾期未向管理人提交书面表决结果或逾期提交书面表决结果或提交的表决结果不符合规定的债权人，将视为其同意相应待表决议案，或者同意管理人在债权人会议表决通过议案或者不通过议案时，允许管理人采取对应的方案。</w:t>
      </w:r>
    </w:p>
    <w:p>
      <w:pPr>
        <w:spacing w:line="560" w:lineRule="exact"/>
        <w:ind w:firstLine="56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二、书面审议的表决规则</w:t>
      </w:r>
    </w:p>
    <w:p>
      <w:pPr>
        <w:spacing w:line="560" w:lineRule="exact"/>
        <w:ind w:firstLine="560"/>
        <w:rPr>
          <w:rFonts w:hint="eastAsia" w:ascii="仿宋" w:hAnsi="仿宋" w:eastAsia="仿宋" w:cs="仿宋"/>
          <w:sz w:val="32"/>
          <w:szCs w:val="32"/>
          <w:lang w:eastAsia="zh-CN"/>
        </w:rPr>
      </w:pPr>
      <w:bookmarkStart w:id="0" w:name="_GoBack"/>
      <w:r>
        <w:rPr>
          <w:rFonts w:hint="eastAsia" w:ascii="仿宋" w:hAnsi="仿宋" w:eastAsia="仿宋" w:cs="仿宋"/>
          <w:sz w:val="32"/>
          <w:szCs w:val="32"/>
          <w:lang w:eastAsia="zh-CN"/>
        </w:rPr>
        <w:t>对于债权人会议通过书面审议方式决议的，适用《企业破产法》第六十四条规定“债权人会议的决议，由出席会议的有表决权的债权人过半数通过，并且其所代表的债权额占无财产担保债权总额的二分之一以上</w:t>
      </w:r>
      <w:r>
        <w:rPr>
          <w:rFonts w:hint="eastAsia" w:ascii="仿宋" w:hAnsi="仿宋" w:eastAsia="仿宋" w:cs="仿宋"/>
          <w:sz w:val="32"/>
          <w:szCs w:val="32"/>
          <w:lang w:eastAsia="zh-CN"/>
        </w:rPr>
        <w:t>”，书面审议表决人数及代表的债权总额符合上述规定的，视为决议通过。</w:t>
      </w:r>
    </w:p>
    <w:bookmarkEnd w:id="0"/>
    <w:p>
      <w:pPr>
        <w:spacing w:line="560" w:lineRule="exact"/>
        <w:ind w:firstLine="56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三、权利救济</w:t>
      </w:r>
    </w:p>
    <w:p>
      <w:pPr>
        <w:spacing w:line="560" w:lineRule="exact"/>
        <w:ind w:firstLine="56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最终的表决结果管理人将通过全国企业破产重整案件信息网（http://pccz.court.gov.cn/pcajxxw/index/xxwsy）等渠道进行公示或告知，如债权人认为债权人会议的表决违反法律规定，损害其利益的，可以自债权人会议作出决议之日起十五日之内，请求法院裁定撤销该决议，责令依法重新作出决议。</w:t>
      </w:r>
    </w:p>
    <w:p>
      <w:pPr>
        <w:spacing w:line="560" w:lineRule="exact"/>
        <w:ind w:firstLine="56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四、其他</w:t>
      </w:r>
    </w:p>
    <w:p>
      <w:pPr>
        <w:spacing w:line="560" w:lineRule="exact"/>
        <w:ind w:firstLine="56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债权人会议的决议，对全体债权人均有拘束力。如有其他未尽事宜，依据相关法律法规规定办理。</w:t>
      </w:r>
    </w:p>
    <w:p>
      <w:pPr>
        <w:spacing w:line="560" w:lineRule="exact"/>
        <w:ind w:firstLine="560"/>
        <w:rPr>
          <w:rFonts w:hint="eastAsia" w:ascii="仿宋" w:hAnsi="仿宋" w:eastAsia="仿宋" w:cs="仿宋"/>
          <w:sz w:val="32"/>
          <w:szCs w:val="32"/>
          <w:lang w:val="en-US" w:eastAsia="zh-CN"/>
        </w:rPr>
      </w:pPr>
    </w:p>
    <w:p>
      <w:pPr>
        <w:spacing w:line="560" w:lineRule="exact"/>
        <w:ind w:firstLine="560"/>
        <w:rPr>
          <w:rFonts w:hint="eastAsia" w:ascii="仿宋" w:hAnsi="仿宋" w:eastAsia="仿宋" w:cs="仿宋"/>
          <w:sz w:val="32"/>
          <w:szCs w:val="32"/>
        </w:rPr>
      </w:pPr>
      <w:r>
        <w:rPr>
          <w:rFonts w:hint="eastAsia" w:ascii="仿宋" w:hAnsi="仿宋" w:eastAsia="仿宋" w:cs="仿宋"/>
          <w:sz w:val="32"/>
          <w:szCs w:val="32"/>
          <w:lang w:val="en-US" w:eastAsia="zh-CN"/>
        </w:rPr>
        <w:t>以上债权人会议议事机制与表决规则，请</w:t>
      </w:r>
      <w:r>
        <w:rPr>
          <w:rFonts w:hint="eastAsia" w:ascii="仿宋" w:hAnsi="仿宋" w:eastAsia="仿宋" w:cs="仿宋"/>
          <w:sz w:val="32"/>
          <w:szCs w:val="32"/>
        </w:rPr>
        <w:t>债权人会议审议</w:t>
      </w:r>
      <w:r>
        <w:rPr>
          <w:rFonts w:hint="eastAsia" w:ascii="仿宋" w:hAnsi="仿宋" w:eastAsia="仿宋" w:cs="仿宋"/>
          <w:sz w:val="32"/>
          <w:szCs w:val="32"/>
          <w:lang w:eastAsia="zh-CN"/>
        </w:rPr>
        <w:t>并表决</w:t>
      </w:r>
      <w:r>
        <w:rPr>
          <w:rFonts w:hint="eastAsia" w:ascii="仿宋" w:hAnsi="仿宋" w:eastAsia="仿宋" w:cs="仿宋"/>
          <w:sz w:val="32"/>
          <w:szCs w:val="32"/>
        </w:rPr>
        <w:t>。</w:t>
      </w:r>
    </w:p>
    <w:p>
      <w:pPr>
        <w:spacing w:line="560" w:lineRule="exact"/>
        <w:ind w:firstLine="4720" w:firstLineChars="1475"/>
        <w:rPr>
          <w:rFonts w:hint="eastAsia" w:ascii="仿宋" w:hAnsi="仿宋" w:eastAsia="仿宋" w:cs="仿宋"/>
          <w:sz w:val="32"/>
          <w:szCs w:val="32"/>
        </w:rPr>
      </w:pPr>
    </w:p>
    <w:p>
      <w:pPr>
        <w:spacing w:line="560" w:lineRule="exact"/>
        <w:ind w:firstLine="4720" w:firstLineChars="1475"/>
        <w:rPr>
          <w:rFonts w:hint="eastAsia" w:ascii="仿宋" w:hAnsi="仿宋" w:eastAsia="仿宋" w:cs="仿宋"/>
          <w:sz w:val="32"/>
          <w:szCs w:val="32"/>
        </w:rPr>
      </w:pPr>
    </w:p>
    <w:p>
      <w:pPr>
        <w:spacing w:line="560" w:lineRule="exact"/>
        <w:ind w:firstLine="4720" w:firstLineChars="1475"/>
        <w:rPr>
          <w:rFonts w:hint="eastAsia" w:ascii="仿宋" w:hAnsi="仿宋" w:eastAsia="仿宋" w:cs="仿宋"/>
          <w:sz w:val="32"/>
          <w:szCs w:val="32"/>
        </w:rPr>
      </w:pPr>
    </w:p>
    <w:p>
      <w:pPr>
        <w:spacing w:line="560" w:lineRule="exact"/>
        <w:ind w:firstLine="560"/>
        <w:jc w:val="right"/>
        <w:rPr>
          <w:rFonts w:hint="eastAsia" w:ascii="仿宋" w:hAnsi="仿宋" w:eastAsia="仿宋" w:cs="仿宋"/>
          <w:sz w:val="32"/>
          <w:szCs w:val="32"/>
        </w:rPr>
      </w:pPr>
      <w:r>
        <w:rPr>
          <w:rFonts w:hint="eastAsia" w:ascii="仿宋" w:hAnsi="仿宋" w:eastAsia="仿宋" w:cs="仿宋"/>
          <w:sz w:val="32"/>
          <w:szCs w:val="32"/>
          <w:lang w:val="en-US" w:eastAsia="zh-CN"/>
        </w:rPr>
        <w:t xml:space="preserve">  河北一加一教育科技</w:t>
      </w:r>
      <w:r>
        <w:rPr>
          <w:rFonts w:hint="eastAsia" w:ascii="仿宋" w:hAnsi="仿宋" w:eastAsia="仿宋" w:cs="仿宋"/>
          <w:sz w:val="32"/>
          <w:szCs w:val="32"/>
        </w:rPr>
        <w:t>有限公司管理人</w:t>
      </w:r>
    </w:p>
    <w:p>
      <w:pPr>
        <w:spacing w:line="560" w:lineRule="exact"/>
        <w:ind w:firstLine="4720" w:firstLineChars="1475"/>
        <w:rPr>
          <w:rFonts w:hint="eastAsia" w:ascii="仿宋" w:hAnsi="仿宋" w:eastAsia="仿宋" w:cs="仿宋"/>
          <w:sz w:val="32"/>
          <w:szCs w:val="32"/>
          <w:lang w:eastAsia="zh-CN"/>
        </w:rPr>
      </w:pPr>
      <w:r>
        <w:rPr>
          <w:rFonts w:hint="eastAsia" w:ascii="仿宋" w:hAnsi="仿宋" w:eastAsia="仿宋" w:cs="仿宋"/>
          <w:sz w:val="32"/>
          <w:szCs w:val="32"/>
          <w:lang w:eastAsia="zh-CN"/>
        </w:rPr>
        <w:t>二○二四年七月九日</w:t>
      </w:r>
    </w:p>
    <w:sectPr>
      <w:footerReference r:id="rId3" w:type="default"/>
      <w:footerReference r:id="rId4" w:type="even"/>
      <w:pgSz w:w="11906" w:h="16838"/>
      <w:pgMar w:top="1440" w:right="1576"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5</w:t>
    </w:r>
    <w:r>
      <w:rPr>
        <w:rStyle w:val="7"/>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MmI5NGYwZGQwMDU0MDY2YzcyNzQwYzFhZDU4YzMifQ=="/>
  </w:docVars>
  <w:rsids>
    <w:rsidRoot w:val="007D50B9"/>
    <w:rsid w:val="000344D3"/>
    <w:rsid w:val="000C2185"/>
    <w:rsid w:val="00134A21"/>
    <w:rsid w:val="001B0E4F"/>
    <w:rsid w:val="001B70F3"/>
    <w:rsid w:val="001C47D6"/>
    <w:rsid w:val="00350FA2"/>
    <w:rsid w:val="00355E87"/>
    <w:rsid w:val="00384BBD"/>
    <w:rsid w:val="0041327F"/>
    <w:rsid w:val="00420658"/>
    <w:rsid w:val="0047604F"/>
    <w:rsid w:val="004A336C"/>
    <w:rsid w:val="004A3840"/>
    <w:rsid w:val="004D7AC3"/>
    <w:rsid w:val="004E5337"/>
    <w:rsid w:val="00505C45"/>
    <w:rsid w:val="005C1DC4"/>
    <w:rsid w:val="005F4637"/>
    <w:rsid w:val="006040EA"/>
    <w:rsid w:val="0064605C"/>
    <w:rsid w:val="00646DE5"/>
    <w:rsid w:val="00687041"/>
    <w:rsid w:val="006A1423"/>
    <w:rsid w:val="006B690B"/>
    <w:rsid w:val="006B7497"/>
    <w:rsid w:val="00760409"/>
    <w:rsid w:val="007813E8"/>
    <w:rsid w:val="00781A6A"/>
    <w:rsid w:val="00783F92"/>
    <w:rsid w:val="007D50B9"/>
    <w:rsid w:val="007E146B"/>
    <w:rsid w:val="007E2F76"/>
    <w:rsid w:val="008D38F2"/>
    <w:rsid w:val="008D56C0"/>
    <w:rsid w:val="008E0948"/>
    <w:rsid w:val="008F478F"/>
    <w:rsid w:val="009E229C"/>
    <w:rsid w:val="009F0B9B"/>
    <w:rsid w:val="009F6C08"/>
    <w:rsid w:val="00A81DCC"/>
    <w:rsid w:val="00A961E2"/>
    <w:rsid w:val="00AC6D96"/>
    <w:rsid w:val="00AD0DC6"/>
    <w:rsid w:val="00AD2E29"/>
    <w:rsid w:val="00B72CCF"/>
    <w:rsid w:val="00B766B6"/>
    <w:rsid w:val="00C0394F"/>
    <w:rsid w:val="00C16C70"/>
    <w:rsid w:val="00C91873"/>
    <w:rsid w:val="00CD4194"/>
    <w:rsid w:val="00D31C77"/>
    <w:rsid w:val="00D809F7"/>
    <w:rsid w:val="00DD63F7"/>
    <w:rsid w:val="00DE1B28"/>
    <w:rsid w:val="00DF4FA0"/>
    <w:rsid w:val="00E24575"/>
    <w:rsid w:val="00E24D0D"/>
    <w:rsid w:val="00E35391"/>
    <w:rsid w:val="00E523C1"/>
    <w:rsid w:val="00EB7B67"/>
    <w:rsid w:val="00ED0748"/>
    <w:rsid w:val="00ED2643"/>
    <w:rsid w:val="00F37D9F"/>
    <w:rsid w:val="00F44F67"/>
    <w:rsid w:val="00F74AAB"/>
    <w:rsid w:val="00FC1280"/>
    <w:rsid w:val="00FC5A70"/>
    <w:rsid w:val="071217F3"/>
    <w:rsid w:val="0AF719CE"/>
    <w:rsid w:val="0BC55B76"/>
    <w:rsid w:val="0C031AB5"/>
    <w:rsid w:val="0CB87237"/>
    <w:rsid w:val="0E3F22A2"/>
    <w:rsid w:val="190B633F"/>
    <w:rsid w:val="1D70551D"/>
    <w:rsid w:val="1E1B7611"/>
    <w:rsid w:val="1E68343F"/>
    <w:rsid w:val="2698622E"/>
    <w:rsid w:val="270C4509"/>
    <w:rsid w:val="2F7C2D39"/>
    <w:rsid w:val="2FF02863"/>
    <w:rsid w:val="305F7D9F"/>
    <w:rsid w:val="30ED34D7"/>
    <w:rsid w:val="326570B0"/>
    <w:rsid w:val="33F61A1E"/>
    <w:rsid w:val="36B267F2"/>
    <w:rsid w:val="384C6E5B"/>
    <w:rsid w:val="3DC627D2"/>
    <w:rsid w:val="44731D31"/>
    <w:rsid w:val="45236D65"/>
    <w:rsid w:val="46934BAA"/>
    <w:rsid w:val="49900626"/>
    <w:rsid w:val="5030253F"/>
    <w:rsid w:val="5A196040"/>
    <w:rsid w:val="5F6F2C77"/>
    <w:rsid w:val="62CB1086"/>
    <w:rsid w:val="65954ED5"/>
    <w:rsid w:val="6E076185"/>
    <w:rsid w:val="6E9437BA"/>
    <w:rsid w:val="70392E14"/>
    <w:rsid w:val="70CC6F26"/>
    <w:rsid w:val="735D6314"/>
    <w:rsid w:val="75691D09"/>
    <w:rsid w:val="76C957C7"/>
    <w:rsid w:val="76D81E5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8"/>
    <w:semiHidden/>
    <w:qFormat/>
    <w:uiPriority w:val="99"/>
    <w:pPr>
      <w:ind w:firstLine="560" w:firstLineChars="200"/>
    </w:pPr>
    <w:rPr>
      <w:kern w:val="0"/>
      <w:sz w:val="20"/>
    </w:rPr>
  </w:style>
  <w:style w:type="paragraph" w:styleId="3">
    <w:name w:val="footer"/>
    <w:basedOn w:val="1"/>
    <w:link w:val="9"/>
    <w:qFormat/>
    <w:uiPriority w:val="99"/>
    <w:pPr>
      <w:tabs>
        <w:tab w:val="center" w:pos="4153"/>
        <w:tab w:val="right" w:pos="8306"/>
      </w:tabs>
      <w:snapToGrid w:val="0"/>
      <w:jc w:val="left"/>
    </w:pPr>
    <w:rPr>
      <w:kern w:val="0"/>
      <w:sz w:val="18"/>
      <w:szCs w:val="18"/>
    </w:rPr>
  </w:style>
  <w:style w:type="paragraph" w:styleId="4">
    <w:name w:val="header"/>
    <w:basedOn w:val="1"/>
    <w:link w:val="10"/>
    <w:semiHidden/>
    <w:qFormat/>
    <w:uiPriority w:val="99"/>
    <w:pPr>
      <w:pBdr>
        <w:bottom w:val="single" w:color="auto" w:sz="6" w:space="1"/>
      </w:pBdr>
      <w:tabs>
        <w:tab w:val="center" w:pos="4153"/>
        <w:tab w:val="right" w:pos="8306"/>
      </w:tabs>
      <w:snapToGrid w:val="0"/>
      <w:jc w:val="center"/>
    </w:pPr>
    <w:rPr>
      <w:kern w:val="0"/>
      <w:sz w:val="18"/>
      <w:szCs w:val="18"/>
    </w:rPr>
  </w:style>
  <w:style w:type="character" w:styleId="7">
    <w:name w:val="page number"/>
    <w:basedOn w:val="6"/>
    <w:qFormat/>
    <w:uiPriority w:val="99"/>
    <w:rPr>
      <w:rFonts w:cs="Times New Roman"/>
    </w:rPr>
  </w:style>
  <w:style w:type="character" w:customStyle="1" w:styleId="8">
    <w:name w:val="Body Text Indent Char"/>
    <w:basedOn w:val="6"/>
    <w:link w:val="2"/>
    <w:semiHidden/>
    <w:qFormat/>
    <w:locked/>
    <w:uiPriority w:val="99"/>
    <w:rPr>
      <w:sz w:val="24"/>
    </w:rPr>
  </w:style>
  <w:style w:type="character" w:customStyle="1" w:styleId="9">
    <w:name w:val="Footer Char"/>
    <w:basedOn w:val="6"/>
    <w:link w:val="3"/>
    <w:semiHidden/>
    <w:qFormat/>
    <w:locked/>
    <w:uiPriority w:val="99"/>
    <w:rPr>
      <w:sz w:val="18"/>
    </w:rPr>
  </w:style>
  <w:style w:type="character" w:customStyle="1" w:styleId="10">
    <w:name w:val="Header Char"/>
    <w:basedOn w:val="6"/>
    <w:link w:val="4"/>
    <w:semiHidden/>
    <w:qFormat/>
    <w:locked/>
    <w:uiPriority w:val="99"/>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3</Pages>
  <Words>1264</Words>
  <Characters>1326</Characters>
  <Lines>0</Lines>
  <Paragraphs>0</Paragraphs>
  <TotalTime>55</TotalTime>
  <ScaleCrop>false</ScaleCrop>
  <LinksUpToDate>false</LinksUpToDate>
  <CharactersWithSpaces>1346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lenovo</dc:creator>
  <cp:lastModifiedBy>Administrator</cp:lastModifiedBy>
  <cp:lastPrinted>2023-10-19T19:53:00Z</cp:lastPrinted>
  <dcterms:modified xsi:type="dcterms:W3CDTF">2024-07-05T13:27:35Z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62AF6EAD7E6FE7F4D05975665B908BF6_43</vt:lpwstr>
  </property>
</Properties>
</file>