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948"/>
          <w:tab w:val="center" w:pos="4477"/>
        </w:tabs>
        <w:spacing w:line="560" w:lineRule="exact"/>
        <w:ind w:firstLine="649" w:firstLineChars="147"/>
        <w:rPr>
          <w:rFonts w:ascii="黑体" w:hAnsi="黑体" w:eastAsia="黑体" w:cs="微软雅黑"/>
          <w:b/>
          <w:bCs/>
          <w:sz w:val="44"/>
          <w:szCs w:val="44"/>
        </w:rPr>
      </w:pPr>
      <w:r>
        <w:rPr>
          <w:rFonts w:hint="eastAsia" w:ascii="宋体" w:hAnsi="宋体" w:cs="微软雅黑"/>
          <w:b/>
          <w:bCs/>
          <w:color w:val="FF0000"/>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仿宋_GB2312"/>
          <w:b/>
          <w:bCs/>
          <w:sz w:val="36"/>
          <w:szCs w:val="36"/>
          <w:lang w:eastAsia="zh-CN"/>
        </w:rPr>
      </w:pPr>
      <w:r>
        <w:rPr>
          <w:rFonts w:hint="eastAsia" w:ascii="宋体" w:hAnsi="宋体" w:eastAsia="宋体" w:cs="宋体"/>
          <w:b/>
          <w:bCs/>
          <w:color w:val="000000"/>
          <w:sz w:val="44"/>
          <w:szCs w:val="44"/>
        </w:rPr>
        <w:t>河北一加一教育科技</w:t>
      </w:r>
      <w:r>
        <w:rPr>
          <w:rFonts w:hint="eastAsia" w:ascii="宋体" w:hAnsi="宋体" w:eastAsia="宋体" w:cs="宋体"/>
          <w:b/>
          <w:bCs/>
          <w:sz w:val="44"/>
          <w:szCs w:val="44"/>
        </w:rPr>
        <w:t>有限公司</w:t>
      </w:r>
      <w:r>
        <w:rPr>
          <w:rFonts w:hint="eastAsia" w:ascii="宋体" w:hAnsi="宋体" w:eastAsia="宋体" w:cs="宋体"/>
          <w:b/>
          <w:bCs/>
          <w:sz w:val="44"/>
          <w:szCs w:val="44"/>
          <w:lang w:eastAsia="zh-CN"/>
        </w:rPr>
        <w:t>破产清算案</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宋体" w:cs="微软雅黑"/>
          <w:b/>
          <w:bCs/>
          <w:sz w:val="44"/>
          <w:szCs w:val="44"/>
        </w:rPr>
      </w:pPr>
      <w:r>
        <w:rPr>
          <w:rFonts w:hint="eastAsia"/>
          <w:b/>
          <w:bCs/>
          <w:sz w:val="44"/>
          <w:szCs w:val="44"/>
        </w:rPr>
        <w:t>管理人</w:t>
      </w:r>
      <w:r>
        <w:rPr>
          <w:rFonts w:hint="eastAsia"/>
          <w:b/>
          <w:bCs/>
          <w:sz w:val="44"/>
          <w:szCs w:val="44"/>
          <w:lang w:eastAsia="zh-CN"/>
        </w:rPr>
        <w:t>履行职务工作</w:t>
      </w:r>
      <w:r>
        <w:rPr>
          <w:rFonts w:hint="eastAsia"/>
          <w:b/>
          <w:bCs/>
          <w:sz w:val="44"/>
          <w:szCs w:val="44"/>
        </w:rPr>
        <w:t>报告</w:t>
      </w:r>
    </w:p>
    <w:p>
      <w:pPr>
        <w:spacing w:line="520" w:lineRule="exact"/>
        <w:jc w:val="right"/>
        <w:rPr>
          <w:rFonts w:ascii="仿宋" w:hAnsi="仿宋" w:eastAsia="仿宋"/>
          <w:sz w:val="28"/>
          <w:szCs w:val="28"/>
        </w:rPr>
      </w:pPr>
    </w:p>
    <w:p>
      <w:pPr>
        <w:spacing w:line="560" w:lineRule="exact"/>
        <w:rPr>
          <w:rFonts w:ascii="仿宋" w:hAnsi="仿宋" w:eastAsia="仿宋"/>
          <w:color w:val="auto"/>
          <w:sz w:val="32"/>
          <w:szCs w:val="32"/>
        </w:rPr>
      </w:pPr>
      <w:r>
        <w:rPr>
          <w:rFonts w:hint="eastAsia" w:ascii="仿宋" w:hAnsi="仿宋" w:eastAsia="仿宋"/>
          <w:color w:val="auto"/>
          <w:sz w:val="32"/>
          <w:szCs w:val="32"/>
          <w:lang w:eastAsia="zh-CN"/>
        </w:rPr>
        <w:t>尊敬的合议庭、</w:t>
      </w:r>
      <w:r>
        <w:rPr>
          <w:rFonts w:hint="eastAsia" w:ascii="仿宋" w:hAnsi="仿宋" w:eastAsia="仿宋"/>
          <w:color w:val="auto"/>
          <w:sz w:val="32"/>
          <w:szCs w:val="32"/>
        </w:rPr>
        <w:t>各位债权人，大家上午好！</w:t>
      </w:r>
    </w:p>
    <w:p>
      <w:pPr>
        <w:spacing w:line="560" w:lineRule="exact"/>
        <w:ind w:firstLine="640" w:firstLineChars="200"/>
        <w:rPr>
          <w:rFonts w:hint="eastAsia" w:ascii="仿宋" w:hAnsi="仿宋" w:eastAsia="仿宋" w:cs="仿宋"/>
          <w:color w:val="auto"/>
          <w:sz w:val="32"/>
          <w:szCs w:val="32"/>
          <w:lang w:val="en-US"/>
        </w:rPr>
      </w:pPr>
      <w:r>
        <w:rPr>
          <w:rFonts w:hint="eastAsia" w:ascii="仿宋" w:hAnsi="仿宋" w:eastAsia="仿宋" w:cs="仿宋"/>
          <w:color w:val="auto"/>
          <w:sz w:val="32"/>
          <w:szCs w:val="32"/>
          <w:lang w:val="en-US" w:eastAsia="zh-CN"/>
        </w:rPr>
        <w:t>石家庄市中级人民法院于2024年5月30日作出（2024）冀01破申13号之民事裁定书，裁定受理李茗对河北一加一教育科技有限公司（以下简称“一加一公司”）的破产清算申请，并指定石家庄市裕华区人民（以下简称“裕华法院”）法院审理。裕华法院于2024年5月31日作出（2024）冀0108破2号之决定书，指定河北天宏律师事务所担任河北一加一教育科技有限公司管理人，负责开展破产清算工作。</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自接受法院指定后，管理人在法院的监督指导</w:t>
      </w:r>
      <w:r>
        <w:rPr>
          <w:rFonts w:hint="eastAsia" w:ascii="仿宋" w:hAnsi="仿宋" w:eastAsia="仿宋" w:cs="仿宋"/>
          <w:color w:val="auto"/>
          <w:sz w:val="32"/>
          <w:szCs w:val="32"/>
          <w:lang w:eastAsia="zh-CN"/>
        </w:rPr>
        <w:t>和协助下</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在债权人、职工等各方的支持和配合下，为最大限度维护债权人的合法权益为目标，</w:t>
      </w:r>
      <w:r>
        <w:rPr>
          <w:rFonts w:hint="eastAsia" w:ascii="仿宋" w:hAnsi="仿宋" w:eastAsia="仿宋" w:cs="仿宋"/>
          <w:color w:val="auto"/>
          <w:sz w:val="32"/>
          <w:szCs w:val="32"/>
        </w:rPr>
        <w:t>勤勉尽责，忠实</w:t>
      </w:r>
      <w:r>
        <w:rPr>
          <w:rFonts w:hint="eastAsia" w:ascii="仿宋" w:hAnsi="仿宋" w:eastAsia="仿宋" w:cs="仿宋"/>
          <w:color w:val="auto"/>
          <w:sz w:val="32"/>
          <w:szCs w:val="32"/>
          <w:lang w:eastAsia="zh-CN"/>
        </w:rPr>
        <w:t>履行管理人</w:t>
      </w:r>
      <w:r>
        <w:rPr>
          <w:rFonts w:hint="eastAsia" w:ascii="仿宋" w:hAnsi="仿宋" w:eastAsia="仿宋" w:cs="仿宋"/>
          <w:color w:val="auto"/>
          <w:sz w:val="32"/>
          <w:szCs w:val="32"/>
        </w:rPr>
        <w:t>职务</w:t>
      </w:r>
      <w:r>
        <w:rPr>
          <w:rFonts w:hint="eastAsia" w:ascii="仿宋" w:hAnsi="仿宋" w:eastAsia="仿宋" w:cs="仿宋"/>
          <w:color w:val="auto"/>
          <w:sz w:val="32"/>
          <w:szCs w:val="32"/>
          <w:lang w:eastAsia="zh-CN"/>
        </w:rPr>
        <w:t>，依法、</w:t>
      </w:r>
      <w:r>
        <w:rPr>
          <w:rFonts w:hint="eastAsia" w:ascii="仿宋" w:hAnsi="仿宋" w:eastAsia="仿宋" w:cs="仿宋"/>
          <w:color w:val="auto"/>
          <w:sz w:val="32"/>
          <w:szCs w:val="32"/>
        </w:rPr>
        <w:t>快速、有序开展破产清算工作。</w:t>
      </w:r>
      <w:r>
        <w:rPr>
          <w:rFonts w:hint="eastAsia" w:ascii="仿宋" w:hAnsi="仿宋" w:eastAsia="仿宋" w:cs="仿宋"/>
          <w:color w:val="auto"/>
          <w:sz w:val="32"/>
          <w:szCs w:val="32"/>
          <w:lang w:eastAsia="zh-CN"/>
        </w:rPr>
        <w:t>现根据</w:t>
      </w:r>
      <w:r>
        <w:rPr>
          <w:rFonts w:hint="eastAsia" w:ascii="仿宋" w:hAnsi="仿宋" w:eastAsia="仿宋" w:cs="仿宋"/>
          <w:color w:val="auto"/>
          <w:sz w:val="32"/>
          <w:szCs w:val="32"/>
        </w:rPr>
        <w:t>《中华人民共和国企业破产法》</w:t>
      </w:r>
      <w:r>
        <w:rPr>
          <w:rFonts w:hint="eastAsia" w:ascii="仿宋" w:hAnsi="仿宋" w:eastAsia="仿宋" w:cs="仿宋"/>
          <w:color w:val="auto"/>
          <w:sz w:val="32"/>
          <w:szCs w:val="32"/>
          <w:lang w:eastAsia="zh-CN"/>
        </w:rPr>
        <w:t>（以下简称“《企业破产法》”）</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相关规定，由</w:t>
      </w:r>
      <w:r>
        <w:rPr>
          <w:rFonts w:hint="eastAsia" w:ascii="仿宋" w:hAnsi="仿宋" w:eastAsia="仿宋" w:cs="仿宋"/>
          <w:color w:val="auto"/>
          <w:sz w:val="32"/>
          <w:szCs w:val="32"/>
        </w:rPr>
        <w:t>我代表管理人向债权人会议报告管理人</w:t>
      </w:r>
      <w:r>
        <w:rPr>
          <w:rFonts w:hint="eastAsia" w:ascii="仿宋" w:hAnsi="仿宋" w:eastAsia="仿宋" w:cs="仿宋"/>
          <w:color w:val="auto"/>
          <w:sz w:val="32"/>
          <w:szCs w:val="32"/>
          <w:lang w:eastAsia="zh-CN"/>
        </w:rPr>
        <w:t>履行职务</w:t>
      </w:r>
      <w:r>
        <w:rPr>
          <w:rFonts w:hint="eastAsia" w:ascii="仿宋" w:hAnsi="仿宋" w:eastAsia="仿宋" w:cs="仿宋"/>
          <w:color w:val="auto"/>
          <w:sz w:val="32"/>
          <w:szCs w:val="32"/>
        </w:rPr>
        <w:t>的情况。</w:t>
      </w:r>
    </w:p>
    <w:p>
      <w:pPr>
        <w:spacing w:line="560" w:lineRule="exact"/>
        <w:ind w:firstLine="630" w:firstLineChars="196"/>
        <w:rPr>
          <w:rFonts w:hint="eastAsia" w:ascii="仿宋" w:hAnsi="仿宋" w:eastAsia="仿宋" w:cs="仿宋"/>
          <w:b/>
          <w:bCs/>
          <w:color w:val="auto"/>
          <w:sz w:val="32"/>
          <w:szCs w:val="32"/>
        </w:rPr>
      </w:pPr>
      <w:r>
        <w:rPr>
          <w:rFonts w:hint="eastAsia" w:ascii="仿宋" w:hAnsi="仿宋" w:eastAsia="仿宋" w:cs="仿宋"/>
          <w:b/>
          <w:bCs/>
          <w:color w:val="auto"/>
          <w:sz w:val="32"/>
          <w:szCs w:val="32"/>
        </w:rPr>
        <w:t>一、债务人基本情况</w:t>
      </w:r>
    </w:p>
    <w:p>
      <w:pPr>
        <w:adjustRightInd w:val="0"/>
        <w:snapToGrid w:val="0"/>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河北一加一教育科技有限公司于2017年02月10日经裕华区市场监督管理局批准注册成立，注册资本金</w:t>
      </w:r>
      <w:r>
        <w:rPr>
          <w:rFonts w:hint="eastAsia" w:ascii="仿宋" w:hAnsi="仿宋" w:eastAsia="仿宋" w:cs="仿宋"/>
          <w:color w:val="auto"/>
          <w:sz w:val="32"/>
          <w:szCs w:val="32"/>
          <w:lang w:val="en-US" w:eastAsia="zh-CN"/>
        </w:rPr>
        <w:t>300</w:t>
      </w:r>
      <w:r>
        <w:rPr>
          <w:rFonts w:hint="eastAsia" w:ascii="仿宋" w:hAnsi="仿宋" w:eastAsia="仿宋" w:cs="仿宋"/>
          <w:color w:val="auto"/>
          <w:sz w:val="32"/>
          <w:szCs w:val="32"/>
        </w:rPr>
        <w:t>万元，其中闫琳博</w:t>
      </w:r>
      <w:r>
        <w:rPr>
          <w:rFonts w:hint="eastAsia" w:ascii="仿宋" w:hAnsi="仿宋" w:eastAsia="仿宋" w:cs="仿宋"/>
          <w:color w:val="auto"/>
          <w:sz w:val="32"/>
          <w:szCs w:val="32"/>
          <w:lang w:eastAsia="zh-CN"/>
        </w:rPr>
        <w:t>认缴</w:t>
      </w:r>
      <w:r>
        <w:rPr>
          <w:rFonts w:hint="eastAsia" w:ascii="仿宋" w:hAnsi="仿宋" w:eastAsia="仿宋" w:cs="仿宋"/>
          <w:color w:val="auto"/>
          <w:sz w:val="32"/>
          <w:szCs w:val="32"/>
        </w:rPr>
        <w:t>出资</w:t>
      </w:r>
      <w:r>
        <w:rPr>
          <w:rFonts w:hint="eastAsia" w:ascii="仿宋" w:hAnsi="仿宋" w:eastAsia="仿宋" w:cs="仿宋"/>
          <w:color w:val="auto"/>
          <w:sz w:val="32"/>
          <w:szCs w:val="32"/>
          <w:lang w:val="en-US" w:eastAsia="zh-CN"/>
        </w:rPr>
        <w:t>150</w:t>
      </w:r>
      <w:r>
        <w:rPr>
          <w:rFonts w:hint="eastAsia" w:ascii="仿宋" w:hAnsi="仿宋" w:eastAsia="仿宋" w:cs="仿宋"/>
          <w:color w:val="auto"/>
          <w:sz w:val="32"/>
          <w:szCs w:val="32"/>
        </w:rPr>
        <w:t>万</w:t>
      </w:r>
      <w:r>
        <w:rPr>
          <w:rFonts w:hint="eastAsia" w:ascii="仿宋" w:hAnsi="仿宋" w:eastAsia="仿宋" w:cs="仿宋"/>
          <w:color w:val="auto"/>
          <w:sz w:val="32"/>
          <w:szCs w:val="32"/>
          <w:lang w:eastAsia="zh-CN"/>
        </w:rPr>
        <w:t>元</w:t>
      </w:r>
      <w:r>
        <w:rPr>
          <w:rFonts w:hint="eastAsia" w:ascii="仿宋" w:hAnsi="仿宋" w:eastAsia="仿宋" w:cs="仿宋"/>
          <w:color w:val="auto"/>
          <w:sz w:val="32"/>
          <w:szCs w:val="32"/>
        </w:rPr>
        <w:t>，李玉松</w:t>
      </w:r>
      <w:r>
        <w:rPr>
          <w:rFonts w:hint="eastAsia" w:ascii="仿宋" w:hAnsi="仿宋" w:eastAsia="仿宋" w:cs="仿宋"/>
          <w:color w:val="auto"/>
          <w:sz w:val="32"/>
          <w:szCs w:val="32"/>
          <w:lang w:eastAsia="zh-CN"/>
        </w:rPr>
        <w:t>认缴</w:t>
      </w:r>
      <w:r>
        <w:rPr>
          <w:rFonts w:hint="eastAsia" w:ascii="仿宋" w:hAnsi="仿宋" w:eastAsia="仿宋" w:cs="仿宋"/>
          <w:color w:val="auto"/>
          <w:sz w:val="32"/>
          <w:szCs w:val="32"/>
        </w:rPr>
        <w:t>出资</w:t>
      </w:r>
      <w:r>
        <w:rPr>
          <w:rFonts w:hint="eastAsia" w:ascii="仿宋" w:hAnsi="仿宋" w:eastAsia="仿宋" w:cs="仿宋"/>
          <w:color w:val="auto"/>
          <w:sz w:val="32"/>
          <w:szCs w:val="32"/>
          <w:lang w:val="en-US" w:eastAsia="zh-CN"/>
        </w:rPr>
        <w:t>150</w:t>
      </w:r>
      <w:r>
        <w:rPr>
          <w:rFonts w:hint="eastAsia" w:ascii="仿宋" w:hAnsi="仿宋" w:eastAsia="仿宋" w:cs="仿宋"/>
          <w:color w:val="auto"/>
          <w:sz w:val="32"/>
          <w:szCs w:val="32"/>
        </w:rPr>
        <w:t>万</w:t>
      </w:r>
      <w:r>
        <w:rPr>
          <w:rFonts w:hint="eastAsia" w:ascii="仿宋" w:hAnsi="仿宋" w:eastAsia="仿宋" w:cs="仿宋"/>
          <w:color w:val="auto"/>
          <w:sz w:val="32"/>
          <w:szCs w:val="32"/>
          <w:lang w:eastAsia="zh-CN"/>
        </w:rPr>
        <w:t>元</w:t>
      </w:r>
      <w:r>
        <w:rPr>
          <w:rFonts w:hint="eastAsia" w:ascii="仿宋" w:hAnsi="仿宋" w:eastAsia="仿宋" w:cs="仿宋"/>
          <w:color w:val="auto"/>
          <w:sz w:val="32"/>
          <w:szCs w:val="32"/>
        </w:rPr>
        <w:t>，注册地址为河北省石家庄市裕华区东方观邸6-2-102。2020年9月3日，公司股东</w:t>
      </w:r>
      <w:r>
        <w:rPr>
          <w:rFonts w:hint="eastAsia" w:ascii="仿宋" w:hAnsi="仿宋" w:eastAsia="仿宋" w:cs="仿宋"/>
          <w:color w:val="auto"/>
          <w:sz w:val="32"/>
          <w:szCs w:val="32"/>
          <w:lang w:eastAsia="zh-CN"/>
        </w:rPr>
        <w:t>李玉松退出，公司股东</w:t>
      </w:r>
      <w:r>
        <w:rPr>
          <w:rFonts w:hint="eastAsia" w:ascii="仿宋" w:hAnsi="仿宋" w:eastAsia="仿宋" w:cs="仿宋"/>
          <w:color w:val="auto"/>
          <w:sz w:val="32"/>
          <w:szCs w:val="32"/>
        </w:rPr>
        <w:t xml:space="preserve">变更为闫琳博 </w:t>
      </w:r>
      <w:r>
        <w:rPr>
          <w:rFonts w:hint="eastAsia" w:ascii="仿宋" w:hAnsi="仿宋" w:eastAsia="仿宋" w:cs="仿宋"/>
          <w:color w:val="auto"/>
          <w:sz w:val="32"/>
          <w:szCs w:val="32"/>
          <w:lang w:eastAsia="zh-CN"/>
        </w:rPr>
        <w:t>，出资比例</w:t>
      </w:r>
      <w:r>
        <w:rPr>
          <w:rFonts w:hint="eastAsia" w:ascii="仿宋" w:hAnsi="仿宋" w:eastAsia="仿宋" w:cs="仿宋"/>
          <w:color w:val="auto"/>
          <w:sz w:val="32"/>
          <w:szCs w:val="32"/>
          <w:lang w:val="en-US" w:eastAsia="zh-CN"/>
        </w:rPr>
        <w:t>100%</w:t>
      </w:r>
      <w:r>
        <w:rPr>
          <w:rFonts w:hint="eastAsia" w:ascii="仿宋" w:hAnsi="仿宋" w:eastAsia="仿宋" w:cs="仿宋"/>
          <w:color w:val="auto"/>
          <w:sz w:val="32"/>
          <w:szCs w:val="32"/>
        </w:rPr>
        <w:t>。2021年5月13日</w:t>
      </w:r>
      <w:r>
        <w:rPr>
          <w:rFonts w:hint="eastAsia" w:ascii="仿宋" w:hAnsi="仿宋" w:eastAsia="仿宋" w:cs="仿宋"/>
          <w:color w:val="auto"/>
          <w:sz w:val="32"/>
          <w:szCs w:val="32"/>
          <w:lang w:eastAsia="zh-CN"/>
        </w:rPr>
        <w:t>公司股东变更</w:t>
      </w:r>
      <w:r>
        <w:rPr>
          <w:rFonts w:hint="eastAsia" w:ascii="仿宋" w:hAnsi="仿宋" w:eastAsia="仿宋" w:cs="仿宋"/>
          <w:color w:val="auto"/>
          <w:sz w:val="32"/>
          <w:szCs w:val="32"/>
        </w:rPr>
        <w:t>闫琳博</w:t>
      </w:r>
      <w:r>
        <w:rPr>
          <w:rFonts w:hint="eastAsia" w:ascii="仿宋" w:hAnsi="仿宋" w:eastAsia="仿宋" w:cs="仿宋"/>
          <w:color w:val="auto"/>
          <w:sz w:val="32"/>
          <w:szCs w:val="32"/>
          <w:lang w:eastAsia="zh-CN"/>
        </w:rPr>
        <w:t>认缴</w:t>
      </w:r>
      <w:r>
        <w:rPr>
          <w:rFonts w:hint="eastAsia" w:ascii="仿宋" w:hAnsi="仿宋" w:eastAsia="仿宋" w:cs="仿宋"/>
          <w:color w:val="auto"/>
          <w:sz w:val="32"/>
          <w:szCs w:val="32"/>
        </w:rPr>
        <w:t>出资 60万</w:t>
      </w:r>
      <w:r>
        <w:rPr>
          <w:rFonts w:hint="eastAsia" w:ascii="仿宋" w:hAnsi="仿宋" w:eastAsia="仿宋" w:cs="仿宋"/>
          <w:color w:val="auto"/>
          <w:sz w:val="32"/>
          <w:szCs w:val="32"/>
          <w:lang w:eastAsia="zh-CN"/>
        </w:rPr>
        <w:t>元</w:t>
      </w:r>
      <w:r>
        <w:rPr>
          <w:rFonts w:hint="eastAsia" w:ascii="仿宋" w:hAnsi="仿宋" w:eastAsia="仿宋" w:cs="仿宋"/>
          <w:color w:val="auto"/>
          <w:sz w:val="32"/>
          <w:szCs w:val="32"/>
        </w:rPr>
        <w:t>;崔建茹</w:t>
      </w:r>
      <w:r>
        <w:rPr>
          <w:rFonts w:hint="eastAsia" w:ascii="仿宋" w:hAnsi="仿宋" w:eastAsia="仿宋" w:cs="仿宋"/>
          <w:color w:val="auto"/>
          <w:sz w:val="32"/>
          <w:szCs w:val="32"/>
          <w:lang w:eastAsia="zh-CN"/>
        </w:rPr>
        <w:t>认缴</w:t>
      </w:r>
      <w:r>
        <w:rPr>
          <w:rFonts w:hint="eastAsia" w:ascii="仿宋" w:hAnsi="仿宋" w:eastAsia="仿宋" w:cs="仿宋"/>
          <w:color w:val="auto"/>
          <w:sz w:val="32"/>
          <w:szCs w:val="32"/>
        </w:rPr>
        <w:t>出资 240万</w:t>
      </w:r>
      <w:r>
        <w:rPr>
          <w:rFonts w:hint="eastAsia" w:ascii="仿宋" w:hAnsi="仿宋" w:eastAsia="仿宋" w:cs="仿宋"/>
          <w:color w:val="auto"/>
          <w:sz w:val="32"/>
          <w:szCs w:val="32"/>
          <w:lang w:eastAsia="zh-CN"/>
        </w:rPr>
        <w:t>元</w:t>
      </w:r>
      <w:r>
        <w:rPr>
          <w:rFonts w:hint="eastAsia" w:ascii="仿宋" w:hAnsi="仿宋" w:eastAsia="仿宋" w:cs="仿宋"/>
          <w:color w:val="auto"/>
          <w:sz w:val="32"/>
          <w:szCs w:val="32"/>
        </w:rPr>
        <w:t>;现经营范围为：教育软件开发、技术咨询、技术服务、技术转让；翻译服务；教育产品研发与销售；企业管理咨询；企业形象策划；会议及展览展示服务；图书、音像制品的销售；赛事活动策划；文化艺术交流活动策划；文具用品、玩具的批发与零售；自营或代理各类商品和技术的进出口业务（国家限制经营或禁止进出口的商品和技术除外）。（依法须经批准的项目，经相关部门批准后方可开展经营活动）。</w:t>
      </w:r>
    </w:p>
    <w:p>
      <w:pPr>
        <w:adjustRightInd w:val="0"/>
        <w:snapToGrid w:val="0"/>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管理人于</w:t>
      </w:r>
      <w:r>
        <w:rPr>
          <w:rFonts w:hint="eastAsia" w:ascii="仿宋" w:hAnsi="仿宋" w:eastAsia="仿宋" w:cs="仿宋"/>
          <w:color w:val="auto"/>
          <w:sz w:val="32"/>
          <w:szCs w:val="32"/>
          <w:lang w:val="en-US" w:eastAsia="zh-CN"/>
        </w:rPr>
        <w:t>2024年6月3日到债务人注册经营地址实地勘察，</w:t>
      </w:r>
      <w:r>
        <w:rPr>
          <w:rFonts w:hint="eastAsia" w:ascii="仿宋" w:hAnsi="仿宋" w:eastAsia="仿宋" w:cs="仿宋"/>
          <w:b w:val="0"/>
          <w:bCs w:val="0"/>
          <w:color w:val="auto"/>
          <w:sz w:val="32"/>
          <w:szCs w:val="32"/>
          <w:lang w:eastAsia="zh-CN"/>
        </w:rPr>
        <w:t>经实地走访，确认一加一公司已不再原场地经营。原经营地址系一加一公司与全城开发商签订租赁合同租赁使用，因一加一公司欠缴租赁费用，该场地由全城开开发商另行出租给他人。</w:t>
      </w:r>
    </w:p>
    <w:p>
      <w:pPr>
        <w:spacing w:line="560" w:lineRule="exact"/>
        <w:ind w:firstLine="560"/>
        <w:rPr>
          <w:rFonts w:hint="eastAsia" w:ascii="仿宋" w:hAnsi="仿宋" w:eastAsia="仿宋" w:cs="仿宋"/>
          <w:color w:val="auto"/>
          <w:sz w:val="32"/>
          <w:szCs w:val="32"/>
        </w:rPr>
      </w:pPr>
      <w:r>
        <w:rPr>
          <w:rFonts w:hint="eastAsia" w:ascii="仿宋" w:hAnsi="仿宋" w:eastAsia="仿宋" w:cs="仿宋"/>
          <w:b/>
          <w:bCs/>
          <w:color w:val="auto"/>
          <w:sz w:val="32"/>
          <w:szCs w:val="32"/>
        </w:rPr>
        <w:t>二、</w:t>
      </w:r>
      <w:r>
        <w:rPr>
          <w:rFonts w:hint="eastAsia" w:ascii="仿宋" w:hAnsi="仿宋" w:eastAsia="仿宋" w:cs="仿宋"/>
          <w:b/>
          <w:color w:val="auto"/>
          <w:sz w:val="32"/>
          <w:szCs w:val="32"/>
          <w:lang w:eastAsia="zh-CN"/>
        </w:rPr>
        <w:t>搭建管理人工作架构和机构</w:t>
      </w:r>
    </w:p>
    <w:p>
      <w:pPr>
        <w:spacing w:line="560" w:lineRule="exact"/>
        <w:ind w:firstLine="56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管理人接受法院指定后，</w:t>
      </w:r>
      <w:r>
        <w:rPr>
          <w:rFonts w:hint="eastAsia" w:ascii="仿宋" w:hAnsi="仿宋" w:eastAsia="仿宋" w:cs="仿宋"/>
          <w:color w:val="auto"/>
          <w:sz w:val="32"/>
          <w:szCs w:val="32"/>
          <w:lang w:eastAsia="zh-CN"/>
        </w:rPr>
        <w:t>为保障管理人工作分步有序开展，</w:t>
      </w:r>
      <w:r>
        <w:rPr>
          <w:rFonts w:hint="eastAsia" w:ascii="仿宋" w:hAnsi="仿宋" w:eastAsia="仿宋" w:cs="仿宋"/>
          <w:color w:val="auto"/>
          <w:sz w:val="32"/>
          <w:szCs w:val="32"/>
        </w:rPr>
        <w:t>根据一加一公司破产清算工作预案和实际需要，</w:t>
      </w:r>
      <w:r>
        <w:rPr>
          <w:rFonts w:hint="eastAsia" w:ascii="仿宋" w:hAnsi="仿宋" w:eastAsia="仿宋" w:cs="仿宋"/>
          <w:color w:val="auto"/>
          <w:sz w:val="32"/>
          <w:szCs w:val="32"/>
          <w:lang w:eastAsia="zh-CN"/>
        </w:rPr>
        <w:t>组建由</w:t>
      </w:r>
      <w:r>
        <w:rPr>
          <w:rFonts w:hint="eastAsia" w:ascii="仿宋" w:hAnsi="仿宋" w:eastAsia="仿宋" w:cs="仿宋"/>
          <w:color w:val="auto"/>
          <w:sz w:val="32"/>
          <w:szCs w:val="32"/>
          <w:lang w:val="en-US" w:eastAsia="zh-CN"/>
        </w:rPr>
        <w:t>11名律师组成的专业工作团队，设立了五个工作小组从多个维度同步推进清算工作，</w:t>
      </w:r>
      <w:r>
        <w:rPr>
          <w:rFonts w:hint="eastAsia" w:ascii="仿宋" w:hAnsi="仿宋" w:eastAsia="仿宋" w:cs="仿宋"/>
          <w:color w:val="auto"/>
          <w:sz w:val="32"/>
          <w:szCs w:val="32"/>
        </w:rPr>
        <w:t>分别</w:t>
      </w:r>
      <w:r>
        <w:rPr>
          <w:rFonts w:hint="eastAsia" w:ascii="仿宋" w:hAnsi="仿宋" w:eastAsia="仿宋" w:cs="仿宋"/>
          <w:color w:val="auto"/>
          <w:sz w:val="32"/>
          <w:szCs w:val="32"/>
          <w:lang w:eastAsia="zh-CN"/>
        </w:rPr>
        <w:t>为：</w:t>
      </w:r>
      <w:r>
        <w:rPr>
          <w:rFonts w:hint="eastAsia" w:ascii="仿宋" w:hAnsi="仿宋" w:eastAsia="仿宋" w:cs="仿宋"/>
          <w:color w:val="auto"/>
          <w:sz w:val="32"/>
          <w:szCs w:val="32"/>
        </w:rPr>
        <w:t>综合事务组</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债权审查组、资产管理组、诉讼</w:t>
      </w:r>
      <w:r>
        <w:rPr>
          <w:rFonts w:hint="eastAsia" w:ascii="仿宋" w:hAnsi="仿宋" w:eastAsia="仿宋" w:cs="仿宋"/>
          <w:color w:val="auto"/>
          <w:sz w:val="32"/>
          <w:szCs w:val="32"/>
          <w:lang w:eastAsia="zh-CN"/>
        </w:rPr>
        <w:t>仲裁</w:t>
      </w:r>
      <w:r>
        <w:rPr>
          <w:rFonts w:hint="eastAsia" w:ascii="仿宋" w:hAnsi="仿宋" w:eastAsia="仿宋" w:cs="仿宋"/>
          <w:color w:val="auto"/>
          <w:sz w:val="32"/>
          <w:szCs w:val="32"/>
        </w:rPr>
        <w:t>组</w:t>
      </w:r>
      <w:r>
        <w:rPr>
          <w:rFonts w:hint="eastAsia" w:ascii="仿宋" w:hAnsi="仿宋" w:eastAsia="仿宋" w:cs="仿宋"/>
          <w:color w:val="auto"/>
          <w:sz w:val="32"/>
          <w:szCs w:val="32"/>
          <w:lang w:eastAsia="zh-CN"/>
        </w:rPr>
        <w:t>、方案议案起草组。同时，为依法推进本案工作，切实履行管理人职责，根据本案实际情况，管理人</w:t>
      </w:r>
      <w:r>
        <w:rPr>
          <w:rFonts w:hint="eastAsia" w:ascii="仿宋" w:hAnsi="仿宋" w:eastAsia="仿宋" w:cs="仿宋"/>
          <w:color w:val="auto"/>
          <w:sz w:val="32"/>
          <w:szCs w:val="32"/>
        </w:rPr>
        <w:t>制定了一加一公司破产清算各项工作制度，详细规定了管理人议事和决策、财务管理、</w:t>
      </w:r>
      <w:r>
        <w:rPr>
          <w:rFonts w:hint="eastAsia" w:ascii="仿宋" w:hAnsi="仿宋" w:eastAsia="仿宋" w:cs="仿宋"/>
          <w:color w:val="auto"/>
          <w:sz w:val="32"/>
          <w:szCs w:val="32"/>
          <w:lang w:eastAsia="zh-CN"/>
        </w:rPr>
        <w:t>印章</w:t>
      </w:r>
      <w:r>
        <w:rPr>
          <w:rFonts w:hint="eastAsia" w:ascii="仿宋" w:hAnsi="仿宋" w:eastAsia="仿宋" w:cs="仿宋"/>
          <w:color w:val="auto"/>
          <w:sz w:val="32"/>
          <w:szCs w:val="32"/>
        </w:rPr>
        <w:t>管理、</w:t>
      </w:r>
      <w:r>
        <w:rPr>
          <w:rFonts w:hint="eastAsia" w:ascii="仿宋" w:hAnsi="仿宋" w:eastAsia="仿宋" w:cs="仿宋"/>
          <w:color w:val="auto"/>
          <w:sz w:val="32"/>
          <w:szCs w:val="32"/>
          <w:lang w:eastAsia="zh-CN"/>
        </w:rPr>
        <w:t>档案管理、处理突发事件应急预案</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工作流程与要求</w:t>
      </w:r>
      <w:r>
        <w:rPr>
          <w:rFonts w:hint="eastAsia" w:ascii="仿宋" w:hAnsi="仿宋" w:eastAsia="仿宋" w:cs="仿宋"/>
          <w:color w:val="auto"/>
          <w:sz w:val="32"/>
          <w:szCs w:val="32"/>
        </w:rPr>
        <w:t>，确保管理人各项工作依法合规、有章可循。</w:t>
      </w:r>
      <w:r>
        <w:rPr>
          <w:rFonts w:hint="eastAsia" w:ascii="仿宋" w:hAnsi="仿宋" w:eastAsia="仿宋" w:cs="仿宋"/>
          <w:color w:val="auto"/>
          <w:sz w:val="32"/>
          <w:szCs w:val="32"/>
          <w:lang w:eastAsia="zh-CN"/>
        </w:rPr>
        <w:t>管理人根据上述工作制度，并结合各阶段工作目标，适时调整工作重心，优化内部人员分工和配置。</w:t>
      </w:r>
    </w:p>
    <w:p>
      <w:pPr>
        <w:spacing w:line="56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为履职需求，根据《企业破产法》的相关规定，</w:t>
      </w: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日，管理人</w:t>
      </w:r>
      <w:r>
        <w:rPr>
          <w:rFonts w:hint="eastAsia" w:ascii="仿宋" w:hAnsi="仿宋" w:eastAsia="仿宋" w:cs="仿宋"/>
          <w:color w:val="auto"/>
          <w:sz w:val="32"/>
          <w:szCs w:val="32"/>
          <w:lang w:eastAsia="zh-CN"/>
        </w:rPr>
        <w:t>持</w:t>
      </w:r>
      <w:r>
        <w:rPr>
          <w:rFonts w:hint="eastAsia" w:ascii="仿宋" w:hAnsi="仿宋" w:eastAsia="仿宋" w:cs="仿宋"/>
          <w:color w:val="auto"/>
          <w:sz w:val="32"/>
          <w:szCs w:val="32"/>
        </w:rPr>
        <w:t>法院</w:t>
      </w:r>
      <w:r>
        <w:rPr>
          <w:rFonts w:hint="eastAsia" w:ascii="仿宋" w:hAnsi="仿宋" w:eastAsia="仿宋" w:cs="仿宋"/>
          <w:color w:val="auto"/>
          <w:sz w:val="32"/>
          <w:szCs w:val="32"/>
          <w:lang w:eastAsia="zh-CN"/>
        </w:rPr>
        <w:t>公</w:t>
      </w:r>
      <w:r>
        <w:rPr>
          <w:rFonts w:hint="eastAsia" w:ascii="仿宋" w:hAnsi="仿宋" w:eastAsia="仿宋" w:cs="仿宋"/>
          <w:color w:val="auto"/>
          <w:sz w:val="32"/>
          <w:szCs w:val="32"/>
        </w:rPr>
        <w:t>函开立了管理人银行账户，刻印了管理人公章、财务专用章和负责人名章并已在公安机关进行备案。</w:t>
      </w:r>
    </w:p>
    <w:p>
      <w:pPr>
        <w:spacing w:line="560" w:lineRule="exact"/>
        <w:ind w:firstLine="643" w:firstLineChars="200"/>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三、自觉接受人民法院的监督和指导</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管理人自觉接受裕华法院监督与指导，积极与裕华法院沟通汇报破产清算工作进展以及过程中出现的各项问题。在裕华法院2024年6月3日</w:t>
      </w:r>
      <w:r>
        <w:rPr>
          <w:rFonts w:hint="eastAsia" w:ascii="仿宋" w:hAnsi="仿宋" w:eastAsia="仿宋" w:cs="仿宋"/>
          <w:color w:val="auto"/>
          <w:sz w:val="32"/>
          <w:szCs w:val="32"/>
          <w:lang w:eastAsia="zh-CN"/>
        </w:rPr>
        <w:t>发布</w:t>
      </w:r>
      <w:r>
        <w:rPr>
          <w:rFonts w:hint="eastAsia" w:ascii="仿宋" w:hAnsi="仿宋" w:eastAsia="仿宋" w:cs="仿宋"/>
          <w:color w:val="auto"/>
          <w:sz w:val="32"/>
          <w:szCs w:val="32"/>
          <w:lang w:val="en-US" w:eastAsia="zh-CN"/>
        </w:rPr>
        <w:t>（2024）</w:t>
      </w:r>
      <w:r>
        <w:rPr>
          <w:rFonts w:hint="eastAsia" w:ascii="仿宋" w:hAnsi="仿宋" w:eastAsia="仿宋" w:cs="仿宋"/>
          <w:color w:val="auto"/>
          <w:sz w:val="32"/>
          <w:szCs w:val="32"/>
        </w:rPr>
        <w:t>冀</w:t>
      </w:r>
      <w:r>
        <w:rPr>
          <w:rFonts w:hint="eastAsia" w:ascii="仿宋" w:hAnsi="仿宋" w:eastAsia="仿宋" w:cs="仿宋"/>
          <w:color w:val="auto"/>
          <w:sz w:val="32"/>
          <w:szCs w:val="32"/>
          <w:lang w:val="en-US" w:eastAsia="zh-CN"/>
        </w:rPr>
        <w:t>0108</w:t>
      </w:r>
      <w:r>
        <w:rPr>
          <w:rFonts w:hint="eastAsia" w:ascii="仿宋" w:hAnsi="仿宋" w:eastAsia="仿宋" w:cs="仿宋"/>
          <w:color w:val="auto"/>
          <w:sz w:val="32"/>
          <w:szCs w:val="32"/>
        </w:rPr>
        <w:t>破申</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号</w:t>
      </w:r>
      <w:r>
        <w:rPr>
          <w:rFonts w:hint="eastAsia" w:ascii="仿宋" w:hAnsi="仿宋" w:eastAsia="仿宋" w:cs="仿宋"/>
          <w:color w:val="auto"/>
          <w:sz w:val="32"/>
          <w:szCs w:val="32"/>
          <w:lang w:eastAsia="zh-CN"/>
        </w:rPr>
        <w:t>公告的同时，</w:t>
      </w:r>
      <w:r>
        <w:rPr>
          <w:rFonts w:hint="eastAsia" w:ascii="仿宋" w:hAnsi="仿宋" w:eastAsia="仿宋" w:cs="仿宋"/>
          <w:color w:val="auto"/>
          <w:sz w:val="32"/>
          <w:szCs w:val="32"/>
          <w:lang w:val="en-US" w:eastAsia="zh-CN"/>
        </w:rPr>
        <w:t>配合</w:t>
      </w:r>
      <w:r>
        <w:rPr>
          <w:rFonts w:hint="eastAsia" w:ascii="仿宋" w:hAnsi="仿宋" w:eastAsia="仿宋" w:cs="仿宋"/>
          <w:color w:val="auto"/>
          <w:sz w:val="32"/>
          <w:szCs w:val="32"/>
          <w:lang w:eastAsia="zh-CN"/>
        </w:rPr>
        <w:t>裕华法院同时在</w:t>
      </w:r>
      <w:r>
        <w:rPr>
          <w:rFonts w:hint="eastAsia" w:ascii="仿宋" w:hAnsi="仿宋" w:eastAsia="仿宋" w:cs="仿宋"/>
          <w:color w:val="auto"/>
          <w:sz w:val="32"/>
          <w:szCs w:val="32"/>
        </w:rPr>
        <w:t>全国企业破产重整案件信息网发布债权申报须知</w:t>
      </w:r>
      <w:r>
        <w:rPr>
          <w:rFonts w:hint="eastAsia" w:ascii="仿宋" w:hAnsi="仿宋" w:eastAsia="仿宋" w:cs="仿宋"/>
          <w:color w:val="auto"/>
          <w:sz w:val="32"/>
          <w:szCs w:val="32"/>
          <w:lang w:eastAsia="zh-CN"/>
        </w:rPr>
        <w:t>等相关文件。</w:t>
      </w:r>
    </w:p>
    <w:p>
      <w:pPr>
        <w:spacing w:line="560" w:lineRule="exact"/>
        <w:ind w:firstLine="643" w:firstLineChars="200"/>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四、持续高效推进债权申报与审查工作</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管理人在接受裕华法院的指定后，立即着手对债务人的已知债权人进行梳理，在裕华法院的协助下，获取已知债权人名单以及联系方式。</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为充分保障债权人的知情权，管理人采取网上公开公告、EMS快递邮寄、电话等多种方式向全部62户已知债权人公告和通知债权申报事宜，并通过多种方式向债权人送达债权申报须知、债权申报表等申报文件。</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为提高申报效率，管理人在《债权申报须知》中为债权人提供了多渠道的债权申报方式，包括现场方式、邮寄快递方式、电子邮件方式。截至2024年7月3日，共有35户债权人申报债权42笔（包括一户债权人申报多笔债权的情况），均为普通债权，合计申报债权金额为人民币499447.23元。在此过程中，管理人协助进入执行程序的债权人与执行法院沟通提供生效证明，确定迟延履行金起算时间，认真负责地解答债权人提出的债权申报问题咨询，指导债权人填写债权申报文件，研究债权申报过程中出现的法律问题，并对接收的债权申报资料及时登记造册，并严格依据法律规定对上述债权进行审查。有关债权申报及审查情况将在《</w:t>
      </w:r>
      <w:r>
        <w:rPr>
          <w:rFonts w:hint="eastAsia" w:ascii="仿宋" w:hAnsi="仿宋" w:eastAsia="仿宋" w:cs="仿宋"/>
          <w:color w:val="auto"/>
          <w:sz w:val="32"/>
          <w:szCs w:val="32"/>
          <w:lang w:val="en-US" w:eastAsia="zh-Hans"/>
        </w:rPr>
        <w:t>债权申报及审查</w:t>
      </w:r>
      <w:r>
        <w:rPr>
          <w:rFonts w:hint="eastAsia" w:ascii="仿宋" w:hAnsi="仿宋" w:eastAsia="仿宋" w:cs="仿宋"/>
          <w:color w:val="auto"/>
          <w:sz w:val="32"/>
          <w:szCs w:val="32"/>
          <w:lang w:val="en-US" w:eastAsia="zh-CN"/>
        </w:rPr>
        <w:t>工作报告》部分详细报告。</w:t>
      </w:r>
    </w:p>
    <w:p>
      <w:pPr>
        <w:spacing w:line="560" w:lineRule="exact"/>
        <w:ind w:firstLine="640" w:firstLineChars="20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管理人依法开展职工关系梳理及职工债权调查工作，对债务人企业欠付职工工资、欠缴社保等情况进行调查核实，充分保障职工合法权益。截至2024年7月3日，共调查确认职工债权1户，金额19883.74元；社保债权1户</w:t>
      </w:r>
      <w:bookmarkStart w:id="0" w:name="_GoBack"/>
      <w:bookmarkEnd w:id="0"/>
      <w:r>
        <w:rPr>
          <w:rFonts w:hint="eastAsia" w:ascii="仿宋" w:hAnsi="仿宋" w:eastAsia="仿宋" w:cs="仿宋"/>
          <w:color w:val="auto"/>
          <w:sz w:val="32"/>
          <w:szCs w:val="32"/>
          <w:lang w:val="en-US" w:eastAsia="zh-CN"/>
        </w:rPr>
        <w:t>，金额15042.49元。管理人已依法公示职工债权。管理人通过电子邮件、电话、现场等多种方式与社保部门以及履行社保代收代缴职责的税务部门进行多次沟通，两个部门均表示自己没有申报社保债权的权利，故截至2024年7月9日，无债权人申报该社保债权。</w:t>
      </w:r>
    </w:p>
    <w:p>
      <w:pPr>
        <w:spacing w:line="560" w:lineRule="exact"/>
        <w:ind w:firstLine="640" w:firstLineChars="200"/>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管理人依法开展税务债权调查工作，与裕华区税务局多次沟通交流，确认一加一公司不欠税款，无税收债权。</w:t>
      </w:r>
    </w:p>
    <w:p>
      <w:pPr>
        <w:spacing w:line="560" w:lineRule="exact"/>
        <w:ind w:firstLine="643" w:firstLineChars="200"/>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五、对债务人</w:t>
      </w:r>
      <w:r>
        <w:rPr>
          <w:rFonts w:hint="eastAsia" w:ascii="仿宋" w:hAnsi="仿宋" w:eastAsia="仿宋" w:cs="仿宋"/>
          <w:b/>
          <w:bCs/>
          <w:color w:val="auto"/>
          <w:sz w:val="32"/>
          <w:szCs w:val="32"/>
        </w:rPr>
        <w:t>财产、印章</w:t>
      </w:r>
      <w:r>
        <w:rPr>
          <w:rFonts w:hint="eastAsia" w:ascii="仿宋" w:hAnsi="仿宋" w:eastAsia="仿宋" w:cs="仿宋"/>
          <w:b/>
          <w:bCs/>
          <w:color w:val="auto"/>
          <w:sz w:val="32"/>
          <w:szCs w:val="32"/>
          <w:lang w:eastAsia="zh-CN"/>
        </w:rPr>
        <w:t>、证照</w:t>
      </w:r>
      <w:r>
        <w:rPr>
          <w:rFonts w:hint="eastAsia" w:ascii="仿宋" w:hAnsi="仿宋" w:eastAsia="仿宋" w:cs="仿宋"/>
          <w:b/>
          <w:bCs/>
          <w:color w:val="auto"/>
          <w:sz w:val="32"/>
          <w:szCs w:val="32"/>
        </w:rPr>
        <w:t>和账簿、文书等资料接管工作</w:t>
      </w:r>
    </w:p>
    <w:p>
      <w:pPr>
        <w:ind w:firstLine="640" w:firstLineChars="200"/>
        <w:rPr>
          <w:rFonts w:hint="eastAsia" w:ascii="仿宋" w:hAnsi="仿宋" w:eastAsia="仿宋" w:cs="仿宋"/>
          <w:i w:val="0"/>
          <w:caps w:val="0"/>
          <w:color w:val="auto"/>
          <w:spacing w:val="0"/>
          <w:sz w:val="32"/>
          <w:szCs w:val="32"/>
          <w:shd w:val="clear" w:color="auto" w:fill="FFFFFF"/>
          <w:lang w:val="en-US" w:eastAsia="zh-CN"/>
        </w:rPr>
      </w:pPr>
      <w:r>
        <w:rPr>
          <w:rFonts w:hint="eastAsia" w:ascii="仿宋" w:hAnsi="仿宋" w:eastAsia="仿宋" w:cs="仿宋"/>
          <w:color w:val="auto"/>
          <w:sz w:val="32"/>
          <w:szCs w:val="32"/>
          <w:lang w:val="en-US" w:eastAsia="zh-CN"/>
        </w:rPr>
        <w:t>管理人于2024年6月3日到债务人一加一公司注册经营地址</w:t>
      </w:r>
      <w:r>
        <w:rPr>
          <w:rFonts w:hint="eastAsia" w:ascii="仿宋" w:hAnsi="仿宋" w:eastAsia="仿宋" w:cs="仿宋"/>
          <w:b w:val="0"/>
          <w:bCs w:val="0"/>
          <w:color w:val="auto"/>
          <w:sz w:val="32"/>
          <w:szCs w:val="32"/>
          <w:lang w:eastAsia="zh-CN"/>
        </w:rPr>
        <w:t>实地勘察，经实地走访，确认一加一公司已不再原场地经营。</w:t>
      </w:r>
      <w:r>
        <w:rPr>
          <w:rFonts w:hint="eastAsia" w:ascii="仿宋" w:hAnsi="仿宋" w:eastAsia="仿宋" w:cs="仿宋"/>
          <w:color w:val="auto"/>
          <w:sz w:val="32"/>
          <w:szCs w:val="32"/>
          <w:lang w:val="en-US" w:eastAsia="zh-CN"/>
        </w:rPr>
        <w:t>管理人于2024年6月7日通过电话方式联系到债务人的法定代表人闫琳博、股东崔建茹，要求二人向管理人移交公司</w:t>
      </w:r>
      <w:r>
        <w:rPr>
          <w:rFonts w:hint="eastAsia" w:ascii="仿宋" w:hAnsi="仿宋" w:eastAsia="仿宋" w:cs="仿宋"/>
          <w:i w:val="0"/>
          <w:caps w:val="0"/>
          <w:color w:val="auto"/>
          <w:spacing w:val="0"/>
          <w:sz w:val="32"/>
          <w:szCs w:val="32"/>
          <w:shd w:val="clear" w:color="auto" w:fill="FFFFFF"/>
        </w:rPr>
        <w:t>财产、印章和账簿、文书等资料</w:t>
      </w:r>
      <w:r>
        <w:rPr>
          <w:rFonts w:hint="eastAsia" w:ascii="仿宋" w:hAnsi="仿宋" w:eastAsia="仿宋" w:cs="仿宋"/>
          <w:i w:val="0"/>
          <w:caps w:val="0"/>
          <w:color w:val="auto"/>
          <w:spacing w:val="0"/>
          <w:sz w:val="32"/>
          <w:szCs w:val="32"/>
          <w:shd w:val="clear" w:color="auto" w:fill="FFFFFF"/>
          <w:lang w:eastAsia="zh-CN"/>
        </w:rPr>
        <w:t>，二人均表示上述</w:t>
      </w:r>
      <w:r>
        <w:rPr>
          <w:rFonts w:hint="eastAsia" w:ascii="仿宋" w:hAnsi="仿宋" w:eastAsia="仿宋" w:cs="仿宋"/>
          <w:color w:val="auto"/>
          <w:sz w:val="32"/>
          <w:szCs w:val="32"/>
          <w:lang w:val="en-US" w:eastAsia="zh-CN"/>
        </w:rPr>
        <w:t>公司</w:t>
      </w:r>
      <w:r>
        <w:rPr>
          <w:rFonts w:hint="eastAsia" w:ascii="仿宋" w:hAnsi="仿宋" w:eastAsia="仿宋" w:cs="仿宋"/>
          <w:i w:val="0"/>
          <w:caps w:val="0"/>
          <w:color w:val="auto"/>
          <w:spacing w:val="0"/>
          <w:sz w:val="32"/>
          <w:szCs w:val="32"/>
          <w:shd w:val="clear" w:color="auto" w:fill="FFFFFF"/>
        </w:rPr>
        <w:t>财产、印章和账簿、文书等资料</w:t>
      </w:r>
      <w:r>
        <w:rPr>
          <w:rFonts w:hint="eastAsia" w:ascii="仿宋" w:hAnsi="仿宋" w:eastAsia="仿宋" w:cs="仿宋"/>
          <w:i w:val="0"/>
          <w:caps w:val="0"/>
          <w:color w:val="auto"/>
          <w:spacing w:val="0"/>
          <w:sz w:val="32"/>
          <w:szCs w:val="32"/>
          <w:shd w:val="clear" w:color="auto" w:fill="FFFFFF"/>
          <w:lang w:eastAsia="zh-CN"/>
        </w:rPr>
        <w:t>不在自己处。</w:t>
      </w:r>
      <w:r>
        <w:rPr>
          <w:rFonts w:hint="eastAsia" w:ascii="仿宋" w:hAnsi="仿宋" w:eastAsia="仿宋" w:cs="仿宋"/>
          <w:i w:val="0"/>
          <w:caps w:val="0"/>
          <w:color w:val="auto"/>
          <w:spacing w:val="0"/>
          <w:sz w:val="32"/>
          <w:szCs w:val="32"/>
          <w:shd w:val="clear" w:color="auto" w:fill="FFFFFF"/>
          <w:lang w:val="en-US" w:eastAsia="zh-CN"/>
        </w:rPr>
        <w:t>管理人于2024年6月11日通过EMS向债务人、债务人法定代表人闫琳博、股东崔建茹分别寄送书面交接通知，告知</w:t>
      </w:r>
      <w:r>
        <w:rPr>
          <w:rFonts w:hint="eastAsia" w:ascii="仿宋" w:hAnsi="仿宋" w:eastAsia="仿宋" w:cs="仿宋"/>
          <w:i w:val="0"/>
          <w:caps w:val="0"/>
          <w:color w:val="auto"/>
          <w:spacing w:val="0"/>
          <w:sz w:val="32"/>
          <w:szCs w:val="32"/>
          <w:shd w:val="clear" w:color="auto" w:fill="FFFFFF"/>
          <w:lang w:eastAsia="zh-CN"/>
        </w:rPr>
        <w:t>于收到本通知后</w:t>
      </w:r>
      <w:r>
        <w:rPr>
          <w:rFonts w:hint="eastAsia" w:ascii="仿宋" w:hAnsi="仿宋" w:eastAsia="仿宋" w:cs="仿宋"/>
          <w:i w:val="0"/>
          <w:caps w:val="0"/>
          <w:color w:val="auto"/>
          <w:spacing w:val="0"/>
          <w:sz w:val="32"/>
          <w:szCs w:val="32"/>
          <w:shd w:val="clear" w:color="auto" w:fill="FFFFFF"/>
          <w:lang w:val="en-US" w:eastAsia="zh-CN"/>
        </w:rPr>
        <w:t>3日内，最晚应于2024年6月17日18:00前向管理人移交</w:t>
      </w:r>
      <w:r>
        <w:rPr>
          <w:rFonts w:hint="eastAsia" w:ascii="仿宋" w:hAnsi="仿宋" w:eastAsia="仿宋" w:cs="仿宋"/>
          <w:color w:val="auto"/>
          <w:sz w:val="32"/>
          <w:szCs w:val="32"/>
          <w:lang w:val="en-US" w:eastAsia="zh-CN"/>
        </w:rPr>
        <w:t>河北一加一教育科技有限公司的</w:t>
      </w:r>
      <w:r>
        <w:rPr>
          <w:rFonts w:hint="eastAsia" w:ascii="仿宋" w:hAnsi="仿宋" w:eastAsia="仿宋" w:cs="仿宋"/>
          <w:i w:val="0"/>
          <w:caps w:val="0"/>
          <w:color w:val="auto"/>
          <w:spacing w:val="0"/>
          <w:sz w:val="32"/>
          <w:szCs w:val="32"/>
          <w:shd w:val="clear" w:color="auto" w:fill="FFFFFF"/>
        </w:rPr>
        <w:t>财产、印章和账簿、文书等资料</w:t>
      </w:r>
      <w:r>
        <w:rPr>
          <w:rFonts w:hint="eastAsia" w:ascii="仿宋" w:hAnsi="仿宋" w:eastAsia="仿宋" w:cs="仿宋"/>
          <w:i w:val="0"/>
          <w:caps w:val="0"/>
          <w:color w:val="auto"/>
          <w:spacing w:val="0"/>
          <w:sz w:val="32"/>
          <w:szCs w:val="32"/>
          <w:shd w:val="clear" w:color="auto" w:fill="FFFFFF"/>
          <w:lang w:eastAsia="zh-CN"/>
        </w:rPr>
        <w:t>，并告知相应后果。</w:t>
      </w:r>
      <w:r>
        <w:rPr>
          <w:rFonts w:hint="eastAsia" w:ascii="仿宋" w:hAnsi="仿宋" w:eastAsia="仿宋" w:cs="仿宋"/>
          <w:i w:val="0"/>
          <w:caps w:val="0"/>
          <w:color w:val="auto"/>
          <w:spacing w:val="0"/>
          <w:sz w:val="32"/>
          <w:szCs w:val="32"/>
          <w:shd w:val="clear" w:color="auto" w:fill="FFFFFF"/>
          <w:lang w:val="en-US" w:eastAsia="zh-CN"/>
        </w:rPr>
        <w:t>崔建茹收到通知后于2024年6月17日向管理人邮寄（6月18日收到）书面《情况说明》，陈述自己不是债务人的股东，一加一公司的</w:t>
      </w:r>
      <w:r>
        <w:rPr>
          <w:rFonts w:hint="eastAsia" w:ascii="仿宋" w:hAnsi="仿宋" w:eastAsia="仿宋" w:cs="仿宋"/>
          <w:i w:val="0"/>
          <w:caps w:val="0"/>
          <w:color w:val="auto"/>
          <w:spacing w:val="0"/>
          <w:sz w:val="32"/>
          <w:szCs w:val="32"/>
          <w:shd w:val="clear" w:color="auto" w:fill="FFFFFF"/>
        </w:rPr>
        <w:t>财产、印章和账簿、文书等资料</w:t>
      </w:r>
      <w:r>
        <w:rPr>
          <w:rFonts w:hint="eastAsia" w:ascii="仿宋" w:hAnsi="仿宋" w:eastAsia="仿宋" w:cs="仿宋"/>
          <w:i w:val="0"/>
          <w:caps w:val="0"/>
          <w:color w:val="auto"/>
          <w:spacing w:val="0"/>
          <w:sz w:val="32"/>
          <w:szCs w:val="32"/>
          <w:shd w:val="clear" w:color="auto" w:fill="FFFFFF"/>
          <w:lang w:eastAsia="zh-CN"/>
        </w:rPr>
        <w:t>均不在自己处。</w:t>
      </w:r>
    </w:p>
    <w:p>
      <w:pPr>
        <w:spacing w:line="560" w:lineRule="exact"/>
        <w:ind w:firstLine="640" w:firstLineChars="200"/>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i w:val="0"/>
          <w:caps w:val="0"/>
          <w:color w:val="auto"/>
          <w:spacing w:val="0"/>
          <w:sz w:val="32"/>
          <w:szCs w:val="32"/>
          <w:shd w:val="clear" w:color="auto" w:fill="FFFFFF"/>
          <w:lang w:val="en-US" w:eastAsia="zh-CN"/>
        </w:rPr>
        <w:t>闫琳博收到通知后于2024年6月20日通过电话方式联系管理人，陈述自己后期离开了公司，由崔建茹独立经营，自己没有带走一加一公司的</w:t>
      </w:r>
      <w:r>
        <w:rPr>
          <w:rFonts w:hint="eastAsia" w:ascii="仿宋" w:hAnsi="仿宋" w:eastAsia="仿宋" w:cs="仿宋"/>
          <w:i w:val="0"/>
          <w:caps w:val="0"/>
          <w:color w:val="auto"/>
          <w:spacing w:val="0"/>
          <w:sz w:val="32"/>
          <w:szCs w:val="32"/>
          <w:shd w:val="clear" w:color="auto" w:fill="FFFFFF"/>
        </w:rPr>
        <w:t>财产、印章和账簿、文书等资料</w:t>
      </w:r>
      <w:r>
        <w:rPr>
          <w:rFonts w:hint="eastAsia" w:ascii="仿宋" w:hAnsi="仿宋" w:eastAsia="仿宋" w:cs="仿宋"/>
          <w:i w:val="0"/>
          <w:caps w:val="0"/>
          <w:color w:val="auto"/>
          <w:spacing w:val="0"/>
          <w:sz w:val="32"/>
          <w:szCs w:val="32"/>
          <w:shd w:val="clear" w:color="auto" w:fill="FFFFFF"/>
          <w:lang w:eastAsia="zh-CN"/>
        </w:rPr>
        <w:t>。</w:t>
      </w:r>
    </w:p>
    <w:p>
      <w:pPr>
        <w:spacing w:line="560" w:lineRule="exact"/>
        <w:ind w:firstLine="640" w:firstLineChars="200"/>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color w:val="auto"/>
          <w:sz w:val="32"/>
          <w:szCs w:val="32"/>
          <w:lang w:val="en-US" w:eastAsia="zh-CN"/>
        </w:rPr>
        <w:t>虽然能够与债务人的两个股东取得联系，但二人均表示自己不掌握一加一公司的财产、</w:t>
      </w:r>
      <w:r>
        <w:rPr>
          <w:rFonts w:hint="eastAsia" w:ascii="仿宋" w:hAnsi="仿宋" w:eastAsia="仿宋" w:cs="仿宋"/>
          <w:i w:val="0"/>
          <w:caps w:val="0"/>
          <w:color w:val="auto"/>
          <w:spacing w:val="0"/>
          <w:sz w:val="32"/>
          <w:szCs w:val="32"/>
          <w:shd w:val="clear" w:color="auto" w:fill="FFFFFF"/>
        </w:rPr>
        <w:t>印章和账簿、文书等资料</w:t>
      </w:r>
      <w:r>
        <w:rPr>
          <w:rFonts w:hint="eastAsia" w:ascii="仿宋" w:hAnsi="仿宋" w:eastAsia="仿宋" w:cs="仿宋"/>
          <w:i w:val="0"/>
          <w:caps w:val="0"/>
          <w:color w:val="auto"/>
          <w:spacing w:val="0"/>
          <w:sz w:val="32"/>
          <w:szCs w:val="32"/>
          <w:shd w:val="clear" w:color="auto" w:fill="FFFFFF"/>
          <w:lang w:eastAsia="zh-CN"/>
        </w:rPr>
        <w:t>，也均无法提供上述应交接标的在哪里，导致管理人至今不能有效接管债务人的</w:t>
      </w:r>
      <w:r>
        <w:rPr>
          <w:rFonts w:hint="eastAsia" w:ascii="仿宋" w:hAnsi="仿宋" w:eastAsia="仿宋" w:cs="仿宋"/>
          <w:color w:val="auto"/>
          <w:sz w:val="32"/>
          <w:szCs w:val="32"/>
          <w:lang w:val="en-US" w:eastAsia="zh-CN"/>
        </w:rPr>
        <w:t>财产、</w:t>
      </w:r>
      <w:r>
        <w:rPr>
          <w:rFonts w:hint="eastAsia" w:ascii="仿宋" w:hAnsi="仿宋" w:eastAsia="仿宋" w:cs="仿宋"/>
          <w:i w:val="0"/>
          <w:caps w:val="0"/>
          <w:color w:val="auto"/>
          <w:spacing w:val="0"/>
          <w:sz w:val="32"/>
          <w:szCs w:val="32"/>
          <w:shd w:val="clear" w:color="auto" w:fill="FFFFFF"/>
        </w:rPr>
        <w:t>印章和账簿、文书等资料</w:t>
      </w:r>
      <w:r>
        <w:rPr>
          <w:rFonts w:hint="eastAsia" w:ascii="仿宋" w:hAnsi="仿宋" w:eastAsia="仿宋" w:cs="仿宋"/>
          <w:i w:val="0"/>
          <w:caps w:val="0"/>
          <w:color w:val="auto"/>
          <w:spacing w:val="0"/>
          <w:sz w:val="32"/>
          <w:szCs w:val="32"/>
          <w:shd w:val="clear" w:color="auto" w:fill="FFFFFF"/>
          <w:lang w:eastAsia="zh-CN"/>
        </w:rPr>
        <w:t>。</w:t>
      </w:r>
    </w:p>
    <w:p>
      <w:pPr>
        <w:spacing w:line="560" w:lineRule="exact"/>
        <w:ind w:firstLine="640" w:firstLineChars="200"/>
        <w:rPr>
          <w:rFonts w:hint="eastAsia" w:ascii="仿宋" w:hAnsi="仿宋" w:eastAsia="仿宋" w:cs="仿宋"/>
          <w:i w:val="0"/>
          <w:caps w:val="0"/>
          <w:color w:val="auto"/>
          <w:spacing w:val="0"/>
          <w:sz w:val="32"/>
          <w:szCs w:val="32"/>
          <w:shd w:val="clear" w:color="auto" w:fill="FFFFFF"/>
          <w:lang w:eastAsia="zh-CN"/>
        </w:rPr>
      </w:pPr>
      <w:r>
        <w:rPr>
          <w:rFonts w:hint="eastAsia" w:ascii="仿宋" w:hAnsi="仿宋" w:eastAsia="仿宋" w:cs="仿宋"/>
          <w:i w:val="0"/>
          <w:caps w:val="0"/>
          <w:color w:val="auto"/>
          <w:spacing w:val="0"/>
          <w:sz w:val="32"/>
          <w:szCs w:val="32"/>
          <w:shd w:val="clear" w:color="auto" w:fill="FFFFFF"/>
          <w:lang w:eastAsia="zh-CN"/>
        </w:rPr>
        <w:t>管理人通过调取的工商档案资料查询到一加一公司登记的财务负责人为其原始股东李玉松，李玉松于</w:t>
      </w:r>
      <w:r>
        <w:rPr>
          <w:rFonts w:hint="eastAsia" w:ascii="仿宋" w:hAnsi="仿宋" w:eastAsia="仿宋" w:cs="仿宋"/>
          <w:color w:val="auto"/>
          <w:sz w:val="32"/>
          <w:szCs w:val="32"/>
        </w:rPr>
        <w:t>2020年9月3日</w:t>
      </w:r>
      <w:r>
        <w:rPr>
          <w:rFonts w:hint="eastAsia" w:ascii="仿宋" w:hAnsi="仿宋" w:eastAsia="仿宋" w:cs="仿宋"/>
          <w:color w:val="auto"/>
          <w:sz w:val="32"/>
          <w:szCs w:val="32"/>
          <w:lang w:eastAsia="zh-CN"/>
        </w:rPr>
        <w:t>退出，但一加一公司的财务负责人资料未变更。通过拨打工商档案上李玉松预留的移动电话号码，电话关机；通过该电话号码添加微信操作，显示的微信名称为曾为一加一公司代办工商变更登记的中介公司名称</w:t>
      </w:r>
      <w:r>
        <w:rPr>
          <w:rFonts w:hint="eastAsia" w:ascii="仿宋" w:hAnsi="仿宋" w:eastAsia="仿宋" w:cs="仿宋"/>
          <w:color w:val="auto"/>
          <w:sz w:val="32"/>
          <w:szCs w:val="32"/>
          <w:lang w:val="en-US" w:eastAsia="zh-CN"/>
        </w:rPr>
        <w:t>+员工姓名。</w:t>
      </w:r>
    </w:p>
    <w:p>
      <w:pPr>
        <w:spacing w:line="560" w:lineRule="exact"/>
        <w:ind w:firstLine="640" w:firstLineChars="200"/>
        <w:rPr>
          <w:rFonts w:hint="eastAsia" w:ascii="仿宋" w:hAnsi="仿宋" w:eastAsia="仿宋" w:cs="仿宋"/>
          <w:i w:val="0"/>
          <w:caps w:val="0"/>
          <w:color w:val="auto"/>
          <w:spacing w:val="0"/>
          <w:sz w:val="32"/>
          <w:szCs w:val="32"/>
          <w:shd w:val="clear" w:color="auto" w:fill="FFFFFF"/>
          <w:lang w:val="en-US" w:eastAsia="zh-CN"/>
        </w:rPr>
      </w:pPr>
      <w:r>
        <w:rPr>
          <w:rFonts w:hint="eastAsia" w:ascii="仿宋" w:hAnsi="仿宋" w:eastAsia="仿宋" w:cs="仿宋"/>
          <w:i w:val="0"/>
          <w:caps w:val="0"/>
          <w:color w:val="auto"/>
          <w:spacing w:val="0"/>
          <w:sz w:val="32"/>
          <w:szCs w:val="32"/>
          <w:shd w:val="clear" w:color="auto" w:fill="FFFFFF"/>
          <w:lang w:val="en-US" w:eastAsia="zh-CN"/>
        </w:rPr>
        <w:t>2024年6月26日管理人发布河北一加一教育科技有限公司印章、证照作废公告。</w:t>
      </w:r>
    </w:p>
    <w:p>
      <w:pPr>
        <w:spacing w:line="560" w:lineRule="exact"/>
        <w:ind w:firstLine="560"/>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、一加一公司财产状况调查工作和诉讼清收工作</w:t>
      </w:r>
    </w:p>
    <w:p>
      <w:pPr>
        <w:pStyle w:val="2"/>
        <w:adjustRightInd w:val="0"/>
        <w:snapToGrid w:val="0"/>
        <w:spacing w:line="560" w:lineRule="exact"/>
        <w:ind w:firstLine="31680"/>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在裕华法院的协助下，通过全国法院网络执行查控系统、法院查控网对一加一公司名下的银行存款、股票、股权、房产、土地使用权、车辆、财付通（微信、支付宝）账户余额等财产进行查证，根据裕华法院财产查控的反馈结果，管理人进一步予以调查核实，确认一加一公司名下只有一个民生银行开户信息，经向民生银行调取一加一公司《单位账户对账单》，该账户余额为</w:t>
      </w:r>
      <w:r>
        <w:rPr>
          <w:rFonts w:hint="eastAsia" w:ascii="仿宋" w:hAnsi="仿宋" w:eastAsia="仿宋" w:cs="仿宋"/>
          <w:color w:val="auto"/>
          <w:sz w:val="32"/>
          <w:szCs w:val="32"/>
          <w:lang w:val="en-US" w:eastAsia="zh-CN"/>
        </w:rPr>
        <w:t>0.6元；经向不动产登记中心、车辆管理所调查，确认一加一公司名下无房产、土地使用权、车辆；经向裕华区行政审批局调取的工商档案，确认一加一公司无对外投资；一加一公司名下无股票证券、无对外债权，经综合认定一加一名义已无财产。</w:t>
      </w:r>
    </w:p>
    <w:p>
      <w:pPr>
        <w:pStyle w:val="2"/>
        <w:adjustRightInd w:val="0"/>
        <w:snapToGrid w:val="0"/>
        <w:spacing w:line="560" w:lineRule="exact"/>
        <w:ind w:firstLine="3168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管理人向石家庄市裕华区行政审批局调取一加一公司全部工商档案，经核查发现股东未实缴到位，未履行出资义务，因一加一公司的注册资本为</w:t>
      </w:r>
      <w:r>
        <w:rPr>
          <w:rFonts w:hint="eastAsia" w:ascii="仿宋" w:hAnsi="仿宋" w:eastAsia="仿宋" w:cs="仿宋"/>
          <w:color w:val="auto"/>
          <w:sz w:val="32"/>
          <w:szCs w:val="32"/>
          <w:lang w:val="en-US" w:eastAsia="zh-CN"/>
        </w:rPr>
        <w:t>300万元，足够覆盖已申报以及已知的债权总额，</w:t>
      </w:r>
      <w:r>
        <w:rPr>
          <w:rFonts w:hint="eastAsia" w:ascii="仿宋" w:hAnsi="仿宋" w:eastAsia="仿宋" w:cs="仿宋"/>
          <w:color w:val="auto"/>
          <w:sz w:val="32"/>
          <w:szCs w:val="32"/>
          <w:lang w:eastAsia="zh-CN"/>
        </w:rPr>
        <w:t>下一步管理人拟通过诉讼方式向欠缴出资的股东追收出资。追收期限因被告的抗辩、衍生诉讼等实体因素以及上诉、再审、抗诉等程序因素暂时无法确定。如通过程序追回财产，则作为破产财产，按照本次债权人会议表决通过的分配方案予以分配，维护全体债权人的合法权益。</w:t>
      </w:r>
    </w:p>
    <w:p>
      <w:pPr>
        <w:spacing w:line="560" w:lineRule="exact"/>
        <w:ind w:firstLine="56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七、代表债务人处理诉讼、执行案件</w:t>
      </w:r>
    </w:p>
    <w:p>
      <w:pPr>
        <w:spacing w:line="560" w:lineRule="exact"/>
        <w:ind w:firstLine="560"/>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eastAsia="zh-CN"/>
        </w:rPr>
        <w:t>管理人接受指定后，开展对一加一公司诉讼案件、执行案件的接管工作。管理人通过企查查（https://www.qcc.com/）、中国裁判文书网（https://wenshu.court.gov.cn/）、中国执行信息公开网（http://zxgk.court.gov.cn/）、</w:t>
      </w:r>
      <w:r>
        <w:rPr>
          <w:rFonts w:hint="eastAsia" w:ascii="仿宋" w:hAnsi="仿宋" w:eastAsia="仿宋" w:cs="仿宋"/>
          <w:b w:val="0"/>
          <w:bCs w:val="0"/>
          <w:color w:val="auto"/>
          <w:sz w:val="32"/>
          <w:szCs w:val="32"/>
          <w:lang w:val="en-US" w:eastAsia="zh-CN"/>
        </w:rPr>
        <w:t>iCourt  alpha工作系统以“</w:t>
      </w:r>
      <w:r>
        <w:rPr>
          <w:rFonts w:hint="eastAsia" w:ascii="仿宋" w:hAnsi="仿宋" w:eastAsia="仿宋" w:cs="仿宋"/>
          <w:color w:val="auto"/>
          <w:sz w:val="32"/>
          <w:szCs w:val="32"/>
          <w:lang w:val="en-US" w:eastAsia="zh-CN"/>
        </w:rPr>
        <w:t>河北一加一教育科技有限公司</w:t>
      </w:r>
      <w:r>
        <w:rPr>
          <w:rFonts w:hint="eastAsia" w:ascii="仿宋" w:hAnsi="仿宋" w:eastAsia="仿宋" w:cs="仿宋"/>
          <w:b w:val="0"/>
          <w:bCs w:val="0"/>
          <w:color w:val="auto"/>
          <w:sz w:val="32"/>
          <w:szCs w:val="32"/>
          <w:lang w:val="en-US" w:eastAsia="zh-CN"/>
        </w:rPr>
        <w:t>”为检索关键词，发现其涉诉、执行案件均为裕华法院受理案件，没有发现除裕华法院以外的其他涉案、执行案件。</w:t>
      </w:r>
    </w:p>
    <w:p>
      <w:pPr>
        <w:spacing w:line="560" w:lineRule="exact"/>
        <w:ind w:firstLine="560"/>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eastAsia="zh-CN"/>
        </w:rPr>
        <w:t>在此期间，管理人代表一加一公司领取崔建茹诉闫琳博</w:t>
      </w:r>
      <w:r>
        <w:rPr>
          <w:rFonts w:hint="eastAsia" w:ascii="仿宋" w:hAnsi="仿宋" w:eastAsia="仿宋" w:cs="仿宋"/>
          <w:b w:val="0"/>
          <w:bCs w:val="0"/>
          <w:color w:val="auto"/>
          <w:sz w:val="32"/>
          <w:szCs w:val="32"/>
          <w:lang w:val="en-US" w:eastAsia="zh-CN"/>
        </w:rPr>
        <w:t>股权转让纠纷一案的一审民事判决书。管理人与一加一公司执行案件的主办人联系，了解执行进展，所涉执行案件66起，已全部终本，且因未查找到一加一公司名下财产而无财产强制措施，做好执行与破产清算的衔接工作。</w:t>
      </w:r>
    </w:p>
    <w:p>
      <w:pPr>
        <w:spacing w:line="560" w:lineRule="exact"/>
        <w:ind w:firstLine="560"/>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八、筹备债权人会议</w:t>
      </w:r>
    </w:p>
    <w:p>
      <w:pPr>
        <w:spacing w:line="560" w:lineRule="exact"/>
        <w:ind w:firstLine="560"/>
        <w:rPr>
          <w:rFonts w:hint="eastAsia" w:ascii="仿宋" w:hAnsi="仿宋" w:eastAsia="仿宋" w:cs="仿宋"/>
          <w:color w:val="auto"/>
          <w:kern w:val="0"/>
          <w:sz w:val="32"/>
          <w:szCs w:val="32"/>
          <w:lang w:val="en-US" w:eastAsia="zh-CN" w:bidi="ar-SA"/>
        </w:rPr>
      </w:pPr>
      <w:r>
        <w:rPr>
          <w:rFonts w:hint="eastAsia" w:ascii="仿宋" w:hAnsi="仿宋" w:eastAsia="仿宋" w:cs="仿宋"/>
          <w:color w:val="auto"/>
          <w:kern w:val="0"/>
          <w:sz w:val="32"/>
          <w:szCs w:val="32"/>
          <w:lang w:val="en-US" w:eastAsia="zh-CN" w:bidi="ar-SA"/>
        </w:rPr>
        <w:t>为保证债权人会议的顺利召开，管理人提前安排，指派专人负责组织债权人会议的筹备工作。通过提前策划、周密组织，管理人客服了时间紧、任务重等困难，完成了会议工作方案和流程、议程、会议文件资料的起草、修改等各项会务工作，并与合议庭就会议召开进行沟通确认，确保债权人会议的顺利召开。</w:t>
      </w:r>
    </w:p>
    <w:p>
      <w:pPr>
        <w:spacing w:line="560" w:lineRule="exact"/>
        <w:ind w:firstLine="560"/>
        <w:rPr>
          <w:rFonts w:hint="eastAsia" w:ascii="仿宋" w:hAnsi="仿宋" w:eastAsia="仿宋" w:cs="仿宋"/>
          <w:color w:val="auto"/>
          <w:sz w:val="32"/>
          <w:szCs w:val="32"/>
        </w:rPr>
      </w:pPr>
      <w:r>
        <w:rPr>
          <w:rFonts w:hint="eastAsia" w:ascii="仿宋" w:hAnsi="仿宋" w:eastAsia="仿宋" w:cs="仿宋"/>
          <w:color w:val="auto"/>
          <w:sz w:val="32"/>
          <w:szCs w:val="32"/>
        </w:rPr>
        <w:t>综上，在</w:t>
      </w:r>
      <w:r>
        <w:rPr>
          <w:rFonts w:hint="eastAsia" w:ascii="仿宋" w:hAnsi="仿宋" w:eastAsia="仿宋" w:cs="仿宋"/>
          <w:color w:val="auto"/>
          <w:sz w:val="32"/>
          <w:szCs w:val="32"/>
          <w:lang w:eastAsia="zh-CN"/>
        </w:rPr>
        <w:t>裕华</w:t>
      </w:r>
      <w:r>
        <w:rPr>
          <w:rFonts w:hint="eastAsia" w:ascii="仿宋" w:hAnsi="仿宋" w:eastAsia="仿宋" w:cs="仿宋"/>
          <w:color w:val="auto"/>
          <w:sz w:val="32"/>
          <w:szCs w:val="32"/>
        </w:rPr>
        <w:t>法院正确监督指导下，在债权人的理解和支持下，一加一公司破产清算案有序推进。管理人郑重承诺，将严格依照法律规定勤勉尽责的履行职务，继续完成</w:t>
      </w:r>
      <w:r>
        <w:rPr>
          <w:rFonts w:hint="eastAsia" w:ascii="仿宋" w:hAnsi="仿宋" w:eastAsia="仿宋" w:cs="仿宋"/>
          <w:color w:val="auto"/>
          <w:sz w:val="32"/>
          <w:szCs w:val="32"/>
          <w:lang w:eastAsia="zh-CN"/>
        </w:rPr>
        <w:t>一加一公司</w:t>
      </w:r>
      <w:r>
        <w:rPr>
          <w:rFonts w:hint="eastAsia" w:ascii="仿宋" w:hAnsi="仿宋" w:eastAsia="仿宋" w:cs="仿宋"/>
          <w:color w:val="auto"/>
          <w:sz w:val="32"/>
          <w:szCs w:val="32"/>
        </w:rPr>
        <w:t>后续破产清算工作，确保本案依法合规，圆满终结。</w:t>
      </w:r>
    </w:p>
    <w:p>
      <w:pPr>
        <w:spacing w:line="560" w:lineRule="exact"/>
        <w:ind w:firstLine="560"/>
        <w:rPr>
          <w:rFonts w:hint="eastAsia" w:ascii="仿宋" w:hAnsi="仿宋" w:eastAsia="仿宋" w:cs="仿宋"/>
          <w:color w:val="auto"/>
          <w:sz w:val="32"/>
          <w:szCs w:val="32"/>
        </w:rPr>
      </w:pPr>
      <w:r>
        <w:rPr>
          <w:rFonts w:hint="eastAsia" w:ascii="仿宋" w:hAnsi="仿宋" w:eastAsia="仿宋" w:cs="仿宋"/>
          <w:color w:val="auto"/>
          <w:sz w:val="32"/>
          <w:szCs w:val="32"/>
        </w:rPr>
        <w:t>以上报告请债权人会议审议。</w:t>
      </w:r>
    </w:p>
    <w:p>
      <w:pPr>
        <w:spacing w:line="560" w:lineRule="exact"/>
        <w:ind w:firstLine="4720" w:firstLineChars="1475"/>
        <w:rPr>
          <w:rFonts w:hint="eastAsia" w:ascii="仿宋" w:hAnsi="仿宋" w:eastAsia="仿宋" w:cs="仿宋"/>
          <w:color w:val="auto"/>
          <w:sz w:val="32"/>
          <w:szCs w:val="32"/>
        </w:rPr>
      </w:pPr>
    </w:p>
    <w:p>
      <w:pPr>
        <w:spacing w:line="560" w:lineRule="exact"/>
        <w:ind w:firstLine="4720" w:firstLineChars="1475"/>
        <w:rPr>
          <w:rFonts w:hint="eastAsia" w:ascii="仿宋" w:hAnsi="仿宋" w:eastAsia="仿宋" w:cs="仿宋"/>
          <w:color w:val="auto"/>
          <w:sz w:val="32"/>
          <w:szCs w:val="32"/>
        </w:rPr>
      </w:pPr>
    </w:p>
    <w:p>
      <w:pPr>
        <w:spacing w:line="560" w:lineRule="exact"/>
        <w:ind w:firstLine="4720" w:firstLineChars="1475"/>
        <w:rPr>
          <w:rFonts w:hint="eastAsia" w:ascii="仿宋" w:hAnsi="仿宋" w:eastAsia="仿宋" w:cs="仿宋"/>
          <w:color w:val="auto"/>
          <w:sz w:val="32"/>
          <w:szCs w:val="32"/>
        </w:rPr>
      </w:pPr>
    </w:p>
    <w:p>
      <w:pPr>
        <w:spacing w:line="560" w:lineRule="exact"/>
        <w:ind w:firstLine="560"/>
        <w:jc w:val="righ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河北一加一教育科技</w:t>
      </w:r>
      <w:r>
        <w:rPr>
          <w:rFonts w:hint="eastAsia" w:ascii="仿宋" w:hAnsi="仿宋" w:eastAsia="仿宋" w:cs="仿宋"/>
          <w:color w:val="auto"/>
          <w:sz w:val="32"/>
          <w:szCs w:val="32"/>
        </w:rPr>
        <w:t>有限公司管理人</w:t>
      </w:r>
    </w:p>
    <w:p>
      <w:pPr>
        <w:spacing w:line="560" w:lineRule="exact"/>
        <w:ind w:firstLine="4720" w:firstLineChars="1475"/>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二○二四年七月九日</w:t>
      </w:r>
    </w:p>
    <w:sectPr>
      <w:footerReference r:id="rId3" w:type="default"/>
      <w:footerReference r:id="rId4" w:type="even"/>
      <w:pgSz w:w="11906" w:h="16838"/>
      <w:pgMar w:top="1440" w:right="1576" w:bottom="1440"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5</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5MmI5NGYwZGQwMDU0MDY2YzcyNzQwYzFhZDU4YzMifQ=="/>
  </w:docVars>
  <w:rsids>
    <w:rsidRoot w:val="007D50B9"/>
    <w:rsid w:val="000344D3"/>
    <w:rsid w:val="000C2185"/>
    <w:rsid w:val="00134A21"/>
    <w:rsid w:val="001B0E4F"/>
    <w:rsid w:val="001B70F3"/>
    <w:rsid w:val="001C47D6"/>
    <w:rsid w:val="00350FA2"/>
    <w:rsid w:val="00355E87"/>
    <w:rsid w:val="00384BBD"/>
    <w:rsid w:val="0041327F"/>
    <w:rsid w:val="00420658"/>
    <w:rsid w:val="0047604F"/>
    <w:rsid w:val="004A336C"/>
    <w:rsid w:val="004A3840"/>
    <w:rsid w:val="004D7AC3"/>
    <w:rsid w:val="004E5337"/>
    <w:rsid w:val="00505C45"/>
    <w:rsid w:val="005C1DC4"/>
    <w:rsid w:val="005F4637"/>
    <w:rsid w:val="006040EA"/>
    <w:rsid w:val="0064605C"/>
    <w:rsid w:val="00646DE5"/>
    <w:rsid w:val="00687041"/>
    <w:rsid w:val="006A1423"/>
    <w:rsid w:val="006B690B"/>
    <w:rsid w:val="006B7497"/>
    <w:rsid w:val="00760409"/>
    <w:rsid w:val="007813E8"/>
    <w:rsid w:val="00781A6A"/>
    <w:rsid w:val="00783F92"/>
    <w:rsid w:val="007D50B9"/>
    <w:rsid w:val="007E146B"/>
    <w:rsid w:val="007E2F76"/>
    <w:rsid w:val="008D38F2"/>
    <w:rsid w:val="008D56C0"/>
    <w:rsid w:val="008E0948"/>
    <w:rsid w:val="008F478F"/>
    <w:rsid w:val="009E229C"/>
    <w:rsid w:val="009F0B9B"/>
    <w:rsid w:val="009F6C08"/>
    <w:rsid w:val="00A81DCC"/>
    <w:rsid w:val="00A961E2"/>
    <w:rsid w:val="00AC6D96"/>
    <w:rsid w:val="00AD0DC6"/>
    <w:rsid w:val="00AD2E29"/>
    <w:rsid w:val="00B72CCF"/>
    <w:rsid w:val="00B766B6"/>
    <w:rsid w:val="00C0394F"/>
    <w:rsid w:val="00C16C70"/>
    <w:rsid w:val="00C91873"/>
    <w:rsid w:val="00CD4194"/>
    <w:rsid w:val="00D31C77"/>
    <w:rsid w:val="00D809F7"/>
    <w:rsid w:val="00DD63F7"/>
    <w:rsid w:val="00DE1B28"/>
    <w:rsid w:val="00DF4FA0"/>
    <w:rsid w:val="00E24575"/>
    <w:rsid w:val="00E24D0D"/>
    <w:rsid w:val="00E35391"/>
    <w:rsid w:val="00E523C1"/>
    <w:rsid w:val="00EB7B67"/>
    <w:rsid w:val="00ED0748"/>
    <w:rsid w:val="00ED2643"/>
    <w:rsid w:val="00F37D9F"/>
    <w:rsid w:val="00F44F67"/>
    <w:rsid w:val="00F74AAB"/>
    <w:rsid w:val="00FC1280"/>
    <w:rsid w:val="00FC5A70"/>
    <w:rsid w:val="04575D04"/>
    <w:rsid w:val="0C031AB5"/>
    <w:rsid w:val="0CB87237"/>
    <w:rsid w:val="0E3F22A2"/>
    <w:rsid w:val="190B633F"/>
    <w:rsid w:val="1A553257"/>
    <w:rsid w:val="1E1B7611"/>
    <w:rsid w:val="1E68343F"/>
    <w:rsid w:val="2698622E"/>
    <w:rsid w:val="270C4509"/>
    <w:rsid w:val="2F7C2D39"/>
    <w:rsid w:val="305F7D9F"/>
    <w:rsid w:val="30ED34D7"/>
    <w:rsid w:val="326570B0"/>
    <w:rsid w:val="33F61A1E"/>
    <w:rsid w:val="36922B60"/>
    <w:rsid w:val="36B267F2"/>
    <w:rsid w:val="384C6E5B"/>
    <w:rsid w:val="3DC627D2"/>
    <w:rsid w:val="44731D31"/>
    <w:rsid w:val="44AA4625"/>
    <w:rsid w:val="45236D65"/>
    <w:rsid w:val="46934BAA"/>
    <w:rsid w:val="483F69DF"/>
    <w:rsid w:val="48AB3B84"/>
    <w:rsid w:val="49900626"/>
    <w:rsid w:val="5030253F"/>
    <w:rsid w:val="52975C96"/>
    <w:rsid w:val="5A196040"/>
    <w:rsid w:val="5A755946"/>
    <w:rsid w:val="5F6F2C77"/>
    <w:rsid w:val="5F97635E"/>
    <w:rsid w:val="606C3DD4"/>
    <w:rsid w:val="62CB1086"/>
    <w:rsid w:val="65954ED5"/>
    <w:rsid w:val="6DD82FC3"/>
    <w:rsid w:val="6E076185"/>
    <w:rsid w:val="6E9437BA"/>
    <w:rsid w:val="70392E14"/>
    <w:rsid w:val="70510B30"/>
    <w:rsid w:val="735D6314"/>
    <w:rsid w:val="73A151CF"/>
    <w:rsid w:val="75691D09"/>
    <w:rsid w:val="75910D69"/>
    <w:rsid w:val="76C957C7"/>
    <w:rsid w:val="76D81E5A"/>
    <w:rsid w:val="7B30217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8"/>
    <w:semiHidden/>
    <w:qFormat/>
    <w:uiPriority w:val="99"/>
    <w:pPr>
      <w:ind w:firstLine="560" w:firstLineChars="200"/>
    </w:pPr>
    <w:rPr>
      <w:kern w:val="0"/>
      <w:sz w:val="20"/>
    </w:rPr>
  </w:style>
  <w:style w:type="paragraph" w:styleId="3">
    <w:name w:val="footer"/>
    <w:basedOn w:val="1"/>
    <w:link w:val="9"/>
    <w:qFormat/>
    <w:uiPriority w:val="99"/>
    <w:pPr>
      <w:tabs>
        <w:tab w:val="center" w:pos="4153"/>
        <w:tab w:val="right" w:pos="8306"/>
      </w:tabs>
      <w:snapToGrid w:val="0"/>
      <w:jc w:val="left"/>
    </w:pPr>
    <w:rPr>
      <w:kern w:val="0"/>
      <w:sz w:val="18"/>
      <w:szCs w:val="18"/>
    </w:rPr>
  </w:style>
  <w:style w:type="paragraph" w:styleId="4">
    <w:name w:val="header"/>
    <w:basedOn w:val="1"/>
    <w:link w:val="10"/>
    <w:semiHidden/>
    <w:qFormat/>
    <w:uiPriority w:val="99"/>
    <w:pPr>
      <w:pBdr>
        <w:bottom w:val="single" w:color="auto" w:sz="6" w:space="1"/>
      </w:pBdr>
      <w:tabs>
        <w:tab w:val="center" w:pos="4153"/>
        <w:tab w:val="right" w:pos="8306"/>
      </w:tabs>
      <w:snapToGrid w:val="0"/>
      <w:jc w:val="center"/>
    </w:pPr>
    <w:rPr>
      <w:kern w:val="0"/>
      <w:sz w:val="18"/>
      <w:szCs w:val="18"/>
    </w:rPr>
  </w:style>
  <w:style w:type="character" w:styleId="7">
    <w:name w:val="page number"/>
    <w:basedOn w:val="6"/>
    <w:qFormat/>
    <w:uiPriority w:val="99"/>
    <w:rPr>
      <w:rFonts w:cs="Times New Roman"/>
    </w:rPr>
  </w:style>
  <w:style w:type="character" w:customStyle="1" w:styleId="8">
    <w:name w:val="Body Text Indent Char"/>
    <w:basedOn w:val="6"/>
    <w:link w:val="2"/>
    <w:semiHidden/>
    <w:qFormat/>
    <w:locked/>
    <w:uiPriority w:val="99"/>
    <w:rPr>
      <w:sz w:val="24"/>
    </w:rPr>
  </w:style>
  <w:style w:type="character" w:customStyle="1" w:styleId="9">
    <w:name w:val="Footer Char"/>
    <w:basedOn w:val="6"/>
    <w:link w:val="3"/>
    <w:semiHidden/>
    <w:qFormat/>
    <w:locked/>
    <w:uiPriority w:val="99"/>
    <w:rPr>
      <w:sz w:val="18"/>
    </w:rPr>
  </w:style>
  <w:style w:type="character" w:customStyle="1" w:styleId="10">
    <w:name w:val="Header Char"/>
    <w:basedOn w:val="6"/>
    <w:link w:val="4"/>
    <w:semiHidden/>
    <w:qFormat/>
    <w:locked/>
    <w:uiPriority w:val="99"/>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Pages>7</Pages>
  <Words>3842</Words>
  <Characters>4063</Characters>
  <Lines>0</Lines>
  <Paragraphs>0</Paragraphs>
  <TotalTime>25</TotalTime>
  <ScaleCrop>false</ScaleCrop>
  <LinksUpToDate>false</LinksUpToDate>
  <CharactersWithSpaces>4091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lenovo</dc:creator>
  <cp:lastModifiedBy>Administrator</cp:lastModifiedBy>
  <cp:lastPrinted>2023-10-19T19:53:00Z</cp:lastPrinted>
  <dcterms:modified xsi:type="dcterms:W3CDTF">2024-07-06T02:56:56Z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62AF6EAD7E6FE7F4D05975665B908BF6_43</vt:lpwstr>
  </property>
</Properties>
</file>