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b/>
          <w:bCs/>
          <w:color w:val="000000"/>
          <w:sz w:val="44"/>
          <w:szCs w:val="44"/>
          <w:lang w:eastAsia="zh-CN"/>
        </w:rPr>
      </w:pPr>
      <w:r>
        <w:rPr>
          <w:rFonts w:hint="eastAsia" w:ascii="宋体" w:hAnsi="宋体" w:cs="宋体"/>
          <w:b/>
          <w:bCs/>
          <w:color w:val="000000"/>
          <w:sz w:val="44"/>
          <w:szCs w:val="44"/>
          <w:lang w:eastAsia="zh-CN"/>
        </w:rPr>
        <w:t>关于提请债权人会议</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s="微软雅黑"/>
          <w:b/>
          <w:bCs/>
          <w:sz w:val="44"/>
          <w:szCs w:val="44"/>
        </w:rPr>
      </w:pPr>
      <w:r>
        <w:rPr>
          <w:rFonts w:hint="eastAsia" w:ascii="宋体" w:hAnsi="宋体" w:cs="宋体"/>
          <w:b/>
          <w:bCs/>
          <w:color w:val="000000"/>
          <w:sz w:val="44"/>
          <w:szCs w:val="44"/>
          <w:lang w:eastAsia="zh-CN"/>
        </w:rPr>
        <w:t>审查</w:t>
      </w:r>
      <w:r>
        <w:rPr>
          <w:rFonts w:hint="eastAsia"/>
          <w:b/>
          <w:bCs/>
          <w:sz w:val="44"/>
          <w:szCs w:val="44"/>
        </w:rPr>
        <w:t>管理人</w:t>
      </w:r>
      <w:r>
        <w:rPr>
          <w:rFonts w:hint="eastAsia"/>
          <w:b/>
          <w:bCs/>
          <w:sz w:val="44"/>
          <w:szCs w:val="44"/>
          <w:lang w:eastAsia="zh-CN"/>
        </w:rPr>
        <w:t>报酬方案的报</w:t>
      </w:r>
      <w:bookmarkStart w:id="0" w:name="_GoBack"/>
      <w:bookmarkEnd w:id="0"/>
      <w:r>
        <w:rPr>
          <w:rFonts w:hint="eastAsia"/>
          <w:b/>
          <w:bCs/>
          <w:sz w:val="44"/>
          <w:szCs w:val="44"/>
          <w:lang w:eastAsia="zh-CN"/>
        </w:rPr>
        <w:t>告</w:t>
      </w:r>
    </w:p>
    <w:p>
      <w:pPr>
        <w:spacing w:line="520" w:lineRule="exact"/>
        <w:jc w:val="righ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河北一加一教育科技有限公司债权人会议：</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管理人根据对河北一加一教育科技有限公司可供清偿的财产价值和管理人工作量所作的预测，于2024年7月3日制作《管理人报酬方案》报请石家庄市裕华区人民法院确定。石家庄市裕华区人民法院于2024年7月5日通知本管理人，初步确定了《管理人报酬方案》。现根据《中华人民共和国企业破产法》第六十一条第一款第（二）项、</w:t>
      </w:r>
      <w:r>
        <w:rPr>
          <w:rFonts w:hint="eastAsia" w:ascii="仿宋" w:hAnsi="仿宋" w:eastAsia="仿宋" w:cs="仿宋"/>
          <w:sz w:val="32"/>
          <w:szCs w:val="32"/>
          <w:lang w:eastAsia="zh-CN"/>
        </w:rPr>
        <w:t>《最高人民法院关于审理企业破产案件确定管理人报酬的规定》第六条第二款之规定，向第一次债权人会议报告，请债权人会议审查。</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ind w:firstLine="56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河北一加一教育科技</w:t>
      </w:r>
      <w:r>
        <w:rPr>
          <w:rFonts w:hint="eastAsia" w:ascii="仿宋" w:hAnsi="仿宋" w:eastAsia="仿宋" w:cs="仿宋"/>
          <w:sz w:val="32"/>
          <w:szCs w:val="32"/>
        </w:rPr>
        <w:t>有限公司管理人</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r>
        <w:rPr>
          <w:rFonts w:hint="eastAsia" w:ascii="仿宋" w:hAnsi="仿宋" w:eastAsia="仿宋" w:cs="仿宋"/>
          <w:sz w:val="32"/>
          <w:szCs w:val="32"/>
          <w:lang w:eastAsia="zh-CN"/>
        </w:rPr>
        <w:t>二○二四</w:t>
      </w:r>
      <w:r>
        <w:rPr>
          <w:rFonts w:hint="eastAsia" w:ascii="仿宋" w:hAnsi="仿宋" w:eastAsia="仿宋" w:cs="仿宋"/>
          <w:sz w:val="32"/>
          <w:szCs w:val="32"/>
        </w:rPr>
        <w:t>年</w:t>
      </w:r>
      <w:r>
        <w:rPr>
          <w:rFonts w:hint="eastAsia" w:ascii="仿宋" w:hAnsi="仿宋" w:eastAsia="仿宋" w:cs="仿宋"/>
          <w:sz w:val="32"/>
          <w:szCs w:val="32"/>
          <w:lang w:val="en-US" w:eastAsia="zh-CN"/>
        </w:rPr>
        <w:t>七</w:t>
      </w:r>
      <w:r>
        <w:rPr>
          <w:rFonts w:hint="eastAsia" w:ascii="仿宋" w:hAnsi="仿宋" w:eastAsia="仿宋" w:cs="仿宋"/>
          <w:sz w:val="32"/>
          <w:szCs w:val="32"/>
        </w:rPr>
        <w:t>月</w:t>
      </w:r>
      <w:r>
        <w:rPr>
          <w:rFonts w:hint="eastAsia" w:ascii="仿宋" w:hAnsi="仿宋" w:eastAsia="仿宋" w:cs="仿宋"/>
          <w:sz w:val="32"/>
          <w:szCs w:val="32"/>
          <w:lang w:val="en-US" w:eastAsia="zh-CN"/>
        </w:rPr>
        <w:t>九</w:t>
      </w:r>
      <w:r>
        <w:rPr>
          <w:rFonts w:hint="eastAsia" w:ascii="仿宋" w:hAnsi="仿宋" w:eastAsia="仿宋" w:cs="仿宋"/>
          <w:sz w:val="32"/>
          <w:szCs w:val="32"/>
        </w:rPr>
        <w:t>日</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附：石家庄市裕华区人民法院确定的《管理人报酬方案》</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5</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29E6CD3"/>
    <w:rsid w:val="0C031AB5"/>
    <w:rsid w:val="0CB87237"/>
    <w:rsid w:val="0E3F22A2"/>
    <w:rsid w:val="16E83A17"/>
    <w:rsid w:val="190B633F"/>
    <w:rsid w:val="1B2C68A2"/>
    <w:rsid w:val="1DDD1B87"/>
    <w:rsid w:val="1E1B7611"/>
    <w:rsid w:val="1E68343F"/>
    <w:rsid w:val="2698622E"/>
    <w:rsid w:val="270C4509"/>
    <w:rsid w:val="2959155B"/>
    <w:rsid w:val="2F7C2D39"/>
    <w:rsid w:val="305F7D9F"/>
    <w:rsid w:val="30ED34D7"/>
    <w:rsid w:val="326570B0"/>
    <w:rsid w:val="33F61A1E"/>
    <w:rsid w:val="36B267F2"/>
    <w:rsid w:val="384C6E5B"/>
    <w:rsid w:val="3DC627D2"/>
    <w:rsid w:val="44731D31"/>
    <w:rsid w:val="45236D65"/>
    <w:rsid w:val="49900626"/>
    <w:rsid w:val="4CB57EAE"/>
    <w:rsid w:val="5030253F"/>
    <w:rsid w:val="58F7349E"/>
    <w:rsid w:val="5A196040"/>
    <w:rsid w:val="5F6F2C77"/>
    <w:rsid w:val="62CB1086"/>
    <w:rsid w:val="65954ED5"/>
    <w:rsid w:val="6E076185"/>
    <w:rsid w:val="6E9437BA"/>
    <w:rsid w:val="70392E14"/>
    <w:rsid w:val="735D6314"/>
    <w:rsid w:val="75691D09"/>
    <w:rsid w:val="76C957C7"/>
    <w:rsid w:val="76D81E5A"/>
    <w:rsid w:val="7DCC211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semiHidden/>
    <w:qFormat/>
    <w:uiPriority w:val="99"/>
    <w:pPr>
      <w:ind w:firstLine="560" w:firstLineChars="200"/>
    </w:pPr>
    <w:rPr>
      <w:kern w:val="0"/>
      <w:sz w:val="20"/>
    </w:rPr>
  </w:style>
  <w:style w:type="paragraph" w:styleId="3">
    <w:name w:val="footer"/>
    <w:basedOn w:val="1"/>
    <w:link w:val="10"/>
    <w:qFormat/>
    <w:uiPriority w:val="99"/>
    <w:pPr>
      <w:tabs>
        <w:tab w:val="center" w:pos="4153"/>
        <w:tab w:val="right" w:pos="8306"/>
      </w:tabs>
      <w:snapToGrid w:val="0"/>
      <w:jc w:val="left"/>
    </w:pPr>
    <w:rPr>
      <w:kern w:val="0"/>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semiHidden/>
    <w:unhideWhenUsed/>
    <w:qFormat/>
    <w:uiPriority w:val="99"/>
    <w:rPr>
      <w:sz w:val="24"/>
    </w:rPr>
  </w:style>
  <w:style w:type="character" w:styleId="8">
    <w:name w:val="page number"/>
    <w:basedOn w:val="7"/>
    <w:qFormat/>
    <w:uiPriority w:val="99"/>
    <w:rPr>
      <w:rFonts w:cs="Times New Roman"/>
    </w:rPr>
  </w:style>
  <w:style w:type="character" w:customStyle="1" w:styleId="9">
    <w:name w:val="Body Text Indent Char"/>
    <w:basedOn w:val="7"/>
    <w:link w:val="2"/>
    <w:semiHidden/>
    <w:qFormat/>
    <w:locked/>
    <w:uiPriority w:val="99"/>
    <w:rPr>
      <w:sz w:val="24"/>
    </w:rPr>
  </w:style>
  <w:style w:type="character" w:customStyle="1" w:styleId="10">
    <w:name w:val="Footer Char"/>
    <w:basedOn w:val="7"/>
    <w:link w:val="3"/>
    <w:semiHidden/>
    <w:qFormat/>
    <w:locked/>
    <w:uiPriority w:val="99"/>
    <w:rPr>
      <w:sz w:val="18"/>
    </w:rPr>
  </w:style>
  <w:style w:type="character" w:customStyle="1" w:styleId="11">
    <w:name w:val="Header Char"/>
    <w:basedOn w:val="7"/>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Pages>
  <Words>1107</Words>
  <Characters>1150</Characters>
  <Lines>0</Lines>
  <Paragraphs>0</Paragraphs>
  <TotalTime>3</TotalTime>
  <ScaleCrop>false</ScaleCrop>
  <LinksUpToDate>false</LinksUpToDate>
  <CharactersWithSpaces>1170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2024-07-05T11:30:20Z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