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b/>
          <w:bCs/>
          <w:sz w:val="36"/>
          <w:szCs w:val="36"/>
          <w:lang w:eastAsia="zh-CN"/>
        </w:rPr>
      </w:pPr>
      <w:r>
        <w:rPr>
          <w:rFonts w:hint="eastAsia" w:ascii="宋体" w:hAnsi="宋体" w:eastAsia="宋体" w:cs="宋体"/>
          <w:b/>
          <w:bCs/>
          <w:color w:val="000000"/>
          <w:sz w:val="44"/>
          <w:szCs w:val="44"/>
        </w:rPr>
        <w:t>河北一加一教育科技</w:t>
      </w:r>
      <w:r>
        <w:rPr>
          <w:rFonts w:hint="eastAsia" w:ascii="宋体" w:hAnsi="宋体" w:eastAsia="宋体" w:cs="宋体"/>
          <w:b/>
          <w:bCs/>
          <w:sz w:val="44"/>
          <w:szCs w:val="44"/>
        </w:rPr>
        <w:t>有限公司</w:t>
      </w:r>
      <w:r>
        <w:rPr>
          <w:rFonts w:hint="eastAsia" w:ascii="宋体" w:hAnsi="宋体" w:eastAsia="宋体" w:cs="宋体"/>
          <w:b/>
          <w:bCs/>
          <w:sz w:val="44"/>
          <w:szCs w:val="44"/>
          <w:lang w:eastAsia="zh-CN"/>
        </w:rPr>
        <w:t>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s="微软雅黑"/>
          <w:b/>
          <w:bCs/>
          <w:sz w:val="44"/>
          <w:szCs w:val="44"/>
        </w:rPr>
      </w:pPr>
      <w:r>
        <w:rPr>
          <w:rFonts w:hint="eastAsia"/>
          <w:b/>
          <w:bCs/>
          <w:sz w:val="44"/>
          <w:szCs w:val="44"/>
        </w:rPr>
        <w:t>管理人</w:t>
      </w:r>
      <w:r>
        <w:rPr>
          <w:rFonts w:hint="eastAsia"/>
          <w:b/>
          <w:bCs/>
          <w:sz w:val="44"/>
          <w:szCs w:val="44"/>
          <w:lang w:eastAsia="zh-CN"/>
        </w:rPr>
        <w:t>报酬方案</w:t>
      </w:r>
    </w:p>
    <w:p>
      <w:pPr>
        <w:spacing w:line="520" w:lineRule="exact"/>
        <w:jc w:val="righ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2024年5月30日，石家庄市中级人民法院作出（2024）冀01破申13号之民事裁定书，裁定受理河北一加一教育科技有限公司（以下简称“一加一公司”）的破产清算一案，并指定石家庄市裕华区人民法院（以下简称“裕华法院”）审理。裕华法院于2024年5月31日作出（2024）冀0108破2号之决定书，指定河北天宏律师事务所担任河北一加一教育科技有限公司管理人，负责开展破产清算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根据</w:t>
      </w:r>
      <w:r>
        <w:rPr>
          <w:rFonts w:hint="eastAsia" w:ascii="仿宋" w:hAnsi="仿宋" w:eastAsia="仿宋" w:cs="仿宋"/>
          <w:sz w:val="32"/>
          <w:szCs w:val="32"/>
        </w:rPr>
        <w:t>《中华人民共和国企业破产法》</w:t>
      </w:r>
      <w:r>
        <w:rPr>
          <w:rFonts w:hint="eastAsia" w:ascii="仿宋" w:hAnsi="仿宋" w:eastAsia="仿宋" w:cs="仿宋"/>
          <w:sz w:val="32"/>
          <w:szCs w:val="32"/>
          <w:lang w:eastAsia="zh-CN"/>
        </w:rPr>
        <w:t>（以下简称“《企业破产法》”）、《最高人民法院关于审理企业破产案件确定管理人报酬的规定》（以下简称“《报酬规定》”）、《石家庄市中级人民法院关于建立破产案件公益管理人制度的实施意见（试行）》</w:t>
      </w:r>
      <w:r>
        <w:rPr>
          <w:rFonts w:hint="eastAsia" w:ascii="仿宋" w:hAnsi="仿宋" w:eastAsia="仿宋" w:cs="仿宋"/>
          <w:sz w:val="32"/>
          <w:szCs w:val="32"/>
        </w:rPr>
        <w:t>的</w:t>
      </w:r>
      <w:r>
        <w:rPr>
          <w:rFonts w:hint="eastAsia" w:ascii="仿宋" w:hAnsi="仿宋" w:eastAsia="仿宋" w:cs="仿宋"/>
          <w:sz w:val="32"/>
          <w:szCs w:val="32"/>
          <w:lang w:eastAsia="zh-CN"/>
        </w:rPr>
        <w:t>相关规定，结合债务人的具体情况，管理人就本案管理人报酬的确定及支付等相关事宜，制定如下方案：</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一、在管理人未追回财产的情况下，管理人工作补助方案如下：</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管理人按照</w:t>
      </w:r>
      <w:r>
        <w:rPr>
          <w:rFonts w:hint="eastAsia" w:ascii="仿宋" w:hAnsi="仿宋" w:eastAsia="仿宋" w:cs="仿宋"/>
          <w:sz w:val="32"/>
          <w:szCs w:val="32"/>
          <w:lang w:val="en-US" w:eastAsia="zh-CN"/>
        </w:rPr>
        <w:t>5000-20000元的标准向</w:t>
      </w:r>
      <w:r>
        <w:rPr>
          <w:rFonts w:hint="eastAsia" w:ascii="仿宋" w:hAnsi="仿宋" w:eastAsia="仿宋" w:cs="仿宋"/>
          <w:i w:val="0"/>
          <w:iCs w:val="0"/>
          <w:caps w:val="0"/>
          <w:color w:val="000000"/>
          <w:spacing w:val="8"/>
          <w:sz w:val="32"/>
          <w:szCs w:val="32"/>
          <w:shd w:val="clear" w:fill="FFFFFF"/>
        </w:rPr>
        <w:t>破产援助基金</w:t>
      </w:r>
      <w:r>
        <w:rPr>
          <w:rFonts w:hint="eastAsia" w:ascii="仿宋" w:hAnsi="仿宋" w:eastAsia="仿宋" w:cs="仿宋"/>
          <w:sz w:val="32"/>
          <w:szCs w:val="32"/>
          <w:lang w:val="en-US" w:eastAsia="zh-CN"/>
        </w:rPr>
        <w:t>申请管理人工作补助，具体金额由裕华法院根据管理人履职情况审核确定。</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二、如管理人通过诉讼方式追缴股东出资追回财产的前提下，则管理人报酬方案如下：</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（一）管理人收取报酬的主要法律依据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《报酬规定》第一条规定：“管理人履行企业破产法第二十五条规定的职责，有权获得相应报酬。管理人报酬由审理企业破产案件的人民法院依据本规定确定。”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《报酬规定》第二条第一、二款规定：“人民法院应根据债务人最终清偿的财产价值总额，在以下比例限制范围内分段确定管理人报酬：</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（一）不超过一百万元（含本数，下同）的，在12%以下确定；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（二）超过一百万元至五百万元的部分，在10%以下确定；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（三）超过五百万元至一千万元的部分，在8%以下确定；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（四）超过一千万元至五千万元的部分，在6%以下确定：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（五）超过五千万元至一亿元的部分，在3%以下确定；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（六）超过一亿元至五亿元的部分，在1%以下确定；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（七）超过五亿元的部分，在0.5%以下确定。</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担保权人优先受偿的担保物价值，不计入前款规定的财产价值总额。”</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（二）本案管理人报酬的计算方法</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本案中，结合本案实际，管理人报酬将以本案最终清偿债务的财产价值总额为基数，按照以下比例向裕华法院申请收取：</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1、不超过一百万元（含本数，下同）的，按照8.4%计取；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kern w:val="2"/>
          <w:sz w:val="32"/>
          <w:szCs w:val="32"/>
          <w:lang w:val="en-US" w:eastAsia="zh-CN" w:bidi="ar-SA"/>
        </w:rPr>
        <w:t>2、超过一百万元至五百万元的部分，按照7%计取；</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（三）管理人报酬的支付</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rPr>
      </w:pPr>
      <w:r>
        <w:rPr>
          <w:rFonts w:hint="eastAsia" w:ascii="仿宋" w:hAnsi="仿宋" w:eastAsia="仿宋" w:cs="仿宋"/>
          <w:sz w:val="32"/>
          <w:szCs w:val="32"/>
          <w:lang w:eastAsia="zh-CN"/>
        </w:rPr>
        <w:t>根据《企业破产法》第四十一、四十三条的规定，管理人报酬属于破产费用，从债务人财产中随时</w:t>
      </w:r>
      <w:bookmarkStart w:id="0" w:name="_GoBack"/>
      <w:bookmarkEnd w:id="0"/>
      <w:r>
        <w:rPr>
          <w:rFonts w:hint="eastAsia" w:ascii="仿宋" w:hAnsi="仿宋" w:eastAsia="仿宋" w:cs="仿宋"/>
          <w:sz w:val="32"/>
          <w:szCs w:val="32"/>
          <w:lang w:eastAsia="zh-CN"/>
        </w:rPr>
        <w:t>优先清偿。结合本案实际情况，管理人报酬在管理人追回财产后，在破产财产分配时按照当次分配金额比例以银行转账方式支付。</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rPr>
      </w:pPr>
      <w:r>
        <w:rPr>
          <w:rFonts w:hint="eastAsia" w:ascii="仿宋" w:hAnsi="仿宋" w:eastAsia="仿宋" w:cs="仿宋"/>
          <w:sz w:val="32"/>
          <w:szCs w:val="32"/>
          <w:lang w:eastAsia="zh-CN"/>
        </w:rPr>
        <w:t>本方案未尽事宜，依照《企业破产法》及司法解释等相关法律、法规的规定执行</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特此报告</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ind w:firstLine="56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河北一加一教育科技</w:t>
      </w:r>
      <w:r>
        <w:rPr>
          <w:rFonts w:hint="eastAsia" w:ascii="仿宋" w:hAnsi="仿宋" w:eastAsia="仿宋" w:cs="仿宋"/>
          <w:sz w:val="32"/>
          <w:szCs w:val="32"/>
        </w:rPr>
        <w:t>有限公司管理人</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r>
        <w:rPr>
          <w:rFonts w:hint="eastAsia" w:ascii="仿宋" w:hAnsi="仿宋" w:eastAsia="仿宋" w:cs="仿宋"/>
          <w:sz w:val="32"/>
          <w:szCs w:val="32"/>
          <w:lang w:eastAsia="zh-CN"/>
        </w:rPr>
        <w:t>二○二四</w:t>
      </w:r>
      <w:r>
        <w:rPr>
          <w:rFonts w:hint="eastAsia" w:ascii="仿宋" w:hAnsi="仿宋" w:eastAsia="仿宋" w:cs="仿宋"/>
          <w:sz w:val="32"/>
          <w:szCs w:val="32"/>
        </w:rPr>
        <w:t>年</w:t>
      </w:r>
      <w:r>
        <w:rPr>
          <w:rFonts w:hint="eastAsia" w:ascii="仿宋" w:hAnsi="仿宋" w:eastAsia="仿宋" w:cs="仿宋"/>
          <w:sz w:val="32"/>
          <w:szCs w:val="32"/>
          <w:lang w:val="en-US" w:eastAsia="zh-CN"/>
        </w:rPr>
        <w:t>七</w:t>
      </w:r>
      <w:r>
        <w:rPr>
          <w:rFonts w:hint="eastAsia" w:ascii="仿宋" w:hAnsi="仿宋" w:eastAsia="仿宋" w:cs="仿宋"/>
          <w:sz w:val="32"/>
          <w:szCs w:val="32"/>
        </w:rPr>
        <w:t>月</w:t>
      </w:r>
      <w:r>
        <w:rPr>
          <w:rFonts w:hint="eastAsia" w:ascii="仿宋" w:hAnsi="仿宋" w:eastAsia="仿宋" w:cs="仿宋"/>
          <w:sz w:val="32"/>
          <w:szCs w:val="32"/>
          <w:lang w:val="en-US" w:eastAsia="zh-CN"/>
        </w:rPr>
        <w:t>三</w:t>
      </w:r>
      <w:r>
        <w:rPr>
          <w:rFonts w:hint="eastAsia" w:ascii="仿宋" w:hAnsi="仿宋" w:eastAsia="仿宋" w:cs="仿宋"/>
          <w:sz w:val="32"/>
          <w:szCs w:val="32"/>
        </w:rPr>
        <w:t>日</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5</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29E6CD3"/>
    <w:rsid w:val="0C031AB5"/>
    <w:rsid w:val="0CB87237"/>
    <w:rsid w:val="0E3F22A2"/>
    <w:rsid w:val="190B633F"/>
    <w:rsid w:val="1DDD1B87"/>
    <w:rsid w:val="1E1B7611"/>
    <w:rsid w:val="1E68343F"/>
    <w:rsid w:val="2698622E"/>
    <w:rsid w:val="270C4509"/>
    <w:rsid w:val="2F7C2D39"/>
    <w:rsid w:val="305F7D9F"/>
    <w:rsid w:val="30ED34D7"/>
    <w:rsid w:val="326570B0"/>
    <w:rsid w:val="33F61A1E"/>
    <w:rsid w:val="36B267F2"/>
    <w:rsid w:val="384C6E5B"/>
    <w:rsid w:val="3DC627D2"/>
    <w:rsid w:val="44731D31"/>
    <w:rsid w:val="45236D65"/>
    <w:rsid w:val="49900626"/>
    <w:rsid w:val="4CB57EAE"/>
    <w:rsid w:val="5030253F"/>
    <w:rsid w:val="58F7349E"/>
    <w:rsid w:val="5A196040"/>
    <w:rsid w:val="5F6F2C77"/>
    <w:rsid w:val="62CB1086"/>
    <w:rsid w:val="65954ED5"/>
    <w:rsid w:val="6E076185"/>
    <w:rsid w:val="6E9437BA"/>
    <w:rsid w:val="70392E14"/>
    <w:rsid w:val="735D6314"/>
    <w:rsid w:val="75691D09"/>
    <w:rsid w:val="76C957C7"/>
    <w:rsid w:val="76D81E5A"/>
    <w:rsid w:val="7DCC211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semiHidden/>
    <w:qFormat/>
    <w:uiPriority w:val="99"/>
    <w:pPr>
      <w:ind w:firstLine="560" w:firstLineChars="200"/>
    </w:pPr>
    <w:rPr>
      <w:kern w:val="0"/>
      <w:sz w:val="20"/>
    </w:rPr>
  </w:style>
  <w:style w:type="paragraph" w:styleId="3">
    <w:name w:val="footer"/>
    <w:basedOn w:val="1"/>
    <w:link w:val="10"/>
    <w:qFormat/>
    <w:uiPriority w:val="99"/>
    <w:pPr>
      <w:tabs>
        <w:tab w:val="center" w:pos="4153"/>
        <w:tab w:val="right" w:pos="8306"/>
      </w:tabs>
      <w:snapToGrid w:val="0"/>
      <w:jc w:val="left"/>
    </w:pPr>
    <w:rPr>
      <w:kern w:val="0"/>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semiHidden/>
    <w:unhideWhenUsed/>
    <w:qFormat/>
    <w:uiPriority w:val="99"/>
    <w:rPr>
      <w:sz w:val="24"/>
    </w:rPr>
  </w:style>
  <w:style w:type="character" w:styleId="8">
    <w:name w:val="page number"/>
    <w:basedOn w:val="7"/>
    <w:qFormat/>
    <w:uiPriority w:val="99"/>
    <w:rPr>
      <w:rFonts w:cs="Times New Roman"/>
    </w:rPr>
  </w:style>
  <w:style w:type="character" w:customStyle="1" w:styleId="9">
    <w:name w:val="Body Text Indent Char"/>
    <w:basedOn w:val="7"/>
    <w:link w:val="2"/>
    <w:semiHidden/>
    <w:qFormat/>
    <w:locked/>
    <w:uiPriority w:val="99"/>
    <w:rPr>
      <w:sz w:val="24"/>
    </w:rPr>
  </w:style>
  <w:style w:type="character" w:customStyle="1" w:styleId="10">
    <w:name w:val="Footer Char"/>
    <w:basedOn w:val="7"/>
    <w:link w:val="3"/>
    <w:semiHidden/>
    <w:qFormat/>
    <w:locked/>
    <w:uiPriority w:val="99"/>
    <w:rPr>
      <w:sz w:val="18"/>
    </w:rPr>
  </w:style>
  <w:style w:type="character" w:customStyle="1" w:styleId="11">
    <w:name w:val="Header Char"/>
    <w:basedOn w:val="7"/>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Pages>
  <Words>1107</Words>
  <Characters>1150</Characters>
  <Lines>0</Lines>
  <Paragraphs>0</Paragraphs>
  <TotalTime>4</TotalTime>
  <ScaleCrop>false</ScaleCrop>
  <LinksUpToDate>false</LinksUpToDate>
  <CharactersWithSpaces>1170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2024-07-05T11:11:57Z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