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sz w:val="44"/>
          <w:szCs w:val="44"/>
        </w:rPr>
        <w:t>河北一加一教育科技有限公司</w:t>
      </w:r>
      <w:r>
        <w:rPr>
          <w:rFonts w:hint="eastAsia" w:ascii="宋体" w:hAnsi="宋体" w:eastAsia="宋体" w:cs="宋体"/>
          <w:b/>
          <w:sz w:val="44"/>
          <w:szCs w:val="44"/>
          <w:lang w:eastAsia="zh-CN"/>
        </w:rPr>
        <w:t>破产清算案</w:t>
      </w:r>
    </w:p>
    <w:p>
      <w:pPr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宋体" w:hAnsi="宋体" w:eastAsia="宋体" w:cs="宋体"/>
          <w:b/>
          <w:sz w:val="44"/>
          <w:szCs w:val="44"/>
        </w:rPr>
        <w:t>财产状况报告</w:t>
      </w:r>
    </w:p>
    <w:p>
      <w:pPr>
        <w:jc w:val="left"/>
        <w:rPr>
          <w:rFonts w:hint="eastAsia" w:ascii="仿宋" w:hAnsi="仿宋" w:eastAsia="仿宋" w:cs="仿宋"/>
          <w:b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尊敬的合议庭、各位债权人：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2024年5月30日，石家庄市中级人民法院作出（2024）冀01破申13号民事裁定书，裁定受理河北一加一教育科技有限公司（以下简称“债务人”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或“一加一公司”</w:t>
      </w:r>
      <w:r>
        <w:rPr>
          <w:rFonts w:hint="eastAsia" w:ascii="仿宋" w:hAnsi="仿宋" w:eastAsia="仿宋" w:cs="仿宋"/>
          <w:sz w:val="32"/>
          <w:szCs w:val="32"/>
        </w:rPr>
        <w:t>）破产清算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一案</w:t>
      </w:r>
      <w:r>
        <w:rPr>
          <w:rFonts w:hint="eastAsia" w:ascii="仿宋" w:hAnsi="仿宋" w:eastAsia="仿宋" w:cs="仿宋"/>
          <w:sz w:val="32"/>
          <w:szCs w:val="32"/>
        </w:rPr>
        <w:t>，并指定石家庄市裕华区人民法院审理。石家庄市裕华区人民法院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（以下简称“裕华法院”）</w:t>
      </w:r>
      <w:r>
        <w:rPr>
          <w:rFonts w:hint="eastAsia" w:ascii="仿宋" w:hAnsi="仿宋" w:eastAsia="仿宋" w:cs="仿宋"/>
          <w:sz w:val="32"/>
          <w:szCs w:val="32"/>
        </w:rPr>
        <w:t>于2024年5月31日作出（2024）冀0108破2号决定书，指定河北天宏律师事务所担任河北一加一教育科技有限公司管理人（以下简称“管理人”），负责债务人破产清算工作。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管理人根据《中华人民共和国企业破产法》和《最高人民法院关于适用&lt;中华人民共和国企业破产法&gt;若干问题的规定（二）》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sz w:val="32"/>
          <w:szCs w:val="32"/>
        </w:rPr>
        <w:t>《中华人民共和国律师法》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等</w:t>
      </w:r>
      <w:r>
        <w:rPr>
          <w:rFonts w:hint="eastAsia" w:ascii="仿宋" w:hAnsi="仿宋" w:eastAsia="仿宋" w:cs="仿宋"/>
          <w:sz w:val="32"/>
          <w:szCs w:val="32"/>
        </w:rPr>
        <w:t>相关规定，对债务人名下的财产状况进行了调查，通过管理人小组仔细、审慎的调查，现将债务人的财产状况向合议庭以及各债权人报告如下：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一、财产调查工作概述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管理人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接受指定后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在裕华法院的协助下，通过全国法院网络执行查控系统、法院查控网对一加一公司名下的银行存款、股票、股权、房产、土地使用权、车辆、财付通（微信、支付宝）账户余额等财产进行查证，</w:t>
      </w:r>
      <w:r>
        <w:rPr>
          <w:rFonts w:hint="eastAsia" w:ascii="仿宋" w:hAnsi="仿宋" w:eastAsia="仿宋" w:cs="仿宋"/>
          <w:sz w:val="32"/>
          <w:szCs w:val="32"/>
        </w:rPr>
        <w:t>根据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裕华法院财产查控的反馈结果以及</w:t>
      </w:r>
      <w:r>
        <w:rPr>
          <w:rFonts w:hint="eastAsia" w:ascii="仿宋" w:hAnsi="仿宋" w:eastAsia="仿宋" w:cs="仿宋"/>
          <w:sz w:val="32"/>
          <w:szCs w:val="32"/>
        </w:rPr>
        <w:t>债务人的实际情况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制定了相应的财产调查方案，专门分配管理人财产调查小组对债务人的各类财产展开调查。重要涉及不动产登记中心、车辆管理所、行政审批局和中国民生银行，管理人在调查过程中严格按照相关法律、法规及规章，调查过程真实可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二、债务人的财产状况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破产</w:t>
      </w:r>
      <w:r>
        <w:rPr>
          <w:rFonts w:hint="eastAsia" w:ascii="仿宋" w:hAnsi="仿宋" w:eastAsia="仿宋" w:cs="仿宋"/>
          <w:sz w:val="32"/>
          <w:szCs w:val="32"/>
        </w:rPr>
        <w:t>债务人的财产包括但不限于货币资金、实物资产、可以用货币估价并能够依法转让的债权、股权、知识产权等财产、财产权益以及其他依照法律、行政法规规定属于债务人的财产。根据管理人的调查，债务人的财产状况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（一）货币资金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1、关于现金。截至2024年7月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日，债务人不存在现金人民币。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2、关于银行存款。截至2024年7月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日，根据石家庄市裕华区人民法院财产查询反馈以及管理人调查，债务人名下开立的银行账户总计1个，管理人通过调取债务人的银行账户交易明细对账单，债务人名下银行存款金额为人民币0.6元。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（二）不动产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根据管理人前往石家庄市不动产登记中心查询到的结果，债务人名下无不动产信息。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（三）车辆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根据管理人前往是石家庄市车辆管理所第一分所调取的查询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结果</w:t>
      </w:r>
      <w:r>
        <w:rPr>
          <w:rFonts w:hint="eastAsia" w:ascii="仿宋" w:hAnsi="仿宋" w:eastAsia="仿宋" w:cs="仿宋"/>
          <w:sz w:val="32"/>
          <w:szCs w:val="32"/>
        </w:rPr>
        <w:t>，债务人名下无动产车辆信息。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（四）对外投资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根据管理人调查，债务人名下无对外投资。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（五）知识产权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根据管理人在国家商标局、国家知识产权局和中国版权保护中心官网的核查，债务人名下不存在有效的注册商标、发明专利、实用性专利、著作权。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（六）对外债权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根据现有材料，截至2024年7月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日，债务人无对外债权。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3" w:firstLineChars="200"/>
        <w:jc w:val="left"/>
        <w:textAlignment w:val="auto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三、有关股东出资情况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通过</w:t>
      </w:r>
      <w:r>
        <w:rPr>
          <w:rFonts w:hint="eastAsia" w:ascii="仿宋" w:hAnsi="仿宋" w:eastAsia="仿宋" w:cs="仿宋"/>
          <w:sz w:val="32"/>
          <w:szCs w:val="32"/>
        </w:rPr>
        <w:t>管理人前往行政审批局查询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到的</w:t>
      </w:r>
      <w:r>
        <w:rPr>
          <w:rFonts w:hint="eastAsia" w:ascii="仿宋" w:hAnsi="仿宋" w:eastAsia="仿宋" w:cs="仿宋"/>
          <w:sz w:val="32"/>
          <w:szCs w:val="32"/>
        </w:rPr>
        <w:t>债务人工商档案，显示债务人于2017年2月10日成立，注册资本为人民币300万元，实缴资本为人民币0元。股东闫琳博与股东李玉松作为公司发起人，各自认缴出资150万元，于2047年12月31日前缴清。2020年8月19日，股东李玉松将所持有的公司50%股权（认缴注册资本150万元，实缴注册资本0元），转让给股东闫琳博，转让后，股东闫琳博出资300万元持有公司100%股权（认缴注册资本300万元，实缴注册资本0元）。2021年5月8日，股东闫琳博将所持有的公司80%的股权（认缴注册资本240万元，实缴注册资本0元），转让给崔建茹，转让后，股东崔建茹出资240万元持有公司80%的股权（认缴注册资本240万元，实缴注册资本0元），股东闫琳博出资60万元持有公司20%的股权（认缴注册资本60万元，实缴注册资本0元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管理人根据查询结果认为，债务人对内债权为300万元，管理人会根据债权申报及审定情况，对债务人的股东出资进行追缴，具体方案可详见</w:t>
      </w:r>
      <w:r>
        <w:rPr>
          <w:rFonts w:hint="eastAsia" w:ascii="仿宋" w:hAnsi="仿宋" w:eastAsia="仿宋" w:cs="仿宋"/>
          <w:bCs/>
          <w:sz w:val="32"/>
          <w:szCs w:val="32"/>
        </w:rPr>
        <w:t>追缴出资诉讼方案。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lang w:eastAsia="zh-CN"/>
        </w:rPr>
        <w:t>综上，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债务人</w:t>
      </w:r>
      <w:r>
        <w:rPr>
          <w:rFonts w:hint="eastAsia" w:ascii="仿宋" w:hAnsi="仿宋" w:eastAsia="仿宋"/>
          <w:sz w:val="32"/>
          <w:szCs w:val="32"/>
        </w:rPr>
        <w:t>除</w:t>
      </w:r>
      <w:r>
        <w:rPr>
          <w:rFonts w:hint="eastAsia" w:ascii="仿宋" w:hAnsi="仿宋" w:eastAsia="仿宋"/>
          <w:sz w:val="32"/>
          <w:szCs w:val="32"/>
          <w:lang w:eastAsia="zh-CN"/>
        </w:rPr>
        <w:t>享有对股东追缴出资的债权外</w:t>
      </w:r>
      <w:r>
        <w:rPr>
          <w:rFonts w:hint="eastAsia" w:ascii="仿宋" w:hAnsi="仿宋" w:eastAsia="仿宋"/>
          <w:sz w:val="32"/>
          <w:szCs w:val="32"/>
        </w:rPr>
        <w:t>，已无其他财产</w:t>
      </w:r>
      <w:r>
        <w:rPr>
          <w:rFonts w:hint="eastAsia" w:ascii="仿宋" w:hAnsi="仿宋" w:eastAsia="仿宋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以上为截至目前管理人根据调查情况起草的财产状况报告。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特此报告。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河北一加一教育科技有限公司管理人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840" w:firstLine="640" w:firstLineChars="200"/>
        <w:jc w:val="righ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○</w:t>
      </w:r>
      <w:r>
        <w:rPr>
          <w:rFonts w:hint="eastAsia" w:ascii="仿宋" w:hAnsi="仿宋" w:eastAsia="仿宋" w:cs="仿宋"/>
          <w:sz w:val="32"/>
          <w:szCs w:val="32"/>
        </w:rPr>
        <w:t>二四年七月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九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日</w:t>
      </w:r>
    </w:p>
    <w:sectPr>
      <w:pgSz w:w="11906" w:h="16838"/>
      <w:pgMar w:top="1440" w:right="1519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2E5MmI5NGYwZGQwMDU0MDY2YzcyNzQwYzFhZDU4YzMifQ=="/>
  </w:docVars>
  <w:rsids>
    <w:rsidRoot w:val="007754E9"/>
    <w:rsid w:val="001213C5"/>
    <w:rsid w:val="002657D2"/>
    <w:rsid w:val="0033620A"/>
    <w:rsid w:val="0040073C"/>
    <w:rsid w:val="004050B1"/>
    <w:rsid w:val="0044740A"/>
    <w:rsid w:val="00540955"/>
    <w:rsid w:val="00574955"/>
    <w:rsid w:val="005A0B41"/>
    <w:rsid w:val="005B66FB"/>
    <w:rsid w:val="00651CC1"/>
    <w:rsid w:val="006958FA"/>
    <w:rsid w:val="006D2126"/>
    <w:rsid w:val="006D458A"/>
    <w:rsid w:val="006F3705"/>
    <w:rsid w:val="007754E9"/>
    <w:rsid w:val="007E0240"/>
    <w:rsid w:val="008535F6"/>
    <w:rsid w:val="00904E53"/>
    <w:rsid w:val="00B65978"/>
    <w:rsid w:val="00BF560C"/>
    <w:rsid w:val="00D1747C"/>
    <w:rsid w:val="00EB6610"/>
    <w:rsid w:val="00F826E0"/>
    <w:rsid w:val="109567D3"/>
    <w:rsid w:val="157C274C"/>
    <w:rsid w:val="200143C1"/>
    <w:rsid w:val="4DD666DB"/>
    <w:rsid w:val="59634627"/>
    <w:rsid w:val="63C35992"/>
    <w:rsid w:val="66A979FF"/>
    <w:rsid w:val="6B463E9F"/>
    <w:rsid w:val="7A3A4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1557</Words>
  <Characters>1634</Characters>
  <Lines>10</Lines>
  <Paragraphs>3</Paragraphs>
  <TotalTime>0</TotalTime>
  <ScaleCrop>false</ScaleCrop>
  <LinksUpToDate>false</LinksUpToDate>
  <CharactersWithSpaces>1634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2024-07-03T07:14:00Z</dcterms:created>
  <dc:creator>dreamsummit</dc:creator>
  <cp:lastModifiedBy>Administrator</cp:lastModifiedBy>
  <dcterms:modified xsi:type="dcterms:W3CDTF">2024-07-05T11:35:06Z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E18134D061C644BCBD04C9DA6055718C_12</vt:lpwstr>
  </property>
</Properties>
</file>