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33B94" w14:textId="77777777" w:rsidR="0060061C" w:rsidRDefault="0060061C" w:rsidP="0060061C">
      <w:pPr>
        <w:rPr>
          <w:rFonts w:ascii="宋体" w:eastAsia="宋体" w:hAnsi="宋体"/>
          <w:sz w:val="28"/>
          <w:szCs w:val="32"/>
        </w:rPr>
      </w:pPr>
      <w:r w:rsidRPr="0060061C">
        <w:rPr>
          <w:rFonts w:ascii="KaiTi" w:eastAsia="KaiTi" w:hAnsi="KaiTi" w:hint="eastAsia"/>
          <w:sz w:val="36"/>
          <w:szCs w:val="32"/>
        </w:rPr>
        <w:t>附件1</w:t>
      </w:r>
      <w:r>
        <w:rPr>
          <w:rFonts w:ascii="宋体" w:eastAsia="宋体" w:hAnsi="宋体" w:hint="eastAsia"/>
          <w:sz w:val="28"/>
          <w:szCs w:val="32"/>
        </w:rPr>
        <w:t>：</w:t>
      </w:r>
    </w:p>
    <w:p w14:paraId="08215424" w14:textId="77777777" w:rsidR="0060061C" w:rsidRDefault="0060061C" w:rsidP="0060061C">
      <w:pPr>
        <w:spacing w:line="720" w:lineRule="auto"/>
        <w:jc w:val="center"/>
        <w:rPr>
          <w:rFonts w:ascii="楷体" w:eastAsia="楷体" w:hAnsi="楷体"/>
          <w:sz w:val="28"/>
          <w:szCs w:val="32"/>
        </w:rPr>
      </w:pPr>
      <w:bookmarkStart w:id="0" w:name="_GoBack"/>
      <w:bookmarkEnd w:id="0"/>
      <w:r>
        <w:rPr>
          <w:rFonts w:ascii="楷体" w:eastAsia="楷体" w:hAnsi="楷体" w:hint="eastAsia"/>
          <w:sz w:val="32"/>
          <w:szCs w:val="32"/>
        </w:rPr>
        <w:t>共益债评分标准</w:t>
      </w:r>
    </w:p>
    <w:tbl>
      <w:tblPr>
        <w:tblW w:w="14158" w:type="dxa"/>
        <w:tblLook w:val="04A0" w:firstRow="1" w:lastRow="0" w:firstColumn="1" w:lastColumn="0" w:noHBand="0" w:noVBand="1"/>
      </w:tblPr>
      <w:tblGrid>
        <w:gridCol w:w="2413"/>
        <w:gridCol w:w="1813"/>
        <w:gridCol w:w="8347"/>
        <w:gridCol w:w="1585"/>
      </w:tblGrid>
      <w:tr w:rsidR="0060061C" w14:paraId="59C229C0" w14:textId="77777777" w:rsidTr="00C62BD0">
        <w:trPr>
          <w:trHeight w:val="674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579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评分项目及权重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9D5DE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评分因素</w:t>
            </w:r>
          </w:p>
        </w:tc>
        <w:tc>
          <w:tcPr>
            <w:tcW w:w="8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E875B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评分标准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8DF7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分值</w:t>
            </w:r>
          </w:p>
        </w:tc>
      </w:tr>
      <w:tr w:rsidR="0060061C" w14:paraId="54BDD196" w14:textId="77777777" w:rsidTr="00C62BD0">
        <w:trPr>
          <w:trHeight w:val="957"/>
        </w:trPr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C88FAF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年利率报价（50%）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D364" w14:textId="77777777" w:rsidR="0060061C" w:rsidRDefault="0060061C" w:rsidP="00C62BD0">
            <w:pPr>
              <w:jc w:val="center"/>
              <w:rPr>
                <w:rFonts w:ascii="宋体" w:eastAsia="宋体" w:hAnsi="宋体" w:hint="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借款利率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5A40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有效报价中最低收益年利率为评分基准收益率，没有偏差得满分，每偏差0.1%扣1分。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288E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50</w:t>
            </w:r>
          </w:p>
        </w:tc>
      </w:tr>
      <w:tr w:rsidR="0060061C" w14:paraId="0B30C824" w14:textId="77777777" w:rsidTr="00C62BD0">
        <w:trPr>
          <w:trHeight w:val="1183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1E4707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偿债方案（40%）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7A1B9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偿债期限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094E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1.偿债期限较短，并能与项目实际情况匹配，得 10分;2.偿债期限较短，与本项目实际情况匹配一般，得5分;3.偿债期限较长或与本项目实际情况不匹配的，得0分。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B9AC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</w:t>
            </w:r>
          </w:p>
        </w:tc>
      </w:tr>
      <w:tr w:rsidR="0060061C" w14:paraId="6156674F" w14:textId="77777777" w:rsidTr="00C62BD0">
        <w:trPr>
          <w:trHeight w:val="1802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7AB995" w14:textId="77777777" w:rsidR="0060061C" w:rsidRDefault="0060061C" w:rsidP="00C62BD0">
            <w:pPr>
              <w:rPr>
                <w:rFonts w:ascii="宋体" w:eastAsia="宋体" w:hAnsi="宋体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8549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偿债方式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1A89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根据项目的销售去化情况，共益债投资人拥有一定范围的销售降价权，但销售价格不得低于4200元/平米。若销售价格降至4200元/平米仍无法实现销售清盘，则共益债投资人同意无条件接受未售房屋以4400元/平米的价格抵偿共益债本息余额，得10分；接受4400元/平米抵债共益债本息余额，得20分；接受4600元/平米及以上抵债共益债本息余额，得30分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2CB83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30</w:t>
            </w:r>
          </w:p>
        </w:tc>
      </w:tr>
      <w:tr w:rsidR="0060061C" w14:paraId="66651089" w14:textId="77777777" w:rsidTr="00C62BD0">
        <w:trPr>
          <w:trHeight w:val="1145"/>
        </w:trPr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63251" w14:textId="77777777" w:rsidR="0060061C" w:rsidRDefault="0060061C" w:rsidP="00C62BD0">
            <w:pPr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 xml:space="preserve"> 综合能力（10%）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5277E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综合能力</w:t>
            </w:r>
          </w:p>
        </w:tc>
        <w:tc>
          <w:tcPr>
            <w:tcW w:w="8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CCFC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是否拥有足够的资金实力对汇景嘉城公司进行重整投资；是否具有专业能力和投资能力的中央企业、国有企业；人员安排；款项审批时间；经验；方案等综合评分。优秀10分，良好5分；一般3分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D2F0" w14:textId="77777777" w:rsidR="0060061C" w:rsidRDefault="0060061C" w:rsidP="00C62BD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</w:rPr>
              <w:t>10</w:t>
            </w:r>
          </w:p>
        </w:tc>
      </w:tr>
    </w:tbl>
    <w:p w14:paraId="4E383F52" w14:textId="77777777" w:rsidR="00627E11" w:rsidRDefault="00627E11">
      <w:pPr>
        <w:rPr>
          <w:rFonts w:hint="eastAsia"/>
        </w:rPr>
      </w:pPr>
    </w:p>
    <w:sectPr w:rsidR="00627E11" w:rsidSect="0060061C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1C"/>
    <w:rsid w:val="0060061C"/>
    <w:rsid w:val="00627E11"/>
    <w:rsid w:val="00986547"/>
    <w:rsid w:val="00E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C75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60061C"/>
    <w:rPr>
      <w:rFonts w:ascii="Times New Roman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414</Characters>
  <Application>Microsoft Macintosh Word</Application>
  <DocSecurity>0</DocSecurity>
  <Lines>3</Lines>
  <Paragraphs>1</Paragraphs>
  <ScaleCrop>false</ScaleCrop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yulin_1987510@163.com</dc:creator>
  <cp:keywords/>
  <dc:description/>
  <cp:lastModifiedBy>yulin_1987510@163.com</cp:lastModifiedBy>
  <cp:revision>1</cp:revision>
  <dcterms:created xsi:type="dcterms:W3CDTF">2024-08-20T07:31:00Z</dcterms:created>
  <dcterms:modified xsi:type="dcterms:W3CDTF">2024-08-20T07:33:00Z</dcterms:modified>
</cp:coreProperties>
</file>