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435DD" w14:textId="77777777" w:rsidR="00831DDC" w:rsidRDefault="00831DDC" w:rsidP="00831DDC">
      <w:pPr>
        <w:spacing w:line="360" w:lineRule="auto"/>
        <w:rPr>
          <w:rFonts w:ascii="宋体" w:eastAsia="宋体" w:hAnsi="宋体"/>
          <w:sz w:val="28"/>
          <w:szCs w:val="32"/>
        </w:rPr>
      </w:pPr>
      <w:r w:rsidRPr="00831DDC">
        <w:rPr>
          <w:rFonts w:ascii="KaiTi" w:eastAsia="KaiTi" w:hAnsi="KaiTi" w:hint="eastAsia"/>
          <w:sz w:val="36"/>
          <w:szCs w:val="32"/>
        </w:rPr>
        <w:t>附件2</w:t>
      </w:r>
      <w:r>
        <w:rPr>
          <w:rFonts w:ascii="宋体" w:eastAsia="宋体" w:hAnsi="宋体" w:hint="eastAsia"/>
          <w:sz w:val="28"/>
          <w:szCs w:val="32"/>
        </w:rPr>
        <w:t>：</w:t>
      </w:r>
    </w:p>
    <w:tbl>
      <w:tblPr>
        <w:tblW w:w="15280" w:type="dxa"/>
        <w:jc w:val="center"/>
        <w:tblLook w:val="04A0" w:firstRow="1" w:lastRow="0" w:firstColumn="1" w:lastColumn="0" w:noHBand="0" w:noVBand="1"/>
      </w:tblPr>
      <w:tblGrid>
        <w:gridCol w:w="15280"/>
      </w:tblGrid>
      <w:tr w:rsidR="00831DDC" w14:paraId="1EDC4B22" w14:textId="77777777" w:rsidTr="00C62BD0">
        <w:trPr>
          <w:trHeight w:val="840"/>
          <w:jc w:val="center"/>
        </w:trPr>
        <w:tc>
          <w:tcPr>
            <w:tcW w:w="1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32066" w14:textId="77777777" w:rsidR="00831DDC" w:rsidRDefault="00831DDC" w:rsidP="00C62BD0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施工总承包评分标准</w:t>
            </w:r>
          </w:p>
          <w:tbl>
            <w:tblPr>
              <w:tblW w:w="14940" w:type="dxa"/>
              <w:tblLook w:val="04A0" w:firstRow="1" w:lastRow="0" w:firstColumn="1" w:lastColumn="0" w:noHBand="0" w:noVBand="1"/>
            </w:tblPr>
            <w:tblGrid>
              <w:gridCol w:w="960"/>
              <w:gridCol w:w="1880"/>
              <w:gridCol w:w="7400"/>
              <w:gridCol w:w="3240"/>
              <w:gridCol w:w="1460"/>
            </w:tblGrid>
            <w:tr w:rsidR="00831DDC" w14:paraId="638DE966" w14:textId="77777777" w:rsidTr="00C62BD0">
              <w:trPr>
                <w:trHeight w:val="720"/>
              </w:trPr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EBCFA" w14:textId="77777777" w:rsidR="00831DDC" w:rsidRDefault="00831DDC" w:rsidP="00C62BD0">
                  <w:pPr>
                    <w:jc w:val="center"/>
                    <w:rPr>
                      <w:rFonts w:ascii="宋体" w:eastAsia="宋体" w:hAnsi="宋体"/>
                      <w:b/>
                      <w:bCs/>
                      <w:color w:val="000000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color w:val="000000"/>
                    </w:rPr>
                    <w:t>价格评分（80）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C48714" w14:textId="77777777" w:rsidR="00831DDC" w:rsidRDefault="00831DDC" w:rsidP="00C62BD0">
                  <w:pPr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大项</w:t>
                  </w:r>
                </w:p>
              </w:tc>
              <w:tc>
                <w:tcPr>
                  <w:tcW w:w="7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EF650" w14:textId="77777777" w:rsidR="00831DDC" w:rsidRDefault="00831DDC" w:rsidP="00C62BD0">
                  <w:pPr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内容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BC320F" w14:textId="77777777" w:rsidR="00831DDC" w:rsidRDefault="00831DDC" w:rsidP="00C62BD0">
                  <w:pPr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报价范围</w:t>
                  </w:r>
                  <w:r w:rsidRPr="00831DDC">
                    <w:rPr>
                      <w:rFonts w:ascii="楷体" w:eastAsia="楷体" w:hAnsi="楷体" w:hint="eastAsia"/>
                      <w:sz w:val="22"/>
                      <w:szCs w:val="28"/>
                    </w:rPr>
                    <w:t>（控最低下浮率）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D91881" w14:textId="77777777" w:rsidR="00831DDC" w:rsidRDefault="00831DDC" w:rsidP="00C62BD0">
                  <w:pPr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权重系数</w:t>
                  </w:r>
                </w:p>
              </w:tc>
            </w:tr>
            <w:tr w:rsidR="00831DDC" w14:paraId="4A8FD589" w14:textId="77777777" w:rsidTr="00C62BD0">
              <w:trPr>
                <w:trHeight w:val="887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FD468" w14:textId="77777777" w:rsidR="00831DDC" w:rsidRDefault="00831DDC" w:rsidP="00C62BD0">
                  <w:pPr>
                    <w:rPr>
                      <w:rFonts w:ascii="宋体" w:eastAsia="宋体" w:hAnsi="宋体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C47843" w14:textId="77777777" w:rsidR="00831DDC" w:rsidRDefault="00831DDC" w:rsidP="00C62BD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土建及安装工程</w:t>
                  </w:r>
                </w:p>
              </w:tc>
              <w:tc>
                <w:tcPr>
                  <w:tcW w:w="7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46A46B" w14:textId="77777777" w:rsidR="00831DDC" w:rsidRDefault="00831DDC" w:rsidP="00C62BD0">
                  <w:pPr>
                    <w:jc w:val="center"/>
                    <w:rPr>
                      <w:rFonts w:ascii="宋体" w:eastAsia="宋体" w:hAnsi="宋体"/>
                      <w:color w:val="00000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原总包单位承包范围内剩余工程量及可能变更项目，参照原总包合同相关内容执行，整体下浮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1E5CEE" w14:textId="189B9E03" w:rsidR="00831DDC" w:rsidRDefault="00831DDC" w:rsidP="00C62BD0">
                  <w:pPr>
                    <w:jc w:val="center"/>
                    <w:rPr>
                      <w:rFonts w:ascii="宋体" w:eastAsia="宋体" w:hAnsi="宋体"/>
                      <w:color w:val="00000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原总包合同价基础下浮5%以上进行报价</w:t>
                  </w:r>
                  <w:r w:rsidR="00AB01CA">
                    <w:rPr>
                      <w:rFonts w:ascii="宋体" w:eastAsia="宋体" w:hAnsi="宋体" w:hint="eastAsia"/>
                      <w:color w:val="000000"/>
                    </w:rPr>
                    <w:t>（含本数）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E02246" w14:textId="77777777" w:rsidR="00831DDC" w:rsidRDefault="00831DDC" w:rsidP="00C62BD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60%</w:t>
                  </w:r>
                </w:p>
              </w:tc>
            </w:tr>
            <w:tr w:rsidR="00831DDC" w14:paraId="445DF5A6" w14:textId="77777777" w:rsidTr="00C62BD0">
              <w:trPr>
                <w:trHeight w:val="70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FB739" w14:textId="77777777" w:rsidR="00831DDC" w:rsidRDefault="00831DDC" w:rsidP="00C62BD0">
                  <w:pPr>
                    <w:rPr>
                      <w:rFonts w:ascii="宋体" w:eastAsia="宋体" w:hAnsi="宋体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24C001" w14:textId="77777777" w:rsidR="00831DDC" w:rsidRDefault="00831DDC" w:rsidP="00C62BD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专业工程</w:t>
                  </w:r>
                </w:p>
              </w:tc>
              <w:tc>
                <w:tcPr>
                  <w:tcW w:w="7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E6A5FB" w14:textId="77777777" w:rsidR="00831DDC" w:rsidRDefault="00831DDC" w:rsidP="00C62BD0">
                  <w:pPr>
                    <w:jc w:val="center"/>
                    <w:rPr>
                      <w:rFonts w:ascii="宋体" w:eastAsia="宋体" w:hAnsi="宋体"/>
                      <w:color w:val="00000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门窗，按原分包单位合同执行，整体下浮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7A49D4" w14:textId="1C582892" w:rsidR="00831DDC" w:rsidRDefault="00831DDC" w:rsidP="00C62BD0">
                  <w:pPr>
                    <w:jc w:val="center"/>
                    <w:rPr>
                      <w:rFonts w:ascii="宋体" w:eastAsia="宋体" w:hAnsi="宋体"/>
                      <w:color w:val="00000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原分包合同价基础下浮2%以上进行报价</w:t>
                  </w:r>
                  <w:r w:rsidR="00AB01CA">
                    <w:rPr>
                      <w:rFonts w:ascii="宋体" w:eastAsia="宋体" w:hAnsi="宋体" w:hint="eastAsia"/>
                      <w:color w:val="000000"/>
                    </w:rPr>
                    <w:t>（含本数）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6F13F8" w14:textId="77777777" w:rsidR="00831DDC" w:rsidRDefault="00831DDC" w:rsidP="00C62BD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10%</w:t>
                  </w:r>
                </w:p>
              </w:tc>
            </w:tr>
            <w:tr w:rsidR="00831DDC" w14:paraId="6AA37FAC" w14:textId="77777777" w:rsidTr="00C62BD0">
              <w:trPr>
                <w:trHeight w:val="1111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5B200" w14:textId="77777777" w:rsidR="00831DDC" w:rsidRDefault="00831DDC" w:rsidP="00C62BD0">
                  <w:pPr>
                    <w:rPr>
                      <w:rFonts w:ascii="宋体" w:eastAsia="宋体" w:hAnsi="宋体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A9BE4" w14:textId="77777777" w:rsidR="00831DDC" w:rsidRDefault="00831DDC" w:rsidP="00C62BD0">
                  <w:pPr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7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2B5744" w14:textId="77777777" w:rsidR="00831DDC" w:rsidRDefault="00831DDC" w:rsidP="00C62BD0">
                  <w:pPr>
                    <w:jc w:val="center"/>
                    <w:rPr>
                      <w:rFonts w:ascii="宋体" w:eastAsia="宋体" w:hAnsi="宋体"/>
                      <w:color w:val="00000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真石漆、环氧地坪等原总包合同不包含内容，执行2013清单、2014江苏省定额（材料价按徐州市2024年7月份主要建筑材料市场信息价，人工费按江苏省2024年3月份人工指导价），整体下浮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BF9296" w14:textId="7D193730" w:rsidR="00831DDC" w:rsidRDefault="00831DDC" w:rsidP="00C62BD0">
                  <w:pPr>
                    <w:jc w:val="center"/>
                    <w:rPr>
                      <w:rFonts w:ascii="宋体" w:eastAsia="宋体" w:hAnsi="宋体"/>
                      <w:color w:val="00000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按定额组价基础下浮20%以上进行报价</w:t>
                  </w:r>
                  <w:r w:rsidR="00AB01CA">
                    <w:rPr>
                      <w:rFonts w:ascii="宋体" w:eastAsia="宋体" w:hAnsi="宋体" w:hint="eastAsia"/>
                      <w:color w:val="000000"/>
                    </w:rPr>
                    <w:t>（含本数）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6757E3" w14:textId="77777777" w:rsidR="00831DDC" w:rsidRDefault="00831DDC" w:rsidP="00C62BD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5%</w:t>
                  </w:r>
                </w:p>
              </w:tc>
            </w:tr>
            <w:tr w:rsidR="00831DDC" w14:paraId="73C30DFD" w14:textId="77777777" w:rsidTr="00C62BD0">
              <w:trPr>
                <w:trHeight w:val="1139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5CC04" w14:textId="77777777" w:rsidR="00831DDC" w:rsidRDefault="00831DDC" w:rsidP="00C62BD0">
                  <w:pPr>
                    <w:rPr>
                      <w:rFonts w:ascii="宋体" w:eastAsia="宋体" w:hAnsi="宋体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089D2" w14:textId="77777777" w:rsidR="00831DDC" w:rsidRDefault="00831DDC" w:rsidP="00C62BD0">
                  <w:pPr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7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C42B5B" w14:textId="77777777" w:rsidR="00831DDC" w:rsidRDefault="00831DDC" w:rsidP="00C62BD0">
                  <w:pPr>
                    <w:jc w:val="center"/>
                    <w:rPr>
                      <w:rFonts w:ascii="宋体" w:eastAsia="宋体" w:hAnsi="宋体"/>
                      <w:color w:val="00000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公共部位装修、涂料，执行2013清单、2014江苏省定额（材料价按徐州市2024年7月份主要建筑材料市场信息价，人工费按江苏省2024年3月份人工指导价），整体下浮</w:t>
                  </w: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9C03BBE" w14:textId="77777777" w:rsidR="00831DDC" w:rsidRDefault="00831DDC" w:rsidP="00C62BD0">
                  <w:pPr>
                    <w:rPr>
                      <w:rFonts w:ascii="宋体" w:eastAsia="宋体" w:hAnsi="宋体"/>
                      <w:color w:val="000000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C0C143" w14:textId="77777777" w:rsidR="00831DDC" w:rsidRDefault="00831DDC" w:rsidP="00C62BD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5%</w:t>
                  </w:r>
                </w:p>
              </w:tc>
            </w:tr>
            <w:tr w:rsidR="00831DDC" w14:paraId="7E033D54" w14:textId="77777777" w:rsidTr="00C62BD0">
              <w:trPr>
                <w:trHeight w:val="126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C9D6C" w14:textId="77777777" w:rsidR="00831DDC" w:rsidRDefault="00831DDC" w:rsidP="00C62BD0">
                  <w:pPr>
                    <w:rPr>
                      <w:rFonts w:ascii="宋体" w:eastAsia="宋体" w:hAnsi="宋体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2FEB1D" w14:textId="77777777" w:rsidR="00831DDC" w:rsidRDefault="00831DDC" w:rsidP="00C62BD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室外配套工程</w:t>
                  </w:r>
                </w:p>
              </w:tc>
              <w:tc>
                <w:tcPr>
                  <w:tcW w:w="7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5B77D3" w14:textId="77777777" w:rsidR="00831DDC" w:rsidRDefault="00831DDC" w:rsidP="00C62BD0">
                  <w:pPr>
                    <w:jc w:val="center"/>
                    <w:rPr>
                      <w:rFonts w:ascii="宋体" w:eastAsia="宋体" w:hAnsi="宋体"/>
                      <w:color w:val="00000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景观绿化、亮化、道路、雨水、污水、围墙、大门、智能化、消防、暖通，执行2013清单、2014江苏省定额（材料价按徐州市2024年7月份主要建筑材料市场信息价，人工费按江苏省2024年3月份人工指导价），整体下浮</w:t>
                  </w: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710ADA7" w14:textId="77777777" w:rsidR="00831DDC" w:rsidRDefault="00831DDC" w:rsidP="00C62BD0">
                  <w:pPr>
                    <w:rPr>
                      <w:rFonts w:ascii="宋体" w:eastAsia="宋体" w:hAnsi="宋体"/>
                      <w:color w:val="000000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E28489" w14:textId="77777777" w:rsidR="00831DDC" w:rsidRDefault="00831DDC" w:rsidP="00C62BD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20%</w:t>
                  </w:r>
                </w:p>
              </w:tc>
            </w:tr>
            <w:tr w:rsidR="00831DDC" w14:paraId="40BFA12D" w14:textId="77777777" w:rsidTr="00C62BD0">
              <w:trPr>
                <w:trHeight w:val="90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4BD3E" w14:textId="77777777" w:rsidR="00831DDC" w:rsidRDefault="00831DDC" w:rsidP="00C62BD0">
                  <w:pPr>
                    <w:rPr>
                      <w:rFonts w:ascii="宋体" w:eastAsia="宋体" w:hAnsi="宋体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CEBF0" w14:textId="77777777" w:rsidR="00831DDC" w:rsidRDefault="00831DDC" w:rsidP="00C62BD0">
                  <w:pPr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7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2405B2" w14:textId="77777777" w:rsidR="00831DDC" w:rsidRDefault="00831DDC" w:rsidP="00C62BD0">
                  <w:pPr>
                    <w:jc w:val="center"/>
                    <w:rPr>
                      <w:rFonts w:ascii="宋体" w:eastAsia="宋体" w:hAnsi="宋体"/>
                      <w:color w:val="00000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供配电、自来水、供暖、燃气、栏杆扶手，电梯，标识标牌，人防特种门及各类防火门等都为专业工程暂估价，后续工程施工前执行认质认价相关程序，按实结算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FB3748" w14:textId="77777777" w:rsidR="00831DDC" w:rsidRDefault="00831DDC" w:rsidP="00C62BD0">
                  <w:pPr>
                    <w:jc w:val="center"/>
                    <w:rPr>
                      <w:rFonts w:ascii="宋体" w:eastAsia="宋体" w:hAnsi="宋体"/>
                      <w:color w:val="00000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没有供配电、自来水、燃气、暖气等的配合费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84B926" w14:textId="77777777" w:rsidR="00831DDC" w:rsidRDefault="00831DDC" w:rsidP="00C62BD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0%</w:t>
                  </w:r>
                </w:p>
              </w:tc>
            </w:tr>
            <w:tr w:rsidR="00831DDC" w14:paraId="33E02751" w14:textId="77777777" w:rsidTr="00C62BD0">
              <w:trPr>
                <w:trHeight w:val="268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701EF" w14:textId="77777777" w:rsidR="00831DDC" w:rsidRDefault="00831DDC" w:rsidP="00C62BD0">
                  <w:pPr>
                    <w:rPr>
                      <w:rFonts w:ascii="宋体" w:eastAsia="宋体" w:hAnsi="宋体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9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5654DD" w14:textId="77777777" w:rsidR="00B12225" w:rsidRDefault="00B12225" w:rsidP="00B12225">
                  <w:pPr>
                    <w:rPr>
                      <w:rFonts w:ascii="宋体" w:eastAsia="宋体" w:hAnsi="宋体"/>
                    </w:rPr>
                  </w:pPr>
                  <w:r w:rsidRPr="00DF71C5">
                    <w:rPr>
                      <w:rFonts w:ascii="宋体" w:eastAsia="宋体" w:hAnsi="宋体" w:hint="eastAsia"/>
                    </w:rPr>
                    <w:t>得分计算方式：</w:t>
                  </w:r>
                </w:p>
                <w:p w14:paraId="7E025B4D" w14:textId="77777777" w:rsidR="00B12225" w:rsidRDefault="00B12225" w:rsidP="00B12225">
                  <w:pPr>
                    <w:rPr>
                      <w:rFonts w:ascii="宋体" w:eastAsia="宋体" w:hAnsi="宋体"/>
                    </w:rPr>
                  </w:pPr>
                  <w:r w:rsidRPr="00DF71C5">
                    <w:rPr>
                      <w:rFonts w:ascii="宋体" w:eastAsia="宋体" w:hAnsi="宋体" w:hint="eastAsia"/>
                    </w:rPr>
                    <w:t>（1</w:t>
                  </w:r>
                  <w:r>
                    <w:rPr>
                      <w:rFonts w:ascii="宋体" w:eastAsia="宋体" w:hAnsi="宋体" w:hint="eastAsia"/>
                    </w:rPr>
                    <w:t>）评分价的确定：评分</w:t>
                  </w:r>
                  <w:r w:rsidRPr="00DF71C5">
                    <w:rPr>
                      <w:rFonts w:ascii="宋体" w:eastAsia="宋体" w:hAnsi="宋体" w:hint="eastAsia"/>
                    </w:rPr>
                    <w:t>价为根据单项下浮率</w:t>
                  </w:r>
                  <w:r>
                    <w:rPr>
                      <w:rFonts w:ascii="宋体" w:eastAsia="宋体" w:hAnsi="宋体" w:hint="eastAsia"/>
                    </w:rPr>
                    <w:t>乘以</w:t>
                  </w:r>
                  <w:r w:rsidRPr="00DF71C5">
                    <w:rPr>
                      <w:rFonts w:ascii="宋体" w:eastAsia="宋体" w:hAnsi="宋体" w:hint="eastAsia"/>
                    </w:rPr>
                    <w:t>权重系数</w:t>
                  </w:r>
                  <w:r>
                    <w:rPr>
                      <w:rFonts w:ascii="宋体" w:eastAsia="宋体" w:hAnsi="宋体" w:hint="eastAsia"/>
                    </w:rPr>
                    <w:t>后相加</w:t>
                  </w:r>
                  <w:r w:rsidRPr="00DF71C5">
                    <w:rPr>
                      <w:rFonts w:ascii="宋体" w:eastAsia="宋体" w:hAnsi="宋体" w:hint="eastAsia"/>
                    </w:rPr>
                    <w:t>计算的下浮率。</w:t>
                  </w:r>
                </w:p>
                <w:p w14:paraId="3B75A1F1" w14:textId="77777777" w:rsidR="00B12225" w:rsidRDefault="00B12225" w:rsidP="00B12225">
                  <w:pPr>
                    <w:rPr>
                      <w:rFonts w:ascii="宋体" w:eastAsia="宋体" w:hAnsi="宋体"/>
                    </w:rPr>
                  </w:pPr>
                  <w:r w:rsidRPr="00DF71C5">
                    <w:rPr>
                      <w:rFonts w:ascii="宋体" w:eastAsia="宋体" w:hAnsi="宋体" w:hint="eastAsia"/>
                    </w:rPr>
                    <w:t>（2</w:t>
                  </w:r>
                  <w:r>
                    <w:rPr>
                      <w:rFonts w:ascii="宋体" w:eastAsia="宋体" w:hAnsi="宋体" w:hint="eastAsia"/>
                    </w:rPr>
                    <w:t>）评分</w:t>
                  </w:r>
                  <w:r w:rsidRPr="00DF71C5">
                    <w:rPr>
                      <w:rFonts w:ascii="宋体" w:eastAsia="宋体" w:hAnsi="宋体" w:hint="eastAsia"/>
                    </w:rPr>
                    <w:t>价平均</w:t>
                  </w:r>
                  <w:r>
                    <w:rPr>
                      <w:rFonts w:ascii="宋体" w:eastAsia="宋体" w:hAnsi="宋体" w:hint="eastAsia"/>
                    </w:rPr>
                    <w:t>值的计算：有效报价去掉一名最高分和一名最低分后的算术平均值为评分</w:t>
                  </w:r>
                  <w:r w:rsidRPr="00DF71C5">
                    <w:rPr>
                      <w:rFonts w:ascii="宋体" w:eastAsia="宋体" w:hAnsi="宋体" w:hint="eastAsia"/>
                    </w:rPr>
                    <w:t>价平均值计算</w:t>
                  </w:r>
                  <w:r>
                    <w:rPr>
                      <w:rFonts w:ascii="宋体" w:eastAsia="宋体" w:hAnsi="宋体" w:hint="eastAsia"/>
                    </w:rPr>
                    <w:t>（参与评分价平均值计算的有效申请人少于5价时，则计算平均值时不扣最高分和最低分）</w:t>
                  </w:r>
                  <w:r w:rsidRPr="00DF71C5">
                    <w:rPr>
                      <w:rFonts w:ascii="宋体" w:eastAsia="宋体" w:hAnsi="宋体" w:hint="eastAsia"/>
                    </w:rPr>
                    <w:t xml:space="preserve"> 。</w:t>
                  </w:r>
                </w:p>
                <w:p w14:paraId="2AD275E4" w14:textId="77777777" w:rsidR="00B12225" w:rsidRDefault="00B12225" w:rsidP="00B12225">
                  <w:pPr>
                    <w:rPr>
                      <w:rFonts w:ascii="宋体" w:eastAsia="宋体" w:hAnsi="宋体"/>
                    </w:rPr>
                  </w:pPr>
                  <w:r w:rsidRPr="00DF71C5">
                    <w:rPr>
                      <w:rFonts w:ascii="宋体" w:eastAsia="宋体" w:hAnsi="宋体" w:hint="eastAsia"/>
                    </w:rPr>
                    <w:t>（3）评</w:t>
                  </w:r>
                  <w:r>
                    <w:rPr>
                      <w:rFonts w:ascii="宋体" w:eastAsia="宋体" w:hAnsi="宋体" w:hint="eastAsia"/>
                    </w:rPr>
                    <w:t>分</w:t>
                  </w:r>
                  <w:r w:rsidRPr="00DF71C5">
                    <w:rPr>
                      <w:rFonts w:ascii="宋体" w:eastAsia="宋体" w:hAnsi="宋体" w:hint="eastAsia"/>
                    </w:rPr>
                    <w:t>基准价的确定：评</w:t>
                  </w:r>
                  <w:r>
                    <w:rPr>
                      <w:rFonts w:ascii="宋体" w:eastAsia="宋体" w:hAnsi="宋体" w:hint="eastAsia"/>
                    </w:rPr>
                    <w:t>分</w:t>
                  </w:r>
                  <w:r w:rsidRPr="00DF71C5">
                    <w:rPr>
                      <w:rFonts w:ascii="宋体" w:eastAsia="宋体" w:hAnsi="宋体" w:hint="eastAsia"/>
                    </w:rPr>
                    <w:t>价平均值直接作为评</w:t>
                  </w:r>
                  <w:r>
                    <w:rPr>
                      <w:rFonts w:ascii="宋体" w:eastAsia="宋体" w:hAnsi="宋体" w:hint="eastAsia"/>
                    </w:rPr>
                    <w:t>分</w:t>
                  </w:r>
                  <w:r w:rsidRPr="00DF71C5">
                    <w:rPr>
                      <w:rFonts w:ascii="宋体" w:eastAsia="宋体" w:hAnsi="宋体" w:hint="eastAsia"/>
                    </w:rPr>
                    <w:t>基础价。</w:t>
                  </w:r>
                </w:p>
                <w:p w14:paraId="67016F69" w14:textId="77777777" w:rsidR="00B12225" w:rsidRDefault="00B12225" w:rsidP="00B12225">
                  <w:pPr>
                    <w:rPr>
                      <w:rFonts w:ascii="宋体" w:eastAsia="宋体" w:hAnsi="宋体"/>
                    </w:rPr>
                  </w:pPr>
                  <w:r w:rsidRPr="00DF71C5">
                    <w:rPr>
                      <w:rFonts w:ascii="宋体" w:eastAsia="宋体" w:hAnsi="宋体" w:hint="eastAsia"/>
                    </w:rPr>
                    <w:t>（4）偏差率=</w:t>
                  </w:r>
                  <w:r>
                    <w:rPr>
                      <w:rFonts w:ascii="宋体" w:eastAsia="宋体" w:hAnsi="宋体" w:hint="eastAsia"/>
                    </w:rPr>
                    <w:t>（申请</w:t>
                  </w:r>
                  <w:r w:rsidRPr="00DF71C5">
                    <w:rPr>
                      <w:rFonts w:ascii="宋体" w:eastAsia="宋体" w:hAnsi="宋体" w:hint="eastAsia"/>
                    </w:rPr>
                    <w:t>人评</w:t>
                  </w:r>
                  <w:r>
                    <w:rPr>
                      <w:rFonts w:ascii="宋体" w:eastAsia="宋体" w:hAnsi="宋体" w:hint="eastAsia"/>
                    </w:rPr>
                    <w:t>分</w:t>
                  </w:r>
                  <w:r w:rsidRPr="00DF71C5">
                    <w:rPr>
                      <w:rFonts w:ascii="宋体" w:eastAsia="宋体" w:hAnsi="宋体" w:hint="eastAsia"/>
                    </w:rPr>
                    <w:t>价-评</w:t>
                  </w:r>
                  <w:r>
                    <w:rPr>
                      <w:rFonts w:ascii="宋体" w:eastAsia="宋体" w:hAnsi="宋体" w:hint="eastAsia"/>
                    </w:rPr>
                    <w:t>分</w:t>
                  </w:r>
                  <w:r w:rsidRPr="00DF71C5">
                    <w:rPr>
                      <w:rFonts w:ascii="宋体" w:eastAsia="宋体" w:hAnsi="宋体" w:hint="eastAsia"/>
                    </w:rPr>
                    <w:t>基准价）/评</w:t>
                  </w:r>
                  <w:r>
                    <w:rPr>
                      <w:rFonts w:ascii="宋体" w:eastAsia="宋体" w:hAnsi="宋体" w:hint="eastAsia"/>
                    </w:rPr>
                    <w:t>分</w:t>
                  </w:r>
                  <w:r w:rsidRPr="00DF71C5">
                    <w:rPr>
                      <w:rFonts w:ascii="宋体" w:eastAsia="宋体" w:hAnsi="宋体" w:hint="eastAsia"/>
                    </w:rPr>
                    <w:t>基准价*100%。</w:t>
                  </w:r>
                </w:p>
                <w:p w14:paraId="3D1C0934" w14:textId="77777777" w:rsidR="00B12225" w:rsidRDefault="00B12225" w:rsidP="00B12225">
                  <w:pPr>
                    <w:rPr>
                      <w:rFonts w:ascii="宋体" w:eastAsia="宋体" w:hAnsi="宋体"/>
                    </w:rPr>
                  </w:pPr>
                  <w:r w:rsidRPr="00DF71C5">
                    <w:rPr>
                      <w:rFonts w:ascii="宋体" w:eastAsia="宋体" w:hAnsi="宋体" w:hint="eastAsia"/>
                    </w:rPr>
                    <w:t>（5</w:t>
                  </w:r>
                  <w:r>
                    <w:rPr>
                      <w:rFonts w:ascii="宋体" w:eastAsia="宋体" w:hAnsi="宋体" w:hint="eastAsia"/>
                    </w:rPr>
                    <w:t>）评分价得分：当申请</w:t>
                  </w:r>
                  <w:r w:rsidRPr="00DF71C5">
                    <w:rPr>
                      <w:rFonts w:ascii="宋体" w:eastAsia="宋体" w:hAnsi="宋体" w:hint="eastAsia"/>
                    </w:rPr>
                    <w:t>人的偏差率为0时，评</w:t>
                  </w:r>
                  <w:r>
                    <w:rPr>
                      <w:rFonts w:ascii="宋体" w:eastAsia="宋体" w:hAnsi="宋体" w:hint="eastAsia"/>
                    </w:rPr>
                    <w:t>分</w:t>
                  </w:r>
                  <w:r w:rsidRPr="00DF71C5">
                    <w:rPr>
                      <w:rFonts w:ascii="宋体" w:eastAsia="宋体" w:hAnsi="宋体" w:hint="eastAsia"/>
                    </w:rPr>
                    <w:t>价分值得满分;偏差率按下列规定按比例内插，最低分值为零分。评</w:t>
                  </w:r>
                  <w:r>
                    <w:rPr>
                      <w:rFonts w:ascii="宋体" w:eastAsia="宋体" w:hAnsi="宋体" w:hint="eastAsia"/>
                    </w:rPr>
                    <w:t>分</w:t>
                  </w:r>
                  <w:r w:rsidRPr="00DF71C5">
                    <w:rPr>
                      <w:rFonts w:ascii="宋体" w:eastAsia="宋体" w:hAnsi="宋体" w:hint="eastAsia"/>
                    </w:rPr>
                    <w:t>价分值精确至小数点后两位: (1)</w:t>
                  </w:r>
                  <w:r>
                    <w:rPr>
                      <w:rFonts w:ascii="宋体" w:eastAsia="宋体" w:hAnsi="宋体" w:hint="eastAsia"/>
                    </w:rPr>
                    <w:t>如果申请人的评分</w:t>
                  </w:r>
                  <w:r w:rsidRPr="00DF71C5">
                    <w:rPr>
                      <w:rFonts w:ascii="宋体" w:eastAsia="宋体" w:hAnsi="宋体" w:hint="eastAsia"/>
                    </w:rPr>
                    <w:t>价&gt;</w:t>
                  </w:r>
                  <w:r>
                    <w:rPr>
                      <w:rFonts w:ascii="宋体" w:eastAsia="宋体" w:hAnsi="宋体" w:hint="eastAsia"/>
                    </w:rPr>
                    <w:t>评分基准价，则评分</w:t>
                  </w:r>
                  <w:r w:rsidRPr="00DF71C5">
                    <w:rPr>
                      <w:rFonts w:ascii="宋体" w:eastAsia="宋体" w:hAnsi="宋体" w:hint="eastAsia"/>
                    </w:rPr>
                    <w:t>价得分=</w:t>
                  </w:r>
                  <w:r>
                    <w:rPr>
                      <w:rFonts w:ascii="宋体" w:eastAsia="宋体" w:hAnsi="宋体" w:hint="eastAsia"/>
                    </w:rPr>
                    <w:t>8</w:t>
                  </w:r>
                  <w:r w:rsidRPr="00DF71C5">
                    <w:rPr>
                      <w:rFonts w:ascii="宋体" w:eastAsia="宋体" w:hAnsi="宋体" w:hint="eastAsia"/>
                    </w:rPr>
                    <w:t>0-偏差率</w:t>
                  </w:r>
                  <w:r>
                    <w:rPr>
                      <w:rFonts w:ascii="宋体" w:eastAsia="宋体" w:hAnsi="宋体" w:hint="eastAsia"/>
                    </w:rPr>
                    <w:t>*</w:t>
                  </w:r>
                  <w:r w:rsidRPr="00DF71C5">
                    <w:rPr>
                      <w:rFonts w:ascii="宋体" w:eastAsia="宋体" w:hAnsi="宋体" w:hint="eastAsia"/>
                    </w:rPr>
                    <w:t>100</w:t>
                  </w:r>
                  <w:r>
                    <w:rPr>
                      <w:rFonts w:ascii="宋体" w:eastAsia="宋体" w:hAnsi="宋体" w:hint="eastAsia"/>
                    </w:rPr>
                    <w:t>*</w:t>
                  </w:r>
                  <w:r w:rsidRPr="00DF71C5">
                    <w:rPr>
                      <w:rFonts w:ascii="宋体" w:eastAsia="宋体" w:hAnsi="宋体" w:hint="eastAsia"/>
                    </w:rPr>
                    <w:t>E1;(2)</w:t>
                  </w:r>
                  <w:r>
                    <w:rPr>
                      <w:rFonts w:ascii="宋体" w:eastAsia="宋体" w:hAnsi="宋体" w:hint="eastAsia"/>
                    </w:rPr>
                    <w:t>如果申请人的评分价≤评分基准价，则评分</w:t>
                  </w:r>
                  <w:r w:rsidRPr="00DF71C5">
                    <w:rPr>
                      <w:rFonts w:ascii="宋体" w:eastAsia="宋体" w:hAnsi="宋体" w:hint="eastAsia"/>
                    </w:rPr>
                    <w:t>价得分=</w:t>
                  </w:r>
                  <w:r>
                    <w:rPr>
                      <w:rFonts w:ascii="宋体" w:eastAsia="宋体" w:hAnsi="宋体" w:hint="eastAsia"/>
                    </w:rPr>
                    <w:t>8</w:t>
                  </w:r>
                  <w:r w:rsidRPr="00DF71C5">
                    <w:rPr>
                      <w:rFonts w:ascii="宋体" w:eastAsia="宋体" w:hAnsi="宋体" w:hint="eastAsia"/>
                    </w:rPr>
                    <w:t>0+偏差率</w:t>
                  </w:r>
                  <w:r>
                    <w:rPr>
                      <w:rFonts w:ascii="宋体" w:eastAsia="宋体" w:hAnsi="宋体" w:hint="eastAsia"/>
                    </w:rPr>
                    <w:t>*</w:t>
                  </w:r>
                  <w:r w:rsidRPr="00DF71C5">
                    <w:rPr>
                      <w:rFonts w:ascii="宋体" w:eastAsia="宋体" w:hAnsi="宋体" w:hint="eastAsia"/>
                    </w:rPr>
                    <w:t>100</w:t>
                  </w:r>
                  <w:r>
                    <w:rPr>
                      <w:rFonts w:ascii="宋体" w:eastAsia="宋体" w:hAnsi="宋体" w:hint="eastAsia"/>
                    </w:rPr>
                    <w:t>*</w:t>
                  </w:r>
                  <w:r w:rsidRPr="00DF71C5">
                    <w:rPr>
                      <w:rFonts w:ascii="宋体" w:eastAsia="宋体" w:hAnsi="宋体" w:hint="eastAsia"/>
                    </w:rPr>
                    <w:t>E2。</w:t>
                  </w:r>
                  <w:r w:rsidRPr="00DF71C5">
                    <w:rPr>
                      <w:rFonts w:ascii="宋体" w:eastAsia="宋体" w:hAnsi="宋体" w:hint="eastAsia"/>
                    </w:rPr>
                    <w:br/>
                    <w:t>E1:</w:t>
                  </w:r>
                  <w:r>
                    <w:rPr>
                      <w:rFonts w:ascii="宋体" w:eastAsia="宋体" w:hAnsi="宋体" w:hint="eastAsia"/>
                    </w:rPr>
                    <w:t>是评分价每高于评分</w:t>
                  </w:r>
                  <w:r w:rsidRPr="00DF71C5">
                    <w:rPr>
                      <w:rFonts w:ascii="宋体" w:eastAsia="宋体" w:hAnsi="宋体" w:hint="eastAsia"/>
                    </w:rPr>
                    <w:t>基准价（下浮率高）一个百分点的扣分值，E1=0.</w:t>
                  </w:r>
                  <w:r>
                    <w:rPr>
                      <w:rFonts w:ascii="宋体" w:eastAsia="宋体" w:hAnsi="宋体" w:hint="eastAsia"/>
                    </w:rPr>
                    <w:t>4</w:t>
                  </w:r>
                  <w:r w:rsidRPr="00DF71C5">
                    <w:rPr>
                      <w:rFonts w:ascii="宋体" w:eastAsia="宋体" w:hAnsi="宋体" w:hint="eastAsia"/>
                    </w:rPr>
                    <w:t xml:space="preserve">; </w:t>
                  </w:r>
                </w:p>
                <w:p w14:paraId="7799E59B" w14:textId="77777777" w:rsidR="00B12225" w:rsidRDefault="00B12225" w:rsidP="00B12225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E2:是评分价每低于评分</w:t>
                  </w:r>
                  <w:r w:rsidRPr="00DF71C5">
                    <w:rPr>
                      <w:rFonts w:ascii="宋体" w:eastAsia="宋体" w:hAnsi="宋体" w:hint="eastAsia"/>
                    </w:rPr>
                    <w:t>基准价（下浮率低）一个百分点的扣分值，E2=0.</w:t>
                  </w:r>
                  <w:r>
                    <w:rPr>
                      <w:rFonts w:ascii="宋体" w:eastAsia="宋体" w:hAnsi="宋体" w:hint="eastAsia"/>
                    </w:rPr>
                    <w:t>6</w:t>
                  </w:r>
                  <w:r w:rsidRPr="00DF71C5">
                    <w:rPr>
                      <w:rFonts w:ascii="宋体" w:eastAsia="宋体" w:hAnsi="宋体" w:hint="eastAsia"/>
                    </w:rPr>
                    <w:t>。</w:t>
                  </w:r>
                </w:p>
                <w:p w14:paraId="660A63B7" w14:textId="77777777" w:rsidR="00B12225" w:rsidRDefault="00B12225" w:rsidP="00B12225">
                  <w:pPr>
                    <w:rPr>
                      <w:rFonts w:ascii="宋体" w:eastAsia="宋体" w:hAnsi="宋体"/>
                    </w:rPr>
                  </w:pPr>
                  <w:r w:rsidRPr="00DF71C5">
                    <w:rPr>
                      <w:rFonts w:ascii="宋体" w:eastAsia="宋体" w:hAnsi="宋体" w:hint="eastAsia"/>
                    </w:rPr>
                    <w:t>注:1</w:t>
                  </w:r>
                  <w:r>
                    <w:rPr>
                      <w:rFonts w:ascii="宋体" w:eastAsia="宋体" w:hAnsi="宋体" w:hint="eastAsia"/>
                    </w:rPr>
                    <w:t>、评分结束后，除确认存在计算错误外，评分基准价不因</w:t>
                  </w:r>
                  <w:r w:rsidRPr="00DF71C5">
                    <w:rPr>
                      <w:rFonts w:ascii="宋体" w:eastAsia="宋体" w:hAnsi="宋体" w:hint="eastAsia"/>
                    </w:rPr>
                    <w:t>当事人质疑、投诉、专家复议以及其它任何情形而改变。</w:t>
                  </w:r>
                </w:p>
                <w:p w14:paraId="550B76FA" w14:textId="37A05FCA" w:rsidR="00831DDC" w:rsidRDefault="00B12225" w:rsidP="00B12225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   </w:t>
                  </w:r>
                  <w:r w:rsidRPr="00DF71C5">
                    <w:rPr>
                      <w:rFonts w:ascii="宋体" w:eastAsia="宋体" w:hAnsi="宋体" w:hint="eastAsia"/>
                    </w:rPr>
                    <w:t>2、计算结果小数点后保留两位小数。</w:t>
                  </w:r>
                </w:p>
              </w:tc>
            </w:tr>
            <w:tr w:rsidR="00831DDC" w14:paraId="1C167908" w14:textId="77777777" w:rsidTr="00C62BD0">
              <w:trPr>
                <w:trHeight w:val="146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5127BE" w14:textId="77777777" w:rsidR="00831DDC" w:rsidRDefault="00831DDC" w:rsidP="00C62BD0">
                  <w:pPr>
                    <w:jc w:val="center"/>
                    <w:rPr>
                      <w:rFonts w:ascii="宋体" w:eastAsia="宋体" w:hAnsi="宋体"/>
                      <w:b/>
                      <w:bCs/>
                      <w:color w:val="000000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color w:val="000000"/>
                    </w:rPr>
                    <w:t>其他评分（20）</w:t>
                  </w:r>
                </w:p>
              </w:tc>
              <w:tc>
                <w:tcPr>
                  <w:tcW w:w="139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6E6B47" w14:textId="6F155A61" w:rsidR="00831DDC" w:rsidRDefault="00B12225" w:rsidP="00C62BD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共益债推荐 总分10分。施工总承包申请人联合共益债申请人报名的，按共益债得分排名确定本项得分，联合报名的共益债申请人排名第一，施工总承包申请人得10分；联合报名的共益债申请人排名第二，施工总承包申请人得5分；联合报名的共益债投资人排名第三，施工总承包申请人得3分。未与共益债投资人联合报名、联合报名的共益债投资人中选后最终未签订共益债借款协议的，施工总承包申请人不得分。</w:t>
                  </w:r>
                </w:p>
              </w:tc>
            </w:tr>
            <w:tr w:rsidR="00831DDC" w14:paraId="0B092B66" w14:textId="77777777" w:rsidTr="00C62BD0">
              <w:trPr>
                <w:trHeight w:val="156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DF3A9" w14:textId="77777777" w:rsidR="00831DDC" w:rsidRDefault="00831DDC" w:rsidP="00C62BD0">
                  <w:pPr>
                    <w:rPr>
                      <w:rFonts w:ascii="宋体" w:eastAsia="宋体" w:hAnsi="宋体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9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E9665F" w14:textId="3DD5E2F7" w:rsidR="00831DDC" w:rsidRDefault="00B12225" w:rsidP="00C62BD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承诺函 总分10分。施工总承包申请人提供承诺函，承诺在合理工期内完成项目剩余工程续建，办结竣工验收所需手续，达到随时可交房可办证状态。中途不得因资金问题停工，如出现资金不足情况，愿意垫资建设至完工。否则缴纳的2000万元履约保证金不予退还。提供承诺函得10分，未提供不得分。</w:t>
                  </w:r>
                  <w:bookmarkStart w:id="0" w:name="_GoBack"/>
                  <w:bookmarkEnd w:id="0"/>
                </w:p>
              </w:tc>
            </w:tr>
          </w:tbl>
          <w:p w14:paraId="79D29648" w14:textId="77777777" w:rsidR="00831DDC" w:rsidRDefault="00831DDC" w:rsidP="00C62BD0">
            <w:pPr>
              <w:rPr>
                <w:rFonts w:ascii="新宋体" w:eastAsia="新宋体" w:hAnsi="新宋体" w:cs="宋体"/>
                <w:color w:val="000000"/>
                <w:sz w:val="44"/>
                <w:szCs w:val="44"/>
              </w:rPr>
            </w:pPr>
          </w:p>
        </w:tc>
      </w:tr>
    </w:tbl>
    <w:p w14:paraId="043B1E50" w14:textId="77777777" w:rsidR="00831DDC" w:rsidRDefault="00831DDC" w:rsidP="00831DDC">
      <w:pPr>
        <w:spacing w:line="360" w:lineRule="auto"/>
        <w:rPr>
          <w:rFonts w:ascii="宋体" w:eastAsia="宋体" w:hAnsi="宋体"/>
          <w:sz w:val="28"/>
          <w:szCs w:val="32"/>
        </w:rPr>
      </w:pPr>
    </w:p>
    <w:p w14:paraId="6B06970F" w14:textId="77777777" w:rsidR="00627E11" w:rsidRPr="00831DDC" w:rsidRDefault="00627E11"/>
    <w:sectPr w:rsidR="00627E11" w:rsidRPr="00831DDC" w:rsidSect="00831DDC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新宋体">
    <w:altName w:val="宋体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DC"/>
    <w:rsid w:val="003D0844"/>
    <w:rsid w:val="00627E11"/>
    <w:rsid w:val="00831DDC"/>
    <w:rsid w:val="00933339"/>
    <w:rsid w:val="00986547"/>
    <w:rsid w:val="00AB01CA"/>
    <w:rsid w:val="00B12225"/>
    <w:rsid w:val="00EB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28B37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31DDC"/>
    <w:rPr>
      <w:rFonts w:ascii="Times New Roman" w:hAnsi="Times New Roman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1241</Characters>
  <Application>Microsoft Macintosh Word</Application>
  <DocSecurity>0</DocSecurity>
  <Lines>10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yulin_1987510@163.com</dc:creator>
  <cp:keywords/>
  <dc:description/>
  <cp:lastModifiedBy>yulin_1987510@163.com</cp:lastModifiedBy>
  <cp:revision>4</cp:revision>
  <dcterms:created xsi:type="dcterms:W3CDTF">2024-08-20T07:33:00Z</dcterms:created>
  <dcterms:modified xsi:type="dcterms:W3CDTF">2024-08-20T14:11:00Z</dcterms:modified>
</cp:coreProperties>
</file>