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7EC63">
      <w:pPr>
        <w:pStyle w:val="12"/>
        <w:spacing w:after="300" w:line="560" w:lineRule="exact"/>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山东省五莲县</w:t>
      </w:r>
      <w:r>
        <w:rPr>
          <w:rFonts w:hint="eastAsia" w:ascii="方正小标宋_GBK" w:hAnsi="方正小标宋_GBK" w:eastAsia="方正小标宋_GBK" w:cs="方正小标宋_GBK"/>
          <w:sz w:val="44"/>
          <w:szCs w:val="44"/>
        </w:rPr>
        <w:t>人民法院</w:t>
      </w:r>
    </w:p>
    <w:p w14:paraId="085BFB30">
      <w:pPr>
        <w:pStyle w:val="12"/>
        <w:spacing w:after="140" w:line="560" w:lineRule="exact"/>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公</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rPr>
        <w:t>告</w:t>
      </w:r>
    </w:p>
    <w:p w14:paraId="280068FC">
      <w:pPr>
        <w:pStyle w:val="14"/>
        <w:spacing w:after="120" w:line="560" w:lineRule="exact"/>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eastAsia="zh-CN"/>
        </w:rPr>
        <w:t>2024</w:t>
      </w:r>
      <w:r>
        <w:rPr>
          <w:rFonts w:hint="eastAsia" w:ascii="仿宋_GB2312" w:hAnsi="仿宋_GB2312" w:eastAsia="仿宋_GB2312" w:cs="仿宋_GB2312"/>
        </w:rPr>
        <w:t>)</w:t>
      </w:r>
      <w:r>
        <w:rPr>
          <w:rFonts w:hint="eastAsia" w:ascii="仿宋_GB2312" w:hAnsi="仿宋_GB2312" w:eastAsia="仿宋_GB2312" w:cs="仿宋_GB2312"/>
          <w:lang w:eastAsia="zh-CN"/>
        </w:rPr>
        <w:t>鲁1121</w:t>
      </w:r>
      <w:r>
        <w:rPr>
          <w:rFonts w:hint="eastAsia" w:ascii="仿宋_GB2312" w:hAnsi="仿宋_GB2312" w:eastAsia="仿宋_GB2312" w:cs="仿宋_GB2312"/>
        </w:rPr>
        <w:t>破</w:t>
      </w:r>
      <w:r>
        <w:rPr>
          <w:rFonts w:hint="eastAsia" w:ascii="仿宋_GB2312" w:hAnsi="仿宋_GB2312" w:eastAsia="仿宋_GB2312" w:cs="仿宋_GB2312"/>
          <w:lang w:val="en-US" w:eastAsia="zh-CN"/>
        </w:rPr>
        <w:t>2</w:t>
      </w:r>
      <w:r>
        <w:rPr>
          <w:rFonts w:hint="eastAsia" w:ascii="仿宋_GB2312" w:hAnsi="仿宋_GB2312" w:eastAsia="仿宋_GB2312" w:cs="仿宋_GB2312"/>
        </w:rPr>
        <w:t>号之一</w:t>
      </w:r>
    </w:p>
    <w:p w14:paraId="76553FB5">
      <w:pPr>
        <w:pStyle w:val="16"/>
        <w:spacing w:line="480" w:lineRule="exact"/>
        <w:ind w:firstLine="600"/>
        <w:jc w:val="both"/>
        <w:rPr>
          <w:rFonts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山东省五莲县人民法院于</w:t>
      </w:r>
      <w:r>
        <w:rPr>
          <w:rFonts w:ascii="仿宋_GB2312" w:hAnsi="仿宋_GB2312" w:eastAsia="仿宋_GB2312" w:cs="仿宋_GB2312"/>
          <w:color w:val="auto"/>
          <w:lang w:val="en-US" w:eastAsia="zh-CN"/>
        </w:rPr>
        <w:t>2024</w:t>
      </w:r>
      <w:r>
        <w:rPr>
          <w:rFonts w:hint="eastAsia" w:ascii="仿宋_GB2312" w:hAnsi="仿宋_GB2312" w:eastAsia="仿宋_GB2312" w:cs="仿宋_GB2312"/>
          <w:color w:val="auto"/>
          <w:lang w:val="en-US" w:eastAsia="zh-CN"/>
        </w:rPr>
        <w:t>年</w:t>
      </w:r>
      <w:r>
        <w:rPr>
          <w:rFonts w:ascii="仿宋_GB2312" w:hAnsi="仿宋_GB2312" w:eastAsia="仿宋_GB2312" w:cs="仿宋_GB2312"/>
          <w:color w:val="auto"/>
          <w:lang w:val="en-US" w:eastAsia="zh-CN"/>
        </w:rPr>
        <w:t>8</w:t>
      </w:r>
      <w:r>
        <w:rPr>
          <w:rFonts w:hint="eastAsia" w:ascii="仿宋_GB2312" w:hAnsi="仿宋_GB2312" w:eastAsia="仿宋_GB2312" w:cs="仿宋_GB2312"/>
          <w:color w:val="auto"/>
          <w:lang w:val="en-US" w:eastAsia="zh-CN"/>
        </w:rPr>
        <w:t>月</w:t>
      </w:r>
      <w:r>
        <w:rPr>
          <w:rFonts w:ascii="仿宋_GB2312" w:hAnsi="仿宋_GB2312" w:eastAsia="仿宋_GB2312" w:cs="仿宋_GB2312"/>
          <w:color w:val="auto"/>
          <w:lang w:val="en-US" w:eastAsia="zh-CN"/>
        </w:rPr>
        <w:t>27</w:t>
      </w:r>
      <w:r>
        <w:rPr>
          <w:rFonts w:hint="eastAsia" w:ascii="仿宋_GB2312" w:hAnsi="仿宋_GB2312" w:eastAsia="仿宋_GB2312" w:cs="仿宋_GB2312"/>
          <w:color w:val="auto"/>
          <w:lang w:val="en-US" w:eastAsia="zh-CN"/>
        </w:rPr>
        <w:t>日作出（</w:t>
      </w:r>
      <w:r>
        <w:rPr>
          <w:rFonts w:ascii="仿宋_GB2312" w:hAnsi="仿宋_GB2312" w:eastAsia="仿宋_GB2312" w:cs="仿宋_GB2312"/>
          <w:color w:val="auto"/>
          <w:lang w:val="en-US" w:eastAsia="zh-CN"/>
        </w:rPr>
        <w:t>2024</w:t>
      </w:r>
      <w:r>
        <w:rPr>
          <w:rFonts w:hint="eastAsia" w:ascii="仿宋_GB2312" w:hAnsi="仿宋_GB2312" w:eastAsia="仿宋_GB2312" w:cs="仿宋_GB2312"/>
          <w:color w:val="auto"/>
          <w:lang w:val="en-US" w:eastAsia="zh-CN"/>
        </w:rPr>
        <w:t>）鲁</w:t>
      </w:r>
      <w:r>
        <w:rPr>
          <w:rFonts w:ascii="仿宋_GB2312" w:hAnsi="仿宋_GB2312" w:eastAsia="仿宋_GB2312" w:cs="仿宋_GB2312"/>
          <w:color w:val="auto"/>
          <w:lang w:val="en-US" w:eastAsia="zh-CN"/>
        </w:rPr>
        <w:t>1121</w:t>
      </w:r>
      <w:r>
        <w:rPr>
          <w:rFonts w:hint="eastAsia" w:ascii="仿宋_GB2312" w:hAnsi="仿宋_GB2312" w:eastAsia="仿宋_GB2312" w:cs="仿宋_GB2312"/>
          <w:color w:val="auto"/>
          <w:lang w:val="en-US" w:eastAsia="zh-CN"/>
        </w:rPr>
        <w:t>破</w:t>
      </w:r>
      <w:r>
        <w:rPr>
          <w:rFonts w:ascii="仿宋_GB2312" w:hAnsi="仿宋_GB2312" w:eastAsia="仿宋_GB2312" w:cs="仿宋_GB2312"/>
          <w:color w:val="auto"/>
          <w:lang w:val="en-US" w:eastAsia="zh-CN"/>
        </w:rPr>
        <w:t xml:space="preserve"> 2</w:t>
      </w:r>
      <w:r>
        <w:rPr>
          <w:rFonts w:hint="eastAsia" w:ascii="仿宋_GB2312" w:hAnsi="仿宋_GB2312" w:eastAsia="仿宋_GB2312" w:cs="仿宋_GB2312"/>
          <w:color w:val="auto"/>
          <w:lang w:val="en-US" w:eastAsia="zh-CN"/>
        </w:rPr>
        <w:t>号之一民事裁定书，裁定受理山东海吉尔科技集团有限公司等十八家公司实质合并重整，并于同日作出（</w:t>
      </w:r>
      <w:r>
        <w:rPr>
          <w:rFonts w:ascii="仿宋_GB2312" w:hAnsi="仿宋_GB2312" w:eastAsia="仿宋_GB2312" w:cs="仿宋_GB2312"/>
          <w:color w:val="auto"/>
          <w:lang w:val="en-US" w:eastAsia="zh-CN"/>
        </w:rPr>
        <w:t>2024</w:t>
      </w:r>
      <w:r>
        <w:rPr>
          <w:rFonts w:hint="eastAsia" w:ascii="仿宋_GB2312" w:hAnsi="仿宋_GB2312" w:eastAsia="仿宋_GB2312" w:cs="仿宋_GB2312"/>
          <w:color w:val="auto"/>
          <w:lang w:val="en-US" w:eastAsia="zh-CN"/>
        </w:rPr>
        <w:t>）鲁</w:t>
      </w:r>
      <w:r>
        <w:rPr>
          <w:rFonts w:ascii="仿宋_GB2312" w:hAnsi="仿宋_GB2312" w:eastAsia="仿宋_GB2312" w:cs="仿宋_GB2312"/>
          <w:color w:val="auto"/>
          <w:lang w:val="en-US" w:eastAsia="zh-CN"/>
        </w:rPr>
        <w:t>1121</w:t>
      </w:r>
      <w:r>
        <w:rPr>
          <w:rFonts w:hint="eastAsia" w:ascii="仿宋_GB2312" w:hAnsi="仿宋_GB2312" w:eastAsia="仿宋_GB2312" w:cs="仿宋_GB2312"/>
          <w:color w:val="auto"/>
          <w:lang w:val="en-US" w:eastAsia="zh-CN"/>
        </w:rPr>
        <w:t>破</w:t>
      </w:r>
      <w:r>
        <w:rPr>
          <w:rFonts w:ascii="仿宋_GB2312" w:hAnsi="仿宋_GB2312" w:eastAsia="仿宋_GB2312" w:cs="仿宋_GB2312"/>
          <w:color w:val="auto"/>
          <w:lang w:val="en-US" w:eastAsia="zh-CN"/>
        </w:rPr>
        <w:t>2</w:t>
      </w:r>
      <w:r>
        <w:rPr>
          <w:rFonts w:hint="eastAsia" w:ascii="仿宋_GB2312" w:hAnsi="仿宋_GB2312" w:eastAsia="仿宋_GB2312" w:cs="仿宋_GB2312"/>
          <w:color w:val="auto"/>
          <w:lang w:val="en-US" w:eastAsia="zh-CN"/>
        </w:rPr>
        <w:t>号之一决定书，指定山东文康律师事务所担任山东海吉尔科技集团有限公司等十八家公司管理人。</w:t>
      </w:r>
    </w:p>
    <w:p w14:paraId="456FE4FF">
      <w:pPr>
        <w:pStyle w:val="16"/>
        <w:spacing w:line="480" w:lineRule="exact"/>
        <w:ind w:firstLine="600"/>
        <w:jc w:val="both"/>
        <w:rPr>
          <w:rFonts w:ascii="仿宋_GB2312" w:hAnsi="仿宋_GB2312" w:eastAsia="仿宋_GB2312" w:cs="仿宋_GB2312"/>
          <w:lang w:eastAsia="zh-CN"/>
        </w:rPr>
      </w:pPr>
      <w:r>
        <w:rPr>
          <w:rFonts w:hint="eastAsia" w:ascii="仿宋_GB2312" w:hAnsi="仿宋_GB2312" w:eastAsia="仿宋_GB2312" w:cs="仿宋_GB2312"/>
          <w:color w:val="auto"/>
          <w:lang w:val="en-US"/>
        </w:rPr>
        <w:t>山东海吉尔科技集团有限公司、日照海吉尔电器有限公司、山东蓝鳌电器科技有限公司、日照市环鑫电器有限公司、山东海越冷链科技有限责任公司、山东虎鲸国际贸易有限公司、山东旭嘉电器科技有限公司、日照市旭吉国际贸易有限公司、日照金冠丰电器科技有限公司、海吉尔（大连）电器有限公司、日照海吉尔物流有限公司、日照科焱国际贸易有限公司、日照润翔医疗防护用品科技有限公司、智能云科海吉尔（日照）工业科技有限公司、山东宸马实业有限公司、日照硬创家电服务有限公司、日照汇勇管业有限公司、瑞旭金属制品加工（山东）有限公司等十八家公司的</w:t>
      </w:r>
      <w:r>
        <w:rPr>
          <w:rFonts w:hint="eastAsia" w:ascii="仿宋_GB2312" w:hAnsi="仿宋_GB2312" w:eastAsia="仿宋_GB2312" w:cs="仿宋_GB2312"/>
        </w:rPr>
        <w:t>债权人应于本公告发布之日起</w:t>
      </w:r>
      <w:r>
        <w:rPr>
          <w:rFonts w:hint="eastAsia" w:ascii="仿宋_GB2312" w:hAnsi="仿宋_GB2312" w:eastAsia="仿宋_GB2312" w:cs="仿宋_GB2312"/>
          <w:color w:val="auto"/>
        </w:rPr>
        <w:t>至</w:t>
      </w:r>
      <w:r>
        <w:rPr>
          <w:rFonts w:hint="eastAsia" w:ascii="仿宋_GB2312" w:hAnsi="仿宋_GB2312" w:eastAsia="仿宋_GB2312" w:cs="仿宋_GB2312"/>
          <w:b/>
          <w:color w:val="auto"/>
          <w:lang w:val="en-US"/>
        </w:rPr>
        <w:t>2024年</w:t>
      </w:r>
      <w:r>
        <w:rPr>
          <w:rFonts w:hint="eastAsia" w:ascii="仿宋_GB2312" w:hAnsi="仿宋_GB2312" w:eastAsia="仿宋_GB2312" w:cs="仿宋_GB2312"/>
          <w:b/>
          <w:color w:val="auto"/>
          <w:lang w:val="en-US" w:eastAsia="zh-CN"/>
        </w:rPr>
        <w:t>10</w:t>
      </w:r>
      <w:r>
        <w:rPr>
          <w:rFonts w:hint="eastAsia" w:ascii="仿宋_GB2312" w:hAnsi="仿宋_GB2312" w:eastAsia="仿宋_GB2312" w:cs="仿宋_GB2312"/>
          <w:b/>
          <w:color w:val="auto"/>
          <w:lang w:val="en-US"/>
        </w:rPr>
        <w:t>月</w:t>
      </w:r>
      <w:r>
        <w:rPr>
          <w:rFonts w:hint="eastAsia" w:ascii="仿宋_GB2312" w:hAnsi="仿宋_GB2312" w:eastAsia="仿宋_GB2312" w:cs="仿宋_GB2312"/>
          <w:b/>
          <w:color w:val="auto"/>
          <w:lang w:val="en-US" w:eastAsia="zh-CN"/>
        </w:rPr>
        <w:t>10日</w:t>
      </w:r>
      <w:r>
        <w:rPr>
          <w:rFonts w:hint="eastAsia" w:ascii="仿宋_GB2312" w:hAnsi="仿宋_GB2312" w:eastAsia="仿宋_GB2312" w:cs="仿宋_GB2312"/>
          <w:b/>
          <w:color w:val="auto"/>
        </w:rPr>
        <w:t>前</w:t>
      </w:r>
      <w:r>
        <w:rPr>
          <w:rFonts w:hint="eastAsia" w:ascii="仿宋_GB2312" w:hAnsi="仿宋_GB2312" w:eastAsia="仿宋_GB2312" w:cs="仿宋_GB2312"/>
          <w:color w:val="auto"/>
        </w:rPr>
        <w:t>，向管理人</w:t>
      </w:r>
      <w:r>
        <w:rPr>
          <w:rFonts w:hint="eastAsia" w:ascii="仿宋_GB2312" w:hAnsi="仿宋_GB2312" w:eastAsia="仿宋_GB2312" w:cs="仿宋_GB2312"/>
          <w:color w:val="auto"/>
          <w:lang w:val="en-US"/>
        </w:rPr>
        <w:t>通过线上或线下两种方式</w:t>
      </w:r>
      <w:r>
        <w:rPr>
          <w:rFonts w:hint="eastAsia" w:ascii="仿宋_GB2312" w:hAnsi="仿宋_GB2312" w:eastAsia="仿宋_GB2312" w:cs="仿宋_GB2312"/>
        </w:rPr>
        <w:t>申报债权</w:t>
      </w:r>
      <w:r>
        <w:rPr>
          <w:rFonts w:hint="eastAsia" w:ascii="仿宋_GB2312" w:hAnsi="仿宋_GB2312" w:eastAsia="仿宋_GB2312" w:cs="仿宋_GB2312"/>
          <w:lang w:eastAsia="zh-CN"/>
        </w:rPr>
        <w:t>。</w:t>
      </w:r>
    </w:p>
    <w:p w14:paraId="336BEB1B">
      <w:pPr>
        <w:pStyle w:val="16"/>
        <w:numPr>
          <w:ilvl w:val="0"/>
          <w:numId w:val="1"/>
        </w:numPr>
        <w:spacing w:line="480" w:lineRule="exact"/>
        <w:ind w:firstLine="580"/>
        <w:jc w:val="both"/>
        <w:rPr>
          <w:rFonts w:ascii="仿宋_GB2312" w:hAnsi="仿宋_GB2312" w:eastAsia="仿宋_GB2312" w:cs="仿宋_GB2312"/>
          <w:lang w:eastAsia="zh-CN"/>
        </w:rPr>
      </w:pPr>
      <w:r>
        <w:rPr>
          <w:rFonts w:hint="eastAsia" w:ascii="仿宋_GB2312" w:hAnsi="仿宋_GB2312" w:eastAsia="仿宋_GB2312" w:cs="仿宋_GB2312"/>
          <w:lang w:val="en-US" w:eastAsia="zh-CN"/>
        </w:rPr>
        <w:t>线上申报</w:t>
      </w:r>
    </w:p>
    <w:p w14:paraId="48DE759F">
      <w:pPr>
        <w:pStyle w:val="16"/>
        <w:spacing w:line="480" w:lineRule="exact"/>
        <w:ind w:firstLine="580"/>
        <w:jc w:val="both"/>
        <w:rPr>
          <w:rFonts w:ascii="仿宋_GB2312" w:hAnsi="仿宋_GB2312" w:eastAsia="仿宋_GB2312" w:cs="仿宋_GB2312"/>
          <w:lang w:eastAsia="zh-CN"/>
        </w:rPr>
      </w:pPr>
      <w:r>
        <w:rPr>
          <w:rFonts w:hint="eastAsia" w:ascii="仿宋_GB2312" w:hAnsi="仿宋_GB2312" w:eastAsia="仿宋_GB2312" w:cs="仿宋_GB2312"/>
          <w:lang w:val="en-US" w:eastAsia="zh-CN"/>
        </w:rPr>
        <w:t>方式一：</w:t>
      </w:r>
      <w:r>
        <w:rPr>
          <w:rFonts w:hint="eastAsia" w:ascii="仿宋_GB2312" w:hAnsi="仿宋_GB2312" w:eastAsia="仿宋_GB2312" w:cs="仿宋_GB2312"/>
          <w:lang w:eastAsia="zh-CN"/>
        </w:rPr>
        <w:t>电脑浏览器访问破易云破产办案工作平台（https://www.poyiyun.com/） ，点击右上角“登录”,输入手机号、获取短信验证码、案件识别码申报债权，本案件识别码</w:t>
      </w:r>
      <w:r>
        <w:rPr>
          <w:rFonts w:hint="eastAsia" w:ascii="仿宋_GB2312" w:hAnsi="仿宋_GB2312" w:eastAsia="仿宋_GB2312" w:cs="仿宋_GB2312"/>
          <w:lang w:val="en-US" w:eastAsia="zh-CN"/>
        </w:rPr>
        <w:t>114341</w:t>
      </w:r>
      <w:r>
        <w:rPr>
          <w:rFonts w:hint="eastAsia" w:ascii="仿宋_GB2312" w:hAnsi="仿宋_GB2312" w:eastAsia="仿宋_GB2312" w:cs="仿宋_GB2312"/>
          <w:lang w:eastAsia="zh-CN"/>
        </w:rPr>
        <w:t>；</w:t>
      </w:r>
    </w:p>
    <w:p w14:paraId="3A925CA6">
      <w:pPr>
        <w:pStyle w:val="16"/>
        <w:spacing w:line="480" w:lineRule="exact"/>
        <w:ind w:firstLine="580"/>
        <w:jc w:val="both"/>
        <w:rPr>
          <w:rFonts w:ascii="仿宋_GB2312" w:hAnsi="仿宋_GB2312" w:eastAsia="仿宋_GB2312" w:cs="仿宋_GB2312"/>
          <w:lang w:eastAsia="zh-CN"/>
        </w:rPr>
      </w:pPr>
      <w:r>
        <w:rPr>
          <w:rFonts w:hint="eastAsia" w:ascii="仿宋_GB2312" w:hAnsi="仿宋_GB2312" w:eastAsia="仿宋_GB2312" w:cs="仿宋_GB2312"/>
          <w:lang w:val="en-US" w:eastAsia="zh-CN"/>
        </w:rPr>
        <w:t>方式二：</w:t>
      </w:r>
      <w:r>
        <w:rPr>
          <w:rFonts w:hint="eastAsia" w:ascii="仿宋_GB2312" w:hAnsi="仿宋_GB2312" w:eastAsia="仿宋_GB2312" w:cs="仿宋_GB2312"/>
          <w:lang w:eastAsia="zh-CN"/>
        </w:rPr>
        <w:t>手机微信扫描本公告后附的自主申报二维码，债权人根据提示完成登录、债权申报，本案件识别码</w:t>
      </w:r>
      <w:r>
        <w:rPr>
          <w:rFonts w:hint="eastAsia" w:ascii="仿宋_GB2312" w:hAnsi="仿宋_GB2312" w:eastAsia="仿宋_GB2312" w:cs="仿宋_GB2312"/>
          <w:lang w:val="en-US" w:eastAsia="zh-CN"/>
        </w:rPr>
        <w:t>114341</w:t>
      </w:r>
      <w:r>
        <w:rPr>
          <w:rFonts w:hint="eastAsia" w:ascii="仿宋_GB2312" w:hAnsi="仿宋_GB2312" w:eastAsia="仿宋_GB2312" w:cs="仿宋_GB2312"/>
          <w:lang w:eastAsia="zh-CN"/>
        </w:rPr>
        <w:t>。</w:t>
      </w:r>
    </w:p>
    <w:p w14:paraId="270217A2">
      <w:pPr>
        <w:pStyle w:val="16"/>
        <w:spacing w:line="480" w:lineRule="exact"/>
        <w:ind w:firstLine="580"/>
        <w:jc w:val="both"/>
        <w:rPr>
          <w:rFonts w:ascii="仿宋_GB2312" w:hAnsi="仿宋_GB2312" w:eastAsia="仿宋_GB2312" w:cs="仿宋_GB2312"/>
          <w:lang w:val="en-US" w:eastAsia="zh-CN"/>
        </w:rPr>
      </w:pPr>
      <w:r>
        <w:rPr>
          <w:rFonts w:hint="eastAsia" w:ascii="仿宋_GB2312" w:hAnsi="仿宋_GB2312" w:eastAsia="仿宋_GB2312" w:cs="仿宋_GB2312"/>
          <w:lang w:eastAsia="zh-CN"/>
        </w:rPr>
        <w:t>债权人线上申报债权后，</w:t>
      </w:r>
      <w:r>
        <w:rPr>
          <w:rFonts w:hint="eastAsia" w:ascii="仿宋_GB2312" w:hAnsi="仿宋_GB2312" w:eastAsia="仿宋_GB2312" w:cs="仿宋_GB2312"/>
          <w:lang w:val="en-US" w:eastAsia="zh-CN"/>
        </w:rPr>
        <w:t>需</w:t>
      </w:r>
      <w:r>
        <w:rPr>
          <w:rFonts w:hint="eastAsia" w:ascii="仿宋_GB2312" w:hAnsi="仿宋_GB2312" w:eastAsia="仿宋_GB2312" w:cs="仿宋_GB2312"/>
          <w:lang w:eastAsia="zh-CN"/>
        </w:rPr>
        <w:t>将纸质版书面债权申报材料邮寄</w:t>
      </w:r>
      <w:r>
        <w:rPr>
          <w:rFonts w:hint="eastAsia" w:ascii="仿宋_GB2312" w:hAnsi="仿宋_GB2312" w:eastAsia="仿宋_GB2312" w:cs="仿宋_GB2312"/>
          <w:lang w:val="en-US" w:eastAsia="zh-CN"/>
        </w:rPr>
        <w:t>至</w:t>
      </w:r>
      <w:r>
        <w:rPr>
          <w:rFonts w:hint="eastAsia" w:ascii="仿宋_GB2312" w:hAnsi="仿宋_GB2312" w:eastAsia="仿宋_GB2312" w:cs="仿宋_GB2312"/>
          <w:lang w:eastAsia="zh-CN"/>
        </w:rPr>
        <w:t>管理人（邮寄费用由债权申报人自担，管理人不接受到付快件，邮寄用EMS中国邮政速递物流）。</w:t>
      </w:r>
      <w:r>
        <w:rPr>
          <w:rFonts w:hint="eastAsia" w:ascii="仿宋_GB2312" w:hAnsi="仿宋_GB2312" w:eastAsia="仿宋_GB2312" w:cs="仿宋_GB2312"/>
          <w:lang w:val="en-US" w:eastAsia="zh-CN"/>
        </w:rPr>
        <w:t>邮寄</w:t>
      </w:r>
      <w:r>
        <w:rPr>
          <w:rFonts w:hint="eastAsia" w:ascii="仿宋_GB2312" w:hAnsi="仿宋_GB2312" w:eastAsia="仿宋_GB2312" w:cs="仿宋_GB2312"/>
          <w:lang w:eastAsia="zh-CN"/>
        </w:rPr>
        <w:t>地址：山东省日照市东港区北京路201号联通大厦</w:t>
      </w:r>
      <w:r>
        <w:rPr>
          <w:rFonts w:hint="eastAsia" w:ascii="仿宋_GB2312" w:hAnsi="仿宋_GB2312" w:eastAsia="仿宋_GB2312" w:cs="仿宋_GB2312"/>
          <w:lang w:val="en-US" w:eastAsia="zh-CN"/>
        </w:rPr>
        <w:t>六层</w:t>
      </w:r>
      <w:r>
        <w:rPr>
          <w:rFonts w:hint="eastAsia" w:ascii="仿宋_GB2312" w:hAnsi="仿宋_GB2312" w:eastAsia="仿宋_GB2312" w:cs="仿宋_GB2312"/>
          <w:lang w:eastAsia="zh-CN"/>
        </w:rPr>
        <w:t>文康律师事务所，收件人：刘律师15163395766、李律师13181168199。</w:t>
      </w:r>
      <w:r>
        <w:rPr>
          <w:rFonts w:hint="eastAsia" w:ascii="仿宋_GB2312" w:hAnsi="仿宋_GB2312" w:eastAsia="仿宋_GB2312" w:cs="仿宋_GB2312"/>
          <w:lang w:val="en-US" w:eastAsia="zh-CN"/>
        </w:rPr>
        <w:t xml:space="preserve"> </w:t>
      </w:r>
    </w:p>
    <w:p w14:paraId="1BF514D4">
      <w:pPr>
        <w:pStyle w:val="16"/>
        <w:spacing w:line="480" w:lineRule="exact"/>
        <w:ind w:firstLine="580"/>
        <w:jc w:val="both"/>
        <w:rPr>
          <w:rFonts w:ascii="仿宋_GB2312" w:hAnsi="仿宋_GB2312" w:eastAsia="仿宋_GB2312" w:cs="仿宋_GB2312"/>
          <w:lang w:eastAsia="zh-CN"/>
        </w:rPr>
      </w:pPr>
      <w:r>
        <w:rPr>
          <w:rFonts w:hint="eastAsia" w:ascii="仿宋_GB2312" w:hAnsi="仿宋_GB2312" w:eastAsia="仿宋_GB2312" w:cs="仿宋_GB2312"/>
          <w:lang w:eastAsia="zh-CN"/>
        </w:rPr>
        <w:t>二、现场申报</w:t>
      </w:r>
    </w:p>
    <w:p w14:paraId="0A6F91C7">
      <w:pPr>
        <w:pStyle w:val="16"/>
        <w:spacing w:line="480" w:lineRule="exact"/>
        <w:ind w:firstLine="580"/>
        <w:jc w:val="both"/>
        <w:rPr>
          <w:rFonts w:ascii="仿宋_GB2312" w:hAnsi="仿宋_GB2312" w:eastAsia="仿宋_GB2312" w:cs="仿宋_GB2312"/>
          <w:lang w:eastAsia="zh-CN"/>
        </w:rPr>
      </w:pPr>
      <w:r>
        <w:rPr>
          <w:rFonts w:hint="eastAsia" w:ascii="仿宋_GB2312" w:hAnsi="仿宋_GB2312" w:eastAsia="仿宋_GB2312" w:cs="仿宋_GB2312"/>
          <w:lang w:eastAsia="zh-CN"/>
        </w:rPr>
        <w:t>提前预约可</w:t>
      </w:r>
      <w:r>
        <w:rPr>
          <w:rFonts w:hint="eastAsia" w:ascii="仿宋_GB2312" w:hAnsi="仿宋_GB2312" w:eastAsia="仿宋_GB2312" w:cs="仿宋_GB2312"/>
          <w:lang w:val="en-US" w:eastAsia="zh-CN"/>
        </w:rPr>
        <w:t>于工作日在</w:t>
      </w:r>
      <w:r>
        <w:rPr>
          <w:rFonts w:hint="eastAsia" w:ascii="仿宋_GB2312" w:hAnsi="仿宋_GB2312" w:eastAsia="仿宋_GB2312" w:cs="仿宋_GB2312"/>
          <w:lang w:eastAsia="zh-CN"/>
        </w:rPr>
        <w:t>山东省日照市东港区北京路201号联通大厦</w:t>
      </w:r>
      <w:r>
        <w:rPr>
          <w:rFonts w:hint="eastAsia" w:ascii="仿宋_GB2312" w:hAnsi="仿宋_GB2312" w:eastAsia="仿宋_GB2312" w:cs="仿宋_GB2312"/>
          <w:lang w:val="en-US" w:eastAsia="zh-CN"/>
        </w:rPr>
        <w:t>六层</w:t>
      </w:r>
      <w:r>
        <w:rPr>
          <w:rFonts w:hint="eastAsia" w:ascii="仿宋_GB2312" w:hAnsi="仿宋_GB2312" w:eastAsia="仿宋_GB2312" w:cs="仿宋_GB2312"/>
          <w:lang w:eastAsia="zh-CN"/>
        </w:rPr>
        <w:t>文康律师事务所（</w:t>
      </w:r>
      <w:r>
        <w:rPr>
          <w:rFonts w:hint="eastAsia" w:ascii="仿宋_GB2312" w:hAnsi="仿宋_GB2312" w:eastAsia="仿宋_GB2312" w:cs="仿宋_GB2312"/>
          <w:lang w:val="en-US" w:eastAsia="zh-CN"/>
        </w:rPr>
        <w:t>需提前1天预约具体时间</w:t>
      </w:r>
      <w:r>
        <w:rPr>
          <w:rFonts w:hint="eastAsia" w:ascii="仿宋_GB2312" w:hAnsi="仿宋_GB2312" w:eastAsia="仿宋_GB2312" w:cs="仿宋_GB2312"/>
          <w:lang w:eastAsia="zh-CN"/>
        </w:rPr>
        <w:t>）接收现场申报，联系人：刘律师15163395766、李律师13181168199。</w:t>
      </w:r>
    </w:p>
    <w:p w14:paraId="3FE0C1D5">
      <w:pPr>
        <w:pStyle w:val="16"/>
        <w:spacing w:line="480" w:lineRule="exact"/>
        <w:ind w:firstLine="600"/>
        <w:jc w:val="both"/>
        <w:rPr>
          <w:rFonts w:ascii="仿宋_GB2312" w:hAnsi="仿宋_GB2312" w:eastAsia="仿宋_GB2312" w:cs="仿宋_GB2312"/>
          <w:b/>
          <w:bCs/>
        </w:rPr>
      </w:pPr>
      <w:r>
        <w:rPr>
          <w:rFonts w:hint="eastAsia" w:ascii="仿宋_GB2312" w:hAnsi="仿宋_GB2312" w:eastAsia="仿宋_GB2312" w:cs="仿宋_GB2312"/>
        </w:rPr>
        <w:t>申报债权应书面说明债权数额、有无财产担保及是否属于连带债权，并提供相关证据材料。未在上述期限内申报债权的，可以在破产财产最后分配前补充申报，</w:t>
      </w:r>
      <w:r>
        <w:rPr>
          <w:rFonts w:hint="eastAsia" w:ascii="仿宋_GB2312" w:hAnsi="仿宋_GB2312" w:eastAsia="仿宋_GB2312" w:cs="仿宋_GB2312"/>
          <w:lang w:val="en-US" w:eastAsia="zh-CN"/>
        </w:rPr>
        <w:t>此前已进行的分配不再补充分配，同时仍需</w:t>
      </w:r>
      <w:r>
        <w:rPr>
          <w:rFonts w:hint="eastAsia" w:ascii="仿宋_GB2312" w:hAnsi="仿宋_GB2312" w:eastAsia="仿宋_GB2312" w:cs="仿宋_GB2312"/>
        </w:rPr>
        <w:t>承担为审查和确认补充申报债权所产生的费用。未依法申报债权的，不得依照《中华人民共和国企业破产法》规定的程序行使权利。</w:t>
      </w:r>
      <w:r>
        <w:rPr>
          <w:rFonts w:hint="eastAsia" w:ascii="仿宋_GB2312" w:hAnsi="仿宋_GB2312" w:eastAsia="仿宋_GB2312" w:cs="仿宋_GB2312"/>
          <w:color w:val="auto"/>
          <w:lang w:eastAsia="zh-CN"/>
        </w:rPr>
        <w:t>山东海吉尔科技集团有限公司等十八家公司</w:t>
      </w:r>
      <w:r>
        <w:rPr>
          <w:rFonts w:hint="eastAsia" w:ascii="仿宋_GB2312" w:hAnsi="仿宋_GB2312" w:eastAsia="仿宋_GB2312" w:cs="仿宋_GB2312"/>
        </w:rPr>
        <w:t>的债务人或者财产持有人应当向</w:t>
      </w:r>
      <w:r>
        <w:rPr>
          <w:rFonts w:hint="eastAsia" w:ascii="仿宋_GB2312" w:hAnsi="仿宋_GB2312" w:eastAsia="仿宋_GB2312" w:cs="仿宋_GB2312"/>
          <w:color w:val="auto"/>
          <w:lang w:eastAsia="zh-CN"/>
        </w:rPr>
        <w:t>山东海吉尔科技集团有限公司等十八家公司</w:t>
      </w:r>
      <w:r>
        <w:rPr>
          <w:rFonts w:hint="eastAsia" w:ascii="仿宋_GB2312" w:hAnsi="仿宋_GB2312" w:eastAsia="仿宋_GB2312" w:cs="仿宋_GB2312"/>
        </w:rPr>
        <w:t>管理人清偿债务或交付财产。</w:t>
      </w:r>
    </w:p>
    <w:p w14:paraId="1BA7577E">
      <w:pPr>
        <w:pStyle w:val="16"/>
        <w:spacing w:line="480" w:lineRule="exact"/>
        <w:ind w:firstLine="562" w:firstLineChars="200"/>
        <w:jc w:val="both"/>
        <w:rPr>
          <w:rFonts w:ascii="仿宋_GB2312" w:hAnsi="仿宋_GB2312" w:eastAsia="仿宋_GB2312" w:cs="仿宋_GB2312"/>
        </w:rPr>
      </w:pPr>
      <w:r>
        <w:rPr>
          <w:rFonts w:hint="eastAsia" w:ascii="仿宋_GB2312" w:hAnsi="仿宋_GB2312" w:eastAsia="仿宋_GB2312" w:cs="仿宋_GB2312"/>
          <w:b/>
          <w:bCs/>
          <w:color w:val="auto"/>
          <w:lang w:val="en-US" w:eastAsia="zh-CN"/>
        </w:rPr>
        <w:t>本院定于</w:t>
      </w:r>
      <w:r>
        <w:rPr>
          <w:rFonts w:hint="eastAsia" w:ascii="仿宋_GB2312" w:hAnsi="仿宋_GB2312" w:eastAsia="仿宋_GB2312" w:cs="仿宋_GB2312"/>
          <w:b/>
          <w:bCs/>
          <w:color w:val="auto"/>
          <w:lang w:eastAsia="zh-CN"/>
        </w:rPr>
        <w:t>2024</w:t>
      </w:r>
      <w:r>
        <w:rPr>
          <w:rFonts w:hint="eastAsia" w:ascii="仿宋_GB2312" w:hAnsi="仿宋_GB2312" w:eastAsia="仿宋_GB2312" w:cs="仿宋_GB2312"/>
          <w:b/>
          <w:bCs/>
          <w:color w:val="auto"/>
        </w:rPr>
        <w:t>年</w:t>
      </w:r>
      <w:r>
        <w:rPr>
          <w:rFonts w:hint="eastAsia" w:ascii="仿宋_GB2312" w:hAnsi="仿宋_GB2312" w:eastAsia="仿宋_GB2312" w:cs="仿宋_GB2312"/>
          <w:b/>
          <w:bCs/>
          <w:color w:val="auto"/>
          <w:lang w:val="en-US" w:eastAsia="zh-CN"/>
        </w:rPr>
        <w:t>10</w:t>
      </w:r>
      <w:r>
        <w:rPr>
          <w:rFonts w:hint="eastAsia" w:ascii="仿宋_GB2312" w:hAnsi="仿宋_GB2312" w:eastAsia="仿宋_GB2312" w:cs="仿宋_GB2312"/>
          <w:b/>
          <w:bCs/>
          <w:color w:val="auto"/>
        </w:rPr>
        <w:t>月</w:t>
      </w:r>
      <w:r>
        <w:rPr>
          <w:rFonts w:hint="eastAsia" w:ascii="仿宋_GB2312" w:hAnsi="仿宋_GB2312" w:eastAsia="仿宋_GB2312" w:cs="仿宋_GB2312"/>
          <w:b/>
          <w:bCs/>
          <w:color w:val="auto"/>
          <w:lang w:val="en-US" w:eastAsia="zh-CN"/>
        </w:rPr>
        <w:t>23</w:t>
      </w:r>
      <w:r>
        <w:rPr>
          <w:rFonts w:hint="eastAsia" w:ascii="仿宋_GB2312" w:hAnsi="仿宋_GB2312" w:eastAsia="仿宋_GB2312" w:cs="仿宋_GB2312"/>
          <w:b/>
          <w:bCs/>
          <w:color w:val="auto"/>
        </w:rPr>
        <w:t>日</w:t>
      </w:r>
      <w:r>
        <w:rPr>
          <w:rFonts w:hint="eastAsia" w:ascii="仿宋_GB2312" w:hAnsi="仿宋_GB2312" w:eastAsia="仿宋_GB2312" w:cs="仿宋_GB2312"/>
          <w:b/>
          <w:bCs/>
          <w:color w:val="auto"/>
          <w:lang w:val="en-US" w:eastAsia="zh-CN"/>
        </w:rPr>
        <w:t>上午9时</w:t>
      </w:r>
      <w:r>
        <w:rPr>
          <w:rFonts w:hint="eastAsia" w:ascii="仿宋_GB2312" w:hAnsi="仿宋_GB2312" w:eastAsia="仿宋_GB2312" w:cs="仿宋_GB2312"/>
          <w:b/>
          <w:bCs/>
          <w:color w:val="auto"/>
        </w:rPr>
        <w:t>在</w:t>
      </w:r>
      <w:r>
        <w:rPr>
          <w:rFonts w:hint="eastAsia" w:ascii="仿宋_GB2312" w:hAnsi="仿宋_GB2312" w:eastAsia="仿宋_GB2312" w:cs="仿宋_GB2312"/>
          <w:b/>
          <w:bCs/>
          <w:color w:val="auto"/>
          <w:lang w:eastAsia="zh-CN"/>
        </w:rPr>
        <w:t>本院</w:t>
      </w:r>
      <w:r>
        <w:rPr>
          <w:rFonts w:hint="eastAsia" w:ascii="仿宋_GB2312" w:hAnsi="仿宋_GB2312" w:eastAsia="仿宋_GB2312" w:cs="仿宋_GB2312"/>
          <w:b/>
          <w:bCs/>
          <w:color w:val="auto"/>
          <w:lang w:val="en-US" w:eastAsia="zh-CN"/>
        </w:rPr>
        <w:t>东三楼会议室</w:t>
      </w:r>
      <w:r>
        <w:rPr>
          <w:rFonts w:hint="eastAsia" w:ascii="仿宋_GB2312" w:hAnsi="仿宋_GB2312" w:eastAsia="仿宋_GB2312" w:cs="仿宋_GB2312"/>
          <w:b/>
          <w:bCs/>
          <w:color w:val="auto"/>
        </w:rPr>
        <w:t>召开</w:t>
      </w:r>
      <w:r>
        <w:rPr>
          <w:rFonts w:hint="eastAsia" w:ascii="仿宋_GB2312" w:hAnsi="仿宋_GB2312" w:eastAsia="仿宋_GB2312" w:cs="仿宋_GB2312"/>
          <w:b/>
          <w:bCs/>
          <w:color w:val="auto"/>
          <w:lang w:val="en-US" w:eastAsia="zh-CN"/>
        </w:rPr>
        <w:t>第一次债权人会议</w:t>
      </w:r>
      <w:r>
        <w:rPr>
          <w:rFonts w:hint="eastAsia" w:ascii="仿宋_GB2312" w:hAnsi="仿宋_GB2312" w:eastAsia="仿宋_GB2312" w:cs="仿宋_GB2312"/>
          <w:b/>
          <w:bCs/>
          <w:color w:val="auto"/>
        </w:rPr>
        <w:t>。</w:t>
      </w:r>
      <w:r>
        <w:rPr>
          <w:rFonts w:hint="eastAsia" w:ascii="仿宋_GB2312" w:hAnsi="仿宋_GB2312" w:eastAsia="仿宋_GB2312" w:cs="仿宋_GB2312"/>
        </w:rPr>
        <w:t>依法申报债权的债权人为债权人会议的成员，有权参加债权人会议。参加会议的债权人系法人或其他组织的，应提交营业执照副本、法定代表人或负责人身份证明；债权人系自然人的，应提交个人身份证明。债权人如委托代理人出席会议，应提交特别授权委托书、委托代理人的身份证件，委托代理人是律师的还应提交律师事务所的指派函原件及律师执业证复印件。</w:t>
      </w:r>
    </w:p>
    <w:p w14:paraId="43D32DFB">
      <w:pPr>
        <w:pStyle w:val="16"/>
        <w:spacing w:line="480" w:lineRule="exact"/>
        <w:ind w:firstLine="560" w:firstLineChars="200"/>
        <w:jc w:val="both"/>
        <w:rPr>
          <w:rFonts w:ascii="仿宋_GB2312" w:hAnsi="仿宋_GB2312" w:eastAsia="仿宋_GB2312" w:cs="仿宋_GB2312"/>
          <w:lang w:val="en-US"/>
        </w:rPr>
      </w:pPr>
      <w:r>
        <w:rPr>
          <w:rFonts w:hint="eastAsia" w:ascii="仿宋_GB2312" w:hAnsi="仿宋_GB2312" w:eastAsia="仿宋_GB2312" w:cs="仿宋_GB2312"/>
        </w:rPr>
        <w:t>特此公告</w:t>
      </w:r>
    </w:p>
    <w:p w14:paraId="04E041D9">
      <w:pPr>
        <w:pStyle w:val="16"/>
        <w:spacing w:after="140" w:line="480" w:lineRule="exact"/>
        <w:ind w:firstLine="780"/>
        <w:jc w:val="both"/>
        <w:rPr>
          <w:rFonts w:ascii="仿宋" w:hAnsi="仿宋" w:eastAsia="PMingLiU" w:cs="仿宋"/>
          <w:color w:val="auto"/>
          <w:lang w:val="en-US"/>
        </w:rPr>
      </w:pPr>
      <w:r>
        <w:rPr>
          <w:rFonts w:hint="eastAsia" w:ascii="仿宋_GB2312" w:hAnsi="仿宋_GB2312" w:eastAsia="仿宋_GB2312" w:cs="仿宋_GB2312"/>
          <w:lang w:val="en-US"/>
        </w:rPr>
        <w:t xml:space="preserve">                                  </w:t>
      </w:r>
      <w:r>
        <w:rPr>
          <w:rFonts w:hint="eastAsia" w:ascii="仿宋_GB2312" w:hAnsi="仿宋_GB2312" w:eastAsia="仿宋_GB2312" w:cs="仿宋_GB2312"/>
          <w:color w:val="auto"/>
          <w:lang w:val="en-US"/>
        </w:rPr>
        <w:t xml:space="preserve">  </w:t>
      </w:r>
      <w:r>
        <w:rPr>
          <w:rFonts w:hint="eastAsia" w:ascii="仿宋_GB2312" w:hAnsi="仿宋_GB2312" w:eastAsia="仿宋_GB2312" w:cs="仿宋_GB2312"/>
          <w:color w:val="auto"/>
          <w:lang w:val="en-US" w:eastAsia="zh-CN"/>
        </w:rPr>
        <w:t>二〇二四</w:t>
      </w:r>
      <w:r>
        <w:rPr>
          <w:rFonts w:hint="eastAsia" w:ascii="仿宋_GB2312" w:hAnsi="仿宋_GB2312" w:eastAsia="仿宋_GB2312" w:cs="仿宋_GB2312"/>
          <w:color w:val="auto"/>
          <w:lang w:val="en-US"/>
        </w:rPr>
        <w:t>年</w:t>
      </w:r>
      <w:r>
        <w:rPr>
          <w:rFonts w:hint="eastAsia" w:ascii="仿宋_GB2312" w:hAnsi="仿宋_GB2312" w:eastAsia="仿宋_GB2312" w:cs="仿宋_GB2312"/>
          <w:color w:val="auto"/>
          <w:lang w:val="en-US" w:eastAsia="zh-CN"/>
        </w:rPr>
        <w:t>八</w:t>
      </w:r>
      <w:r>
        <w:rPr>
          <w:rFonts w:hint="eastAsia" w:ascii="仿宋_GB2312" w:hAnsi="仿宋_GB2312" w:eastAsia="仿宋_GB2312" w:cs="仿宋_GB2312"/>
          <w:color w:val="auto"/>
          <w:lang w:val="en-US"/>
        </w:rPr>
        <w:t>月</w:t>
      </w:r>
      <w:r>
        <w:rPr>
          <w:rFonts w:hint="eastAsia" w:ascii="仿宋_GB2312" w:hAnsi="仿宋_GB2312" w:eastAsia="仿宋_GB2312" w:cs="仿宋_GB2312"/>
          <w:color w:val="auto"/>
          <w:lang w:val="en-US" w:eastAsia="zh-CN"/>
        </w:rPr>
        <w:t>三十</w:t>
      </w:r>
      <w:r>
        <w:rPr>
          <w:rFonts w:hint="eastAsia" w:ascii="仿宋_GB2312" w:hAnsi="仿宋_GB2312" w:eastAsia="仿宋_GB2312" w:cs="仿宋_GB2312"/>
          <w:color w:val="auto"/>
          <w:lang w:val="en-US"/>
        </w:rPr>
        <w:t>日</w:t>
      </w:r>
    </w:p>
    <w:p w14:paraId="796F2375">
      <w:pPr>
        <w:pStyle w:val="16"/>
        <w:spacing w:after="140" w:line="240" w:lineRule="auto"/>
      </w:pPr>
      <w:r>
        <w:rPr>
          <w:rFonts w:hint="eastAsia"/>
          <w:lang w:val="en-US" w:eastAsia="zh-CN"/>
        </w:rPr>
        <w:drawing>
          <wp:inline distT="0" distB="0" distL="114300" distR="114300">
            <wp:extent cx="2273300" cy="2792730"/>
            <wp:effectExtent l="0" t="0" r="12700" b="11430"/>
            <wp:docPr id="1" name="图片 1" descr="093fd11bd72587636ba6956625c72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93fd11bd72587636ba6956625c72fb"/>
                    <pic:cNvPicPr>
                      <a:picLocks noChangeAspect="1"/>
                    </pic:cNvPicPr>
                  </pic:nvPicPr>
                  <pic:blipFill>
                    <a:blip r:embed="rId7"/>
                    <a:stretch>
                      <a:fillRect/>
                    </a:stretch>
                  </pic:blipFill>
                  <pic:spPr>
                    <a:xfrm>
                      <a:off x="0" y="0"/>
                      <a:ext cx="2273300" cy="2792730"/>
                    </a:xfrm>
                    <a:prstGeom prst="rect">
                      <a:avLst/>
                    </a:prstGeom>
                  </pic:spPr>
                </pic:pic>
              </a:graphicData>
            </a:graphic>
          </wp:inline>
        </w:drawing>
      </w:r>
      <w:r>
        <w:rPr>
          <w:rFonts w:hint="eastAsia"/>
          <w:lang w:val="en-US" w:eastAsia="zh-CN"/>
        </w:rPr>
        <w:t xml:space="preserve">   </w:t>
      </w:r>
      <w:r>
        <w:rPr>
          <w:rFonts w:hint="eastAsia"/>
          <w:lang w:val="en-US" w:eastAsia="zh-CN" w:bidi="ar-SA"/>
        </w:rPr>
        <w:drawing>
          <wp:inline distT="0" distB="0" distL="114300" distR="114300">
            <wp:extent cx="2503805" cy="2774315"/>
            <wp:effectExtent l="0" t="0" r="127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503805" cy="2774315"/>
                    </a:xfrm>
                    <a:prstGeom prst="rect">
                      <a:avLst/>
                    </a:prstGeom>
                    <a:ln>
                      <a:noFill/>
                    </a:ln>
                  </pic:spPr>
                </pic:pic>
              </a:graphicData>
            </a:graphic>
          </wp:inline>
        </w:drawing>
      </w:r>
    </w:p>
    <w:p w14:paraId="20785EFA">
      <w:pPr>
        <w:pStyle w:val="16"/>
        <w:spacing w:after="140" w:line="240" w:lineRule="auto"/>
        <w:jc w:val="both"/>
        <w:rPr>
          <w:lang w:val="en-US" w:eastAsia="zh-CN"/>
        </w:rPr>
      </w:pPr>
      <w:r>
        <w:rPr>
          <w:rFonts w:hint="eastAsia" w:ascii="华文楷体" w:hAnsi="华文楷体" w:eastAsia="华文楷体" w:cs="仿宋"/>
          <w:b/>
          <w:bCs/>
          <w:color w:val="auto"/>
          <w:sz w:val="24"/>
          <w:szCs w:val="24"/>
          <w:lang w:val="en-US" w:eastAsia="zh-CN"/>
        </w:rPr>
        <w:t>（微信扫描该二维码，完成债权申报）      （</w:t>
      </w:r>
      <w:bookmarkStart w:id="0" w:name="_GoBack"/>
      <w:bookmarkEnd w:id="0"/>
      <w:r>
        <w:rPr>
          <w:rFonts w:hint="eastAsia" w:ascii="华文楷体" w:hAnsi="华文楷体" w:eastAsia="华文楷体" w:cs="仿宋"/>
          <w:b/>
          <w:bCs/>
          <w:color w:val="auto"/>
          <w:sz w:val="24"/>
          <w:szCs w:val="24"/>
          <w:lang w:val="en-US" w:eastAsia="zh-CN"/>
        </w:rPr>
        <w:t>扫描该二维码，可查看详细申报步骤）</w:t>
      </w:r>
    </w:p>
    <w:sectPr>
      <w:footerReference r:id="rId5" w:type="default"/>
      <w:pgSz w:w="11900" w:h="16840"/>
      <w:pgMar w:top="2098" w:right="1474" w:bottom="1984" w:left="1587" w:header="1375" w:footer="1378" w:gutter="0"/>
      <w:pgNumType w:fmt="numberInDash" w:start="1"/>
      <w:cols w:space="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1" w:fontKey="{D88B09A2-5BFE-4800-AA2B-C652CC03DEAE}"/>
  </w:font>
  <w:font w:name="仿宋_GB2312">
    <w:panose1 w:val="02010609030101010101"/>
    <w:charset w:val="86"/>
    <w:family w:val="auto"/>
    <w:pitch w:val="default"/>
    <w:sig w:usb0="00000001" w:usb1="080E0000" w:usb2="00000000" w:usb3="00000000" w:csb0="00040000" w:csb1="00000000"/>
    <w:embedRegular r:id="rId2" w:fontKey="{516EC5DF-6D41-4452-B7BF-FB3E0A0C6614}"/>
  </w:font>
  <w:font w:name="仿宋">
    <w:panose1 w:val="02010609060101010101"/>
    <w:charset w:val="86"/>
    <w:family w:val="modern"/>
    <w:pitch w:val="default"/>
    <w:sig w:usb0="800002BF" w:usb1="38CF7CFA" w:usb2="00000016" w:usb3="00000000" w:csb0="00040001" w:csb1="00000000"/>
    <w:embedRegular r:id="rId3" w:fontKey="{299D30EF-3428-4408-8DC1-7B3287F30A2F}"/>
  </w:font>
  <w:font w:name="PMingLiU">
    <w:altName w:val="Microsoft JhengHei UI"/>
    <w:panose1 w:val="02010601000101010101"/>
    <w:charset w:val="88"/>
    <w:family w:val="auto"/>
    <w:pitch w:val="default"/>
    <w:sig w:usb0="00000000" w:usb1="00000000" w:usb2="00000010" w:usb3="00000000" w:csb0="00100000" w:csb1="00000000"/>
    <w:embedRegular r:id="rId4" w:fontKey="{FCFDB3C0-720C-4D1F-9E7A-B1F84AD34345}"/>
  </w:font>
  <w:font w:name="华文楷体">
    <w:panose1 w:val="02010600040101010101"/>
    <w:charset w:val="86"/>
    <w:family w:val="auto"/>
    <w:pitch w:val="default"/>
    <w:sig w:usb0="00000287" w:usb1="080F0000" w:usb2="00000000" w:usb3="00000000" w:csb0="0004009F" w:csb1="DFD70000"/>
    <w:embedRegular r:id="rId5" w:fontKey="{97F7BC54-D415-40D0-9B6E-D9A9869AC189}"/>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50001">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90500" cy="131445"/>
              <wp:effectExtent l="0" t="0" r="0" b="0"/>
              <wp:wrapNone/>
              <wp:docPr id="8" name="文本框 8"/>
              <wp:cNvGraphicFramePr/>
              <a:graphic xmlns:a="http://schemas.openxmlformats.org/drawingml/2006/main">
                <a:graphicData uri="http://schemas.microsoft.com/office/word/2010/wordprocessingShape">
                  <wps:wsp>
                    <wps:cNvSpPr txBox="1"/>
                    <wps:spPr>
                      <a:xfrm>
                        <a:off x="0" y="0"/>
                        <a:ext cx="190500" cy="131445"/>
                      </a:xfrm>
                      <a:prstGeom prst="rect">
                        <a:avLst/>
                      </a:prstGeom>
                      <a:noFill/>
                      <a:ln w="6350">
                        <a:noFill/>
                      </a:ln>
                    </wps:spPr>
                    <wps:txbx>
                      <w:txbxContent>
                        <w:p w14:paraId="08C15F4E">
                          <w:pPr>
                            <w:pStyle w:val="4"/>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- 2 -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15pt;mso-position-horizontal:left;mso-position-horizontal-relative:margin;mso-wrap-style:none;z-index:251659264;mso-width-relative:page;mso-height-relative:page;" filled="f" stroked="f" coordsize="21600,21600" o:gfxdata="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RJ1N0NEAAAADAQAADwAAAAAAAAABACAAAAAiAAAAZHJzL2Rvd25yZXYueG1sUEsBAhQAFAAA&#10;AAgAh07iQAOubs4vAgAAUwQAAA4AAAAAAAAAAQAgAAAAIAEAAGRycy9lMm9Eb2MueG1sUEsFBgAA&#10;AAAGAAYAWQEAAMEFAAAAAA==&#10;">
              <v:fill on="f" focussize="0,0"/>
              <v:stroke on="f" weight="0.5pt"/>
              <v:imagedata o:title=""/>
              <o:lock v:ext="edit" aspectratio="f"/>
              <v:textbox inset="0mm,0mm,0mm,0mm" style="mso-fit-shape-to-text:t;">
                <w:txbxContent>
                  <w:p w14:paraId="08C15F4E">
                    <w:pPr>
                      <w:pStyle w:val="4"/>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- 2 -</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C501AD"/>
    <w:multiLevelType w:val="singleLevel"/>
    <w:tmpl w:val="45C501A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4OGVmOWRkYTNlNmJhNjIxZDJkZjk3YmM3YmY0ZGEifQ=="/>
  </w:docVars>
  <w:rsids>
    <w:rsidRoot w:val="00C219A2"/>
    <w:rsid w:val="0002371B"/>
    <w:rsid w:val="00065057"/>
    <w:rsid w:val="00074358"/>
    <w:rsid w:val="000C1A3B"/>
    <w:rsid w:val="001327C2"/>
    <w:rsid w:val="001559BD"/>
    <w:rsid w:val="00162259"/>
    <w:rsid w:val="00191008"/>
    <w:rsid w:val="0019427F"/>
    <w:rsid w:val="001A2BA1"/>
    <w:rsid w:val="00212C69"/>
    <w:rsid w:val="0022707C"/>
    <w:rsid w:val="00244188"/>
    <w:rsid w:val="002A500B"/>
    <w:rsid w:val="002E74FB"/>
    <w:rsid w:val="00313B38"/>
    <w:rsid w:val="003419BE"/>
    <w:rsid w:val="00352DBF"/>
    <w:rsid w:val="00387A2C"/>
    <w:rsid w:val="003C2F10"/>
    <w:rsid w:val="003D52B2"/>
    <w:rsid w:val="003F5ADB"/>
    <w:rsid w:val="00410917"/>
    <w:rsid w:val="004238A7"/>
    <w:rsid w:val="00446D49"/>
    <w:rsid w:val="00486B22"/>
    <w:rsid w:val="005102E4"/>
    <w:rsid w:val="00520EE4"/>
    <w:rsid w:val="00583726"/>
    <w:rsid w:val="005A5CC0"/>
    <w:rsid w:val="005F4FE4"/>
    <w:rsid w:val="00652F33"/>
    <w:rsid w:val="0065380E"/>
    <w:rsid w:val="0069162F"/>
    <w:rsid w:val="0074516F"/>
    <w:rsid w:val="0076018E"/>
    <w:rsid w:val="007A0122"/>
    <w:rsid w:val="0080061F"/>
    <w:rsid w:val="00806A53"/>
    <w:rsid w:val="0083108F"/>
    <w:rsid w:val="008316AB"/>
    <w:rsid w:val="008B10A5"/>
    <w:rsid w:val="008B563D"/>
    <w:rsid w:val="008B796D"/>
    <w:rsid w:val="00905692"/>
    <w:rsid w:val="00961226"/>
    <w:rsid w:val="00983D26"/>
    <w:rsid w:val="00996452"/>
    <w:rsid w:val="009B5C7A"/>
    <w:rsid w:val="009B634C"/>
    <w:rsid w:val="00A96596"/>
    <w:rsid w:val="00AE2D40"/>
    <w:rsid w:val="00AF1417"/>
    <w:rsid w:val="00B94925"/>
    <w:rsid w:val="00B9507C"/>
    <w:rsid w:val="00B9533D"/>
    <w:rsid w:val="00BB3635"/>
    <w:rsid w:val="00BC7AA6"/>
    <w:rsid w:val="00C219A2"/>
    <w:rsid w:val="00C30AA2"/>
    <w:rsid w:val="00C9730D"/>
    <w:rsid w:val="00CB0B74"/>
    <w:rsid w:val="00CF2A54"/>
    <w:rsid w:val="00D32D42"/>
    <w:rsid w:val="00D5365D"/>
    <w:rsid w:val="00E065EB"/>
    <w:rsid w:val="00E516AE"/>
    <w:rsid w:val="00E9138C"/>
    <w:rsid w:val="00FA2342"/>
    <w:rsid w:val="00FD6DF5"/>
    <w:rsid w:val="067705CF"/>
    <w:rsid w:val="0677243D"/>
    <w:rsid w:val="0A9B365D"/>
    <w:rsid w:val="0AC93306"/>
    <w:rsid w:val="0E753F01"/>
    <w:rsid w:val="1921412B"/>
    <w:rsid w:val="1B375F27"/>
    <w:rsid w:val="1DC028AE"/>
    <w:rsid w:val="22A319D0"/>
    <w:rsid w:val="230204BE"/>
    <w:rsid w:val="27DD218F"/>
    <w:rsid w:val="28B5576F"/>
    <w:rsid w:val="2A4859B3"/>
    <w:rsid w:val="2A6B4E7D"/>
    <w:rsid w:val="2B001C7D"/>
    <w:rsid w:val="2F5D3C4C"/>
    <w:rsid w:val="3992123C"/>
    <w:rsid w:val="3F66325E"/>
    <w:rsid w:val="49310C1B"/>
    <w:rsid w:val="4A22713F"/>
    <w:rsid w:val="50CA7B2B"/>
    <w:rsid w:val="53972FBC"/>
    <w:rsid w:val="53C42D9E"/>
    <w:rsid w:val="54EC51AA"/>
    <w:rsid w:val="562F534B"/>
    <w:rsid w:val="58820EE3"/>
    <w:rsid w:val="5C7066B5"/>
    <w:rsid w:val="5FF136AB"/>
    <w:rsid w:val="678E3B14"/>
    <w:rsid w:val="68682E09"/>
    <w:rsid w:val="6B864618"/>
    <w:rsid w:val="6E481671"/>
    <w:rsid w:val="77347E71"/>
    <w:rsid w:val="7E063159"/>
    <w:rsid w:val="7E332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autoRedefine/>
    <w:qFormat/>
    <w:uiPriority w:val="0"/>
  </w:style>
  <w:style w:type="paragraph" w:styleId="3">
    <w:name w:val="Balloon Text"/>
    <w:basedOn w:val="1"/>
    <w:link w:val="19"/>
    <w:autoRedefine/>
    <w:qFormat/>
    <w:uiPriority w:val="0"/>
    <w:rPr>
      <w:sz w:val="18"/>
      <w:szCs w:val="18"/>
    </w:rPr>
  </w:style>
  <w:style w:type="paragraph" w:styleId="4">
    <w:name w:val="footer"/>
    <w:basedOn w:val="1"/>
    <w:autoRedefine/>
    <w:qFormat/>
    <w:uiPriority w:val="0"/>
    <w:pPr>
      <w:tabs>
        <w:tab w:val="center" w:pos="4153"/>
        <w:tab w:val="right" w:pos="8306"/>
      </w:tabs>
      <w:snapToGrid w:val="0"/>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6">
    <w:name w:val="annotation subject"/>
    <w:basedOn w:val="2"/>
    <w:next w:val="2"/>
    <w:link w:val="18"/>
    <w:autoRedefine/>
    <w:qFormat/>
    <w:uiPriority w:val="0"/>
    <w:rPr>
      <w:b/>
      <w:bCs/>
    </w:rPr>
  </w:style>
  <w:style w:type="character" w:styleId="9">
    <w:name w:val="Hyperlink"/>
    <w:basedOn w:val="8"/>
    <w:autoRedefine/>
    <w:unhideWhenUsed/>
    <w:qFormat/>
    <w:uiPriority w:val="0"/>
    <w:rPr>
      <w:color w:val="0000FF" w:themeColor="hyperlink"/>
      <w:u w:val="single"/>
      <w14:textFill>
        <w14:solidFill>
          <w14:schemeClr w14:val="hlink"/>
        </w14:solidFill>
      </w14:textFill>
    </w:rPr>
  </w:style>
  <w:style w:type="character" w:styleId="10">
    <w:name w:val="annotation reference"/>
    <w:basedOn w:val="8"/>
    <w:autoRedefine/>
    <w:qFormat/>
    <w:uiPriority w:val="0"/>
    <w:rPr>
      <w:sz w:val="21"/>
      <w:szCs w:val="21"/>
    </w:rPr>
  </w:style>
  <w:style w:type="character" w:customStyle="1" w:styleId="11">
    <w:name w:val="Body text|3_"/>
    <w:basedOn w:val="8"/>
    <w:link w:val="12"/>
    <w:autoRedefine/>
    <w:qFormat/>
    <w:uiPriority w:val="0"/>
    <w:rPr>
      <w:rFonts w:ascii="宋体" w:hAnsi="宋体" w:eastAsia="宋体" w:cs="宋体"/>
      <w:sz w:val="48"/>
      <w:szCs w:val="48"/>
      <w:u w:val="none"/>
      <w:shd w:val="clear" w:color="auto" w:fill="auto"/>
      <w:lang w:val="zh-TW" w:eastAsia="zh-TW" w:bidi="zh-TW"/>
    </w:rPr>
  </w:style>
  <w:style w:type="paragraph" w:customStyle="1" w:styleId="12">
    <w:name w:val="Body text|3"/>
    <w:basedOn w:val="1"/>
    <w:link w:val="11"/>
    <w:autoRedefine/>
    <w:qFormat/>
    <w:uiPriority w:val="0"/>
    <w:pPr>
      <w:spacing w:after="220"/>
      <w:jc w:val="center"/>
    </w:pPr>
    <w:rPr>
      <w:rFonts w:ascii="宋体" w:hAnsi="宋体" w:eastAsia="宋体" w:cs="宋体"/>
      <w:sz w:val="48"/>
      <w:szCs w:val="48"/>
      <w:lang w:val="zh-TW" w:eastAsia="zh-TW" w:bidi="zh-TW"/>
    </w:rPr>
  </w:style>
  <w:style w:type="character" w:customStyle="1" w:styleId="13">
    <w:name w:val="Body text|2_"/>
    <w:basedOn w:val="8"/>
    <w:link w:val="14"/>
    <w:autoRedefine/>
    <w:qFormat/>
    <w:uiPriority w:val="0"/>
    <w:rPr>
      <w:sz w:val="28"/>
      <w:szCs w:val="28"/>
      <w:u w:val="none"/>
      <w:shd w:val="clear" w:color="auto" w:fill="auto"/>
      <w:lang w:val="zh-TW" w:eastAsia="zh-TW" w:bidi="zh-TW"/>
    </w:rPr>
  </w:style>
  <w:style w:type="paragraph" w:customStyle="1" w:styleId="14">
    <w:name w:val="Body text|2"/>
    <w:basedOn w:val="1"/>
    <w:link w:val="13"/>
    <w:autoRedefine/>
    <w:qFormat/>
    <w:uiPriority w:val="0"/>
    <w:pPr>
      <w:spacing w:after="400"/>
      <w:jc w:val="right"/>
    </w:pPr>
    <w:rPr>
      <w:sz w:val="28"/>
      <w:szCs w:val="28"/>
      <w:lang w:val="zh-TW" w:eastAsia="zh-TW" w:bidi="zh-TW"/>
    </w:rPr>
  </w:style>
  <w:style w:type="character" w:customStyle="1" w:styleId="15">
    <w:name w:val="Body text|1_"/>
    <w:basedOn w:val="8"/>
    <w:link w:val="16"/>
    <w:autoRedefine/>
    <w:qFormat/>
    <w:uiPriority w:val="0"/>
    <w:rPr>
      <w:rFonts w:ascii="宋体" w:hAnsi="宋体" w:eastAsia="宋体" w:cs="宋体"/>
      <w:sz w:val="28"/>
      <w:szCs w:val="28"/>
      <w:u w:val="none"/>
      <w:shd w:val="clear" w:color="auto" w:fill="auto"/>
      <w:lang w:val="zh-TW" w:eastAsia="zh-TW" w:bidi="zh-TW"/>
    </w:rPr>
  </w:style>
  <w:style w:type="paragraph" w:customStyle="1" w:styleId="16">
    <w:name w:val="Body text|1"/>
    <w:basedOn w:val="1"/>
    <w:link w:val="15"/>
    <w:autoRedefine/>
    <w:qFormat/>
    <w:uiPriority w:val="0"/>
    <w:pPr>
      <w:spacing w:line="288" w:lineRule="auto"/>
      <w:ind w:firstLine="400"/>
    </w:pPr>
    <w:rPr>
      <w:rFonts w:ascii="宋体" w:hAnsi="宋体" w:eastAsia="宋体" w:cs="宋体"/>
      <w:sz w:val="28"/>
      <w:szCs w:val="28"/>
      <w:lang w:val="zh-TW" w:eastAsia="zh-TW" w:bidi="zh-TW"/>
    </w:rPr>
  </w:style>
  <w:style w:type="character" w:customStyle="1" w:styleId="17">
    <w:name w:val="批注文字 Char"/>
    <w:basedOn w:val="8"/>
    <w:link w:val="2"/>
    <w:autoRedefine/>
    <w:qFormat/>
    <w:uiPriority w:val="0"/>
    <w:rPr>
      <w:rFonts w:eastAsia="Times New Roman"/>
      <w:color w:val="000000"/>
      <w:sz w:val="24"/>
      <w:szCs w:val="24"/>
      <w:lang w:eastAsia="en-US" w:bidi="en-US"/>
    </w:rPr>
  </w:style>
  <w:style w:type="character" w:customStyle="1" w:styleId="18">
    <w:name w:val="批注主题 Char"/>
    <w:basedOn w:val="17"/>
    <w:link w:val="6"/>
    <w:autoRedefine/>
    <w:qFormat/>
    <w:uiPriority w:val="0"/>
    <w:rPr>
      <w:rFonts w:eastAsia="Times New Roman"/>
      <w:b/>
      <w:bCs/>
      <w:color w:val="000000"/>
      <w:sz w:val="24"/>
      <w:szCs w:val="24"/>
      <w:lang w:eastAsia="en-US" w:bidi="en-US"/>
    </w:rPr>
  </w:style>
  <w:style w:type="character" w:customStyle="1" w:styleId="19">
    <w:name w:val="批注框文本 Char"/>
    <w:basedOn w:val="8"/>
    <w:link w:val="3"/>
    <w:autoRedefine/>
    <w:qFormat/>
    <w:uiPriority w:val="0"/>
    <w:rPr>
      <w:rFonts w:eastAsia="Times New Roman"/>
      <w:color w:val="000000"/>
      <w:sz w:val="18"/>
      <w:szCs w:val="18"/>
      <w:lang w:eastAsia="en-US" w:bidi="en-US"/>
    </w:rPr>
  </w:style>
  <w:style w:type="character" w:customStyle="1" w:styleId="20">
    <w:name w:val="未处理的提及1"/>
    <w:basedOn w:val="8"/>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1207</Words>
  <Characters>1320</Characters>
  <Lines>9</Lines>
  <Paragraphs>2</Paragraphs>
  <TotalTime>10</TotalTime>
  <ScaleCrop>false</ScaleCrop>
  <LinksUpToDate>false</LinksUpToDate>
  <CharactersWithSpaces>1370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2024-08-30T05:58:00Z</dcterms:created>
  <dc:creator>lin</dc:creator>
  <cp:lastModifiedBy>陈吉峰</cp:lastModifiedBy>
  <dcterms:modified xsi:type="dcterms:W3CDTF">2024-08-30T07:27:53Z</dcterms:modified>
  <dc:title>全能扫描仪</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CF8780FCDD054145A6783A7DEECDCA82_13</vt:lpwstr>
  </property>
</Properties>
</file>