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790B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240" w:lineRule="auto"/>
        <w:jc w:val="distribute"/>
        <w:textAlignment w:val="baseline"/>
        <w:outlineLvl w:val="0"/>
        <w:rPr>
          <w:rFonts w:ascii="仿宋" w:hAnsi="仿宋" w:eastAsia="仿宋" w:cs="仿宋"/>
          <w:snapToGrid w:val="0"/>
          <w:color w:val="000000"/>
          <w:kern w:val="0"/>
          <w:sz w:val="71"/>
          <w:szCs w:val="71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FF0000"/>
          <w:spacing w:val="-127"/>
          <w:kern w:val="0"/>
          <w:sz w:val="71"/>
          <w:szCs w:val="71"/>
          <w:lang w:val="en-US" w:eastAsia="zh-CN" w:bidi="ar-SA"/>
        </w:rPr>
        <w:t>湖南泰德汽车空调有限公司</w:t>
      </w:r>
      <w:r>
        <w:rPr>
          <w:rFonts w:ascii="仿宋" w:hAnsi="仿宋" w:eastAsia="仿宋" w:cs="仿宋"/>
          <w:b/>
          <w:bCs/>
          <w:snapToGrid w:val="0"/>
          <w:color w:val="FF0000"/>
          <w:spacing w:val="-126"/>
          <w:kern w:val="0"/>
          <w:sz w:val="71"/>
          <w:szCs w:val="71"/>
          <w:lang w:val="en-US" w:eastAsia="en-US" w:bidi="ar-SA"/>
        </w:rPr>
        <w:t>管理人文</w:t>
      </w:r>
      <w:r>
        <w:rPr>
          <w:rFonts w:ascii="仿宋" w:hAnsi="仿宋" w:eastAsia="仿宋" w:cs="仿宋"/>
          <w:b/>
          <w:bCs/>
          <w:snapToGrid w:val="0"/>
          <w:color w:val="FF0000"/>
          <w:spacing w:val="-48"/>
          <w:kern w:val="0"/>
          <w:sz w:val="71"/>
          <w:szCs w:val="71"/>
          <w:lang w:val="en-US" w:eastAsia="en-US" w:bidi="ar-SA"/>
        </w:rPr>
        <w:t>件</w:t>
      </w:r>
    </w:p>
    <w:p w14:paraId="01653578">
      <w:pPr>
        <w:widowControl/>
        <w:kinsoku w:val="0"/>
        <w:autoSpaceDE w:val="0"/>
        <w:autoSpaceDN w:val="0"/>
        <w:adjustRightInd w:val="0"/>
        <w:snapToGrid w:val="0"/>
        <w:spacing w:line="54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position w:val="-1"/>
          <w:szCs w:val="21"/>
          <w:lang w:eastAsia="en-US"/>
        </w:rPr>
        <w:drawing>
          <wp:inline distT="0" distB="0" distL="0" distR="0">
            <wp:extent cx="5623560" cy="34290"/>
            <wp:effectExtent l="0" t="0" r="5715" b="381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3585" cy="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642C8"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932EBA2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114" w:line="480" w:lineRule="exact"/>
        <w:ind w:right="2889"/>
        <w:jc w:val="center"/>
        <w:textAlignment w:val="baseline"/>
        <w:outlineLvl w:val="0"/>
        <w:rPr>
          <w:rFonts w:ascii="仿宋" w:hAnsi="仿宋" w:eastAsia="仿宋" w:cs="仿宋"/>
          <w:snapToGrid w:val="0"/>
          <w:color w:val="000000"/>
          <w:spacing w:val="4"/>
          <w:kern w:val="0"/>
          <w:sz w:val="35"/>
          <w:szCs w:val="35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5"/>
          <w:szCs w:val="35"/>
          <w:lang w:val="en-US" w:eastAsia="zh-CN" w:bidi="ar-SA"/>
        </w:rPr>
        <w:t xml:space="preserve">           湖南泰德汽车空调有限公司</w:t>
      </w:r>
    </w:p>
    <w:p w14:paraId="6A0A0A33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114" w:line="480" w:lineRule="exact"/>
        <w:ind w:right="2889"/>
        <w:jc w:val="center"/>
        <w:textAlignment w:val="baseline"/>
        <w:outlineLvl w:val="0"/>
        <w:rPr>
          <w:rFonts w:ascii="仿宋" w:hAnsi="仿宋" w:eastAsia="仿宋" w:cs="仿宋"/>
          <w:snapToGrid w:val="0"/>
          <w:color w:val="000000"/>
          <w:kern w:val="0"/>
          <w:sz w:val="35"/>
          <w:szCs w:val="35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3"/>
          <w:kern w:val="0"/>
          <w:sz w:val="35"/>
          <w:szCs w:val="35"/>
          <w:lang w:val="en-US" w:eastAsia="zh-CN" w:bidi="ar-SA"/>
        </w:rPr>
        <w:t xml:space="preserve">             </w:t>
      </w:r>
      <w:r>
        <w:rPr>
          <w:rFonts w:ascii="仿宋" w:hAnsi="仿宋" w:eastAsia="仿宋" w:cs="仿宋"/>
          <w:b/>
          <w:bCs/>
          <w:snapToGrid w:val="0"/>
          <w:color w:val="000000"/>
          <w:spacing w:val="3"/>
          <w:kern w:val="0"/>
          <w:sz w:val="35"/>
          <w:szCs w:val="35"/>
          <w:lang w:val="en-US" w:eastAsia="en-US" w:bidi="ar-SA"/>
        </w:rPr>
        <w:t>债权申报须知</w:t>
      </w:r>
    </w:p>
    <w:p w14:paraId="6CB67370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3" w:line="480" w:lineRule="exact"/>
        <w:ind w:left="258" w:right="388" w:firstLine="569"/>
        <w:jc w:val="both"/>
        <w:textAlignment w:val="baseline"/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2024年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4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月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30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日，长沙市中级人民法院作出（2024）湘 01破申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14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号《民事裁定书》，裁定受理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新昌县嘉达机电有限公司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对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湖南泰德汽车空调有限公司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提出的破产清算申请，并于2024年7月18日指定湖南见田律师事务所担任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湖南泰德汽车空调有限公司的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管理人。</w:t>
      </w:r>
      <w:bookmarkStart w:id="0" w:name="_GoBack"/>
      <w:bookmarkEnd w:id="0"/>
    </w:p>
    <w:p w14:paraId="75E2EA83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3" w:line="480" w:lineRule="exact"/>
        <w:ind w:left="258" w:right="388" w:firstLine="569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为保证债权人的合法权益</w:t>
      </w: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zh-CN" w:bidi="ar-SA"/>
        </w:rPr>
        <w:t>，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并推动债权申报工作的顺利进行，依据《中华人民共和国企业破产法》等相关法律法规之规定，管理人现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就</w:t>
      </w: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zh-CN" w:bidi="ar-SA"/>
        </w:rPr>
        <w:t>湖南泰德汽车空调有限公司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债权申报相关事宜说明如下：</w:t>
      </w:r>
    </w:p>
    <w:p w14:paraId="3518D2EC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167" w:line="480" w:lineRule="exact"/>
        <w:ind w:left="822"/>
        <w:jc w:val="both"/>
        <w:textAlignment w:val="baseline"/>
        <w:outlineLvl w:val="1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一、债权申报材料</w:t>
      </w:r>
    </w:p>
    <w:p w14:paraId="4E654422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11" w:line="480" w:lineRule="exact"/>
        <w:ind w:left="255" w:right="391" w:firstLine="601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申报人应当如实、详细填写《债权申报表》</w:t>
      </w:r>
      <w:r>
        <w:rPr>
          <w:rFonts w:ascii="仿宋" w:hAnsi="仿宋" w:eastAsia="仿宋" w:cs="仿宋"/>
          <w:snapToGrid w:val="0"/>
          <w:color w:val="000000"/>
          <w:spacing w:val="-7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以及提供完整、真实</w:t>
      </w:r>
      <w:r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有效的申报材料。</w:t>
      </w:r>
      <w:r>
        <w:rPr>
          <w:rFonts w:ascii="仿宋" w:hAnsi="仿宋" w:eastAsia="仿宋" w:cs="仿宋"/>
          <w:snapToGrid w:val="0"/>
          <w:color w:val="000000"/>
          <w:spacing w:val="-76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申报债权应提供如下材料：</w:t>
      </w:r>
    </w:p>
    <w:p w14:paraId="6F0FAE36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6" w:line="480" w:lineRule="exact"/>
        <w:ind w:left="259" w:right="388" w:firstLine="57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1.《债权申报表》</w:t>
      </w:r>
      <w:r>
        <w:rPr>
          <w:rFonts w:ascii="仿宋" w:hAnsi="仿宋" w:eastAsia="仿宋" w:cs="仿宋"/>
          <w:b/>
          <w:bCs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原件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、《债权申报材料清单》</w:t>
      </w:r>
      <w:r>
        <w:rPr>
          <w:rFonts w:ascii="仿宋" w:hAnsi="仿宋" w:eastAsia="仿宋" w:cs="仿宋"/>
          <w:b/>
          <w:bCs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原</w:t>
      </w:r>
      <w:r>
        <w:rPr>
          <w:rFonts w:ascii="仿宋" w:hAnsi="仿宋" w:eastAsia="仿宋" w:cs="仿宋"/>
          <w:b/>
          <w:bCs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件、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证据及其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他相关材料</w:t>
      </w:r>
      <w:r>
        <w:rPr>
          <w:rFonts w:ascii="仿宋" w:hAnsi="仿宋" w:eastAsia="仿宋" w:cs="仿宋"/>
          <w:b/>
          <w:bCs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原件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壹份、复印件壹份。</w:t>
      </w:r>
      <w:r>
        <w:rPr>
          <w:rFonts w:ascii="仿宋" w:hAnsi="仿宋" w:eastAsia="仿宋" w:cs="仿宋"/>
          <w:snapToGrid w:val="0"/>
          <w:color w:val="000000"/>
          <w:spacing w:val="-74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申报人可另行附页就债权申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28"/>
          <w:szCs w:val="28"/>
          <w:lang w:val="en-US" w:eastAsia="en-US" w:bidi="ar-SA"/>
        </w:rPr>
        <w:t>报内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容向管理人具体说明。</w:t>
      </w:r>
    </w:p>
    <w:p w14:paraId="3E2F9A09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162" w:line="480" w:lineRule="exact"/>
        <w:ind w:left="255" w:right="386" w:firstLine="55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2.债权人为法人或其他组织的，应提供申报人的营业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执照复印件（加盖公章）、法定代表人身份证明书</w:t>
      </w:r>
      <w:r>
        <w:rPr>
          <w:rFonts w:ascii="仿宋" w:hAnsi="仿宋" w:eastAsia="仿宋" w:cs="仿宋"/>
          <w:b/>
          <w:bCs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原件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、法定代表人身份证复印件；债权人为自然人的，应提供个人身份证复印件；委托代理人申报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的，</w:t>
      </w:r>
      <w:r>
        <w:rPr>
          <w:rFonts w:ascii="仿宋" w:hAnsi="仿宋" w:eastAsia="仿宋" w:cs="仿宋"/>
          <w:snapToGrid w:val="0"/>
          <w:color w:val="000000"/>
          <w:spacing w:val="-7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同时提交授权委托书</w:t>
      </w:r>
      <w:r>
        <w:rPr>
          <w:rFonts w:ascii="仿宋" w:hAnsi="仿宋" w:eastAsia="仿宋" w:cs="仿宋"/>
          <w:b/>
          <w:bCs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原件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及代理人身份证复印件；委托代理人是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律师的，还应提交律师事务所的指派函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原件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及律师执业证复印件。</w:t>
      </w:r>
    </w:p>
    <w:p w14:paraId="364FC24B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8" w:line="480" w:lineRule="exact"/>
        <w:ind w:left="264" w:right="388" w:firstLine="5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3.证明债权事实的证据及相关材料。证据及相关材料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包括但不限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28"/>
          <w:szCs w:val="28"/>
          <w:lang w:val="en-US" w:eastAsia="en-US" w:bidi="ar-SA"/>
        </w:rPr>
        <w:t>于：</w:t>
      </w:r>
    </w:p>
    <w:p w14:paraId="09AF95D9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sectPr>
          <w:pgSz w:w="11900" w:h="16820"/>
          <w:pgMar w:top="1320" w:right="1253" w:bottom="0" w:left="1403" w:header="0" w:footer="0" w:gutter="0"/>
          <w:cols w:space="720" w:num="1"/>
        </w:sectPr>
      </w:pPr>
    </w:p>
    <w:p w14:paraId="55FE12DD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56" w:line="480" w:lineRule="exact"/>
        <w:ind w:left="3" w:right="2" w:firstLine="597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(1)各类合同书等债权原始材料及票据、转账单、对账单等原始履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行凭证原件和复印件；</w:t>
      </w:r>
    </w:p>
    <w:p w14:paraId="603F3650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9" w:line="480" w:lineRule="exact"/>
        <w:ind w:left="3" w:firstLine="597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(2)债权如有担保，还须提交抵押合同、质押合同、保证合同等相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 xml:space="preserve">关合同及相关的抵押、质押登记证件(包括但不限于他项权利证明)等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担保原始材料原件和复印件；</w:t>
      </w:r>
    </w:p>
    <w:p w14:paraId="26E4AAD8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10" w:line="480" w:lineRule="exact"/>
        <w:ind w:left="4" w:right="2" w:firstLine="59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(3)债权的发生、变更(包括但不限于债权转让、债务承担、合同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转让、债权债务重组、抵销、清偿)等原始材料原件和复印件；</w:t>
      </w:r>
    </w:p>
    <w:p w14:paraId="583B9F51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9" w:line="480" w:lineRule="exact"/>
        <w:ind w:left="3" w:firstLine="597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(4)债权如涉及诉讼、仲裁、调解、保全、执行，则须提交诉讼、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仲裁、调解、保全、执行有关的文件(包括但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不限于已经判决正在执行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或正在进行中的案件的起诉状、仲裁申请书、诉讼保全申请书、保全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裁定书、生效判决书、调解书、裁决书、执行申请书、法院执行裁定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书、法院执行案件通知书等)原件(原件核对后归还)及复印件；</w:t>
      </w:r>
    </w:p>
    <w:p w14:paraId="28FC6B27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8" w:line="480" w:lineRule="exact"/>
        <w:ind w:left="60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(5)债权人主张债权的相关证明材料，如催款、催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收通知等；</w:t>
      </w:r>
    </w:p>
    <w:p w14:paraId="5B62F3F1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10" w:line="480" w:lineRule="exact"/>
        <w:ind w:left="4" w:right="2" w:firstLine="59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(6)能够证明债权发生、变更、存续、诉讼时效中止、</w:t>
      </w:r>
      <w:r>
        <w:rPr>
          <w:rFonts w:ascii="仿宋" w:hAnsi="仿宋" w:eastAsia="仿宋" w:cs="仿宋"/>
          <w:snapToGrid w:val="0"/>
          <w:color w:val="000000"/>
          <w:spacing w:val="-69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中断、延长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及其金额等情况的其他材料原件及复印件；</w:t>
      </w:r>
    </w:p>
    <w:p w14:paraId="453131C3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6" w:line="480" w:lineRule="exact"/>
        <w:ind w:firstLine="60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en-US" w:bidi="ar-SA"/>
        </w:rPr>
        <w:t>(7)利息等债权明细的计算过程说明。生效裁判文书、合同或协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议、履行合同的证据、付款凭证、银行凭单、对账单、收货单、收据或发票、往来函件、权利登记证明文件等；相关权利已经得到生效裁判文书确认的，还应当提交裁判文书已经发生法律效力的证明材料；申报人申报的债权还有其他债务人的，应当说明其他债务人的履行情</w:t>
      </w: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况。</w:t>
      </w:r>
    </w:p>
    <w:p w14:paraId="6702B53F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4" w:line="480" w:lineRule="exact"/>
        <w:ind w:left="556" w:right="1091" w:hanging="6"/>
        <w:jc w:val="both"/>
        <w:textAlignment w:val="baseline"/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4.债权人本人开户的银行卡或存折（复印件签字确认）。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 xml:space="preserve"> </w:t>
      </w:r>
    </w:p>
    <w:p w14:paraId="2E9FB385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4" w:line="480" w:lineRule="exact"/>
        <w:ind w:left="556" w:right="1091" w:hanging="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5.</w:t>
      </w:r>
      <w:r>
        <w:rPr>
          <w:rFonts w:ascii="仿宋" w:hAnsi="仿宋" w:eastAsia="仿宋" w:cs="仿宋"/>
          <w:snapToGrid w:val="0"/>
          <w:color w:val="000000"/>
          <w:spacing w:val="-74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申报方式分别需要提交资料的类型如下：</w:t>
      </w:r>
    </w:p>
    <w:p w14:paraId="07650E29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9" w:line="480" w:lineRule="exact"/>
        <w:ind w:right="2" w:firstLine="559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（1）采用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网络平台方式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申报债权的债权人，提交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原件的照片或扫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描件</w:t>
      </w:r>
      <w:r>
        <w:rPr>
          <w:rFonts w:ascii="仿宋" w:hAnsi="仿宋" w:eastAsia="仿宋" w:cs="仿宋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；</w:t>
      </w:r>
    </w:p>
    <w:p w14:paraId="28F2CFF1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6" w:line="480" w:lineRule="exact"/>
        <w:ind w:right="2" w:firstLine="564" w:firstLineChars="20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（2）采用</w:t>
      </w:r>
      <w:r>
        <w:rPr>
          <w:rFonts w:ascii="仿宋" w:hAnsi="仿宋" w:eastAsia="仿宋" w:cs="仿宋"/>
          <w:b/>
          <w:bCs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邮寄方式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申报债权的债权人，除本须知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中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已标明必须提</w:t>
      </w:r>
    </w:p>
    <w:p w14:paraId="6BFCEF1D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sectPr>
          <w:pgSz w:w="11900" w:h="16820"/>
          <w:pgMar w:top="1346" w:right="1642" w:bottom="0" w:left="1661" w:header="0" w:footer="0" w:gutter="0"/>
          <w:cols w:space="720" w:num="1"/>
        </w:sectPr>
      </w:pPr>
    </w:p>
    <w:p w14:paraId="51A04CE3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57" w:line="480" w:lineRule="exact"/>
        <w:ind w:left="1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供原件的材料外，只须提供其余材料的复印件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，同时准备原件备查；</w:t>
      </w:r>
    </w:p>
    <w:p w14:paraId="6390441F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7" w:line="480" w:lineRule="exact"/>
        <w:ind w:left="3" w:firstLine="557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（3）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现场申报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的债权人，</w:t>
      </w:r>
      <w:r>
        <w:rPr>
          <w:rFonts w:ascii="仿宋" w:hAnsi="仿宋" w:eastAsia="仿宋" w:cs="仿宋"/>
          <w:snapToGrid w:val="0"/>
          <w:color w:val="000000"/>
          <w:spacing w:val="-79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申报时须携带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全</w:t>
      </w:r>
      <w:r>
        <w:rPr>
          <w:rFonts w:ascii="仿宋" w:hAnsi="仿宋" w:eastAsia="仿宋" w:cs="仿宋"/>
          <w:b/>
          <w:b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部材料的原件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供核对并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提供</w:t>
      </w:r>
      <w:r>
        <w:rPr>
          <w:rFonts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复印件壹份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供留存。</w:t>
      </w:r>
    </w:p>
    <w:p w14:paraId="0147FED5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169" w:line="480" w:lineRule="exact"/>
        <w:ind w:left="569"/>
        <w:jc w:val="both"/>
        <w:textAlignment w:val="baseline"/>
        <w:outlineLvl w:val="1"/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二、注意事项</w:t>
      </w:r>
    </w:p>
    <w:p w14:paraId="1947A3C6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5" w:line="480" w:lineRule="exact"/>
        <w:ind w:right="2" w:firstLine="571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1.</w:t>
      </w:r>
      <w:r>
        <w:rPr>
          <w:rFonts w:ascii="仿宋" w:hAnsi="仿宋" w:eastAsia="仿宋" w:cs="仿宋"/>
          <w:snapToGrid w:val="0"/>
          <w:color w:val="000000"/>
          <w:spacing w:val="-76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申报债权的金额必须明确具体。如申报的债权涉及利息、违约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金等，则计算的截止日期为：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9"/>
          <w:kern w:val="0"/>
          <w:sz w:val="28"/>
          <w:szCs w:val="28"/>
          <w:lang w:val="en-US" w:eastAsia="zh-CN" w:bidi="ar-SA"/>
        </w:rPr>
        <w:t>2024年4月30日</w:t>
      </w: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。</w:t>
      </w:r>
    </w:p>
    <w:p w14:paraId="730285D8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4" w:line="480" w:lineRule="exact"/>
        <w:ind w:left="4" w:right="2" w:firstLine="5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2.债权申报通知书的送达不构成对无效债权的重新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确认，也不导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致债权诉讼时效中止、中断或延长等法律后果。</w:t>
      </w:r>
    </w:p>
    <w:p w14:paraId="62E102C8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5" w:line="480" w:lineRule="exact"/>
        <w:ind w:left="1" w:firstLine="554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3.</w:t>
      </w:r>
      <w:r>
        <w:rPr>
          <w:rFonts w:ascii="仿宋" w:hAnsi="仿宋" w:eastAsia="仿宋" w:cs="仿宋"/>
          <w:snapToGrid w:val="0"/>
          <w:color w:val="000000"/>
          <w:spacing w:val="-66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申报材料必须符合规定要求，并直接递交管理人。</w:t>
      </w:r>
      <w:r>
        <w:rPr>
          <w:rFonts w:ascii="仿宋" w:hAnsi="仿宋" w:eastAsia="仿宋" w:cs="仿宋"/>
          <w:snapToGrid w:val="0"/>
          <w:color w:val="000000"/>
          <w:spacing w:val="-74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申报人如提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供伪造、变造等虚假证据及相关材料，以及对重要事实拒绝陈述或作虚假陈述的，将承担相应的法律责任，情节严重构成犯罪的，移交司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法机关处理。</w:t>
      </w:r>
    </w:p>
    <w:p w14:paraId="1AC5DC4C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4" w:line="480" w:lineRule="exact"/>
        <w:ind w:firstLine="5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262626"/>
          <w:kern w:val="0"/>
          <w:sz w:val="28"/>
          <w:szCs w:val="28"/>
          <w:lang w:val="en-US" w:eastAsia="en-US" w:bidi="ar-SA"/>
        </w:rPr>
        <w:t>4.</w:t>
      </w:r>
      <w:r>
        <w:rPr>
          <w:rFonts w:ascii="仿宋" w:hAnsi="仿宋" w:eastAsia="仿宋" w:cs="仿宋"/>
          <w:snapToGrid w:val="0"/>
          <w:color w:val="262626"/>
          <w:spacing w:val="-64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申报时间：申报人须在</w:t>
      </w:r>
      <w:r>
        <w:rPr>
          <w:rFonts w:ascii="仿宋" w:hAnsi="仿宋" w:eastAsia="仿宋" w:cs="仿宋"/>
          <w:snapToGrid w:val="0"/>
          <w:color w:val="000000"/>
          <w:spacing w:val="-38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2024</w:t>
      </w:r>
      <w:r>
        <w:rPr>
          <w:rFonts w:ascii="仿宋" w:hAnsi="仿宋" w:eastAsia="仿宋" w:cs="仿宋"/>
          <w:snapToGrid w:val="0"/>
          <w:color w:val="000000"/>
          <w:spacing w:val="-26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-33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zh-CN" w:bidi="ar-SA"/>
        </w:rPr>
        <w:t>9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>月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5"/>
          <w:kern w:val="0"/>
          <w:sz w:val="28"/>
          <w:szCs w:val="28"/>
          <w:lang w:val="en-US" w:eastAsia="zh-CN" w:bidi="ar-SA"/>
        </w:rPr>
        <w:t>15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日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前向管理人申报债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权，具体申报时间：</w:t>
      </w:r>
      <w:r>
        <w:rPr>
          <w:rFonts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工作日上午</w:t>
      </w:r>
      <w:r>
        <w:rPr>
          <w:rFonts w:ascii="仿宋" w:hAnsi="仿宋" w:eastAsia="仿宋" w:cs="仿宋"/>
          <w:snapToGrid w:val="0"/>
          <w:color w:val="000000"/>
          <w:spacing w:val="-55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9:30-12:00，下午</w:t>
      </w:r>
      <w:r>
        <w:rPr>
          <w:rFonts w:ascii="仿宋" w:hAnsi="仿宋" w:eastAsia="仿宋" w:cs="仿宋"/>
          <w:snapToGrid w:val="0"/>
          <w:color w:val="000000"/>
          <w:spacing w:val="4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14:30-17:00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（非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工作时间仅接收网络平台、邮寄申报）。</w:t>
      </w:r>
    </w:p>
    <w:p w14:paraId="124A85D9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50" w:line="480" w:lineRule="exact"/>
        <w:ind w:firstLine="55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5.请各债权人在收到申报通知后及时向管理人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提交申报资料。如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各债权人迟延申报，造成大量债权集中于申报截止日前的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数日</w:t>
      </w:r>
      <w:r>
        <w:rPr>
          <w:rFonts w:ascii="仿宋" w:hAnsi="仿宋" w:eastAsia="仿宋" w:cs="仿宋"/>
          <w:snapToGrid w:val="0"/>
          <w:color w:val="000000"/>
          <w:spacing w:val="-7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内</w:t>
      </w:r>
      <w:r>
        <w:rPr>
          <w:rFonts w:ascii="仿宋" w:hAnsi="仿宋" w:eastAsia="仿宋" w:cs="仿宋"/>
          <w:snapToGrid w:val="0"/>
          <w:color w:val="000000"/>
          <w:spacing w:val="-65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申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报，可能导致债权申报、审查工作难以及时完成，进而影响债权人表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决权的行使。</w:t>
      </w:r>
    </w:p>
    <w:p w14:paraId="5EEEC3F3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5" w:line="480" w:lineRule="exact"/>
        <w:ind w:left="3" w:firstLine="5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6.如债权人未在</w:t>
      </w:r>
      <w:r>
        <w:rPr>
          <w:rFonts w:ascii="仿宋" w:hAnsi="仿宋" w:eastAsia="仿宋" w:cs="仿宋"/>
          <w:snapToGrid w:val="0"/>
          <w:color w:val="000000"/>
          <w:spacing w:val="-5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2024</w:t>
      </w:r>
      <w:r>
        <w:rPr>
          <w:rFonts w:ascii="仿宋" w:hAnsi="仿宋" w:eastAsia="仿宋" w:cs="仿宋"/>
          <w:snapToGrid w:val="0"/>
          <w:color w:val="000000"/>
          <w:spacing w:val="-38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年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45"/>
          <w:kern w:val="0"/>
          <w:sz w:val="28"/>
          <w:szCs w:val="28"/>
          <w:lang w:val="en-US" w:eastAsia="zh-CN" w:bidi="ar-SA"/>
        </w:rPr>
        <w:t>9</w:t>
      </w:r>
      <w:r>
        <w:rPr>
          <w:rFonts w:ascii="仿宋" w:hAnsi="仿宋" w:eastAsia="仿宋" w:cs="仿宋"/>
          <w:b/>
          <w:bCs/>
          <w:snapToGrid w:val="0"/>
          <w:color w:val="000000"/>
          <w:spacing w:val="-3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-48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zh-CN" w:bidi="ar-SA"/>
        </w:rPr>
        <w:t>15</w:t>
      </w:r>
      <w:r>
        <w:rPr>
          <w:rFonts w:ascii="仿宋" w:hAnsi="仿宋" w:eastAsia="仿宋" w:cs="仿宋"/>
          <w:b/>
          <w:bCs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日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前申报债权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的</w:t>
      </w: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，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可以在破产财</w:t>
      </w:r>
      <w:r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产分配方案提交债权人会议讨论前补充申报，但对此前已进行的分配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无权要求补充分配，</w:t>
      </w:r>
      <w:r>
        <w:rPr>
          <w:rFonts w:ascii="仿宋" w:hAnsi="仿宋" w:eastAsia="仿宋" w:cs="仿宋"/>
          <w:snapToGrid w:val="0"/>
          <w:color w:val="000000"/>
          <w:spacing w:val="-73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b/>
          <w:bCs/>
          <w:snapToGrid w:val="0"/>
          <w:color w:val="000000"/>
          <w:spacing w:val="2"/>
          <w:kern w:val="0"/>
          <w:sz w:val="28"/>
          <w:szCs w:val="28"/>
          <w:lang w:val="en-US" w:eastAsia="en-US" w:bidi="ar-SA"/>
        </w:rPr>
        <w:t>同时要承担为审查和确认补充申报债权所产生的</w:t>
      </w:r>
      <w:r>
        <w:rPr>
          <w:rFonts w:ascii="仿宋" w:hAnsi="仿宋" w:eastAsia="仿宋" w:cs="仿宋"/>
          <w:b/>
          <w:bCs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费用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。未申报债权的不得依照《中华人民共和国企业破产法》规定的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程序行使权利。</w:t>
      </w:r>
    </w:p>
    <w:p w14:paraId="117FB02C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7" w:line="480" w:lineRule="exact"/>
        <w:ind w:right="4" w:firstLine="578" w:firstLineChars="200"/>
        <w:jc w:val="both"/>
        <w:textAlignment w:val="baseline"/>
        <w:outlineLvl w:val="2"/>
        <w:rPr>
          <w:rFonts w:ascii="仿宋" w:hAnsi="仿宋" w:eastAsia="仿宋" w:cs="仿宋"/>
          <w:b/>
          <w:bCs/>
          <w:snapToGrid w:val="0"/>
          <w:color w:val="000000"/>
          <w:spacing w:val="3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7.债权人保证所提供的送达地址和接受电</w:t>
      </w:r>
      <w:r>
        <w:rPr>
          <w:rFonts w:ascii="仿宋" w:hAnsi="仿宋" w:eastAsia="仿宋" w:cs="仿宋"/>
          <w:b/>
          <w:bCs/>
          <w:snapToGrid w:val="0"/>
          <w:color w:val="000000"/>
          <w:spacing w:val="3"/>
          <w:kern w:val="0"/>
          <w:sz w:val="28"/>
          <w:szCs w:val="28"/>
          <w:lang w:val="en-US" w:eastAsia="en-US" w:bidi="ar-SA"/>
        </w:rPr>
        <w:t>子送达方式各项内容</w:t>
      </w:r>
    </w:p>
    <w:p w14:paraId="5E0D9762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57" w:line="480" w:lineRule="exact"/>
        <w:jc w:val="both"/>
        <w:textAlignment w:val="baseline"/>
        <w:rPr>
          <w:rFonts w:hint="eastAsia" w:eastAsia="仿宋"/>
          <w:lang w:val="en-US" w:eastAsia="zh-CN"/>
        </w:rPr>
        <w:sectPr>
          <w:pgSz w:w="11900" w:h="16820"/>
          <w:pgMar w:top="1346" w:right="1642" w:bottom="0" w:left="1661" w:header="0" w:footer="0" w:gutter="0"/>
          <w:cols w:space="720" w:num="1"/>
        </w:sectPr>
      </w:pPr>
      <w:r>
        <w:rPr>
          <w:rFonts w:ascii="仿宋" w:hAnsi="仿宋" w:eastAsia="仿宋" w:cs="仿宋"/>
          <w:b/>
          <w:bCs/>
          <w:snapToGrid w:val="0"/>
          <w:color w:val="000000"/>
          <w:spacing w:val="3"/>
          <w:kern w:val="0"/>
          <w:sz w:val="28"/>
          <w:szCs w:val="28"/>
          <w:lang w:val="en-US" w:eastAsia="en-US" w:bidi="ar-SA"/>
        </w:rPr>
        <w:t>是</w:t>
      </w:r>
      <w:r>
        <w:rPr>
          <w:rFonts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正确、有效的，并同意管理人进行电子或线下送达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zh-CN" w:bidi="ar-SA"/>
        </w:rPr>
        <w:t>。</w:t>
      </w:r>
    </w:p>
    <w:p w14:paraId="72153B1E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326" w:line="480" w:lineRule="exact"/>
        <w:ind w:left="675"/>
        <w:jc w:val="both"/>
        <w:textAlignment w:val="baseline"/>
        <w:outlineLvl w:val="1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三、债权申报方式</w:t>
      </w:r>
    </w:p>
    <w:p w14:paraId="594AC189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10" w:line="480" w:lineRule="exact"/>
        <w:ind w:left="112" w:right="89" w:firstLine="55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债权人可以选择通过网络平台、邮寄及现场申报的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方式向管理人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申报债权，以上申报方式具有同等法律效力。</w:t>
      </w:r>
      <w:r>
        <w:rPr>
          <w:rFonts w:ascii="仿宋" w:hAnsi="仿宋" w:eastAsia="仿宋" w:cs="仿宋"/>
          <w:b/>
          <w:bCs/>
          <w:snapToGrid w:val="0"/>
          <w:color w:val="000000"/>
          <w:spacing w:val="5"/>
          <w:kern w:val="0"/>
          <w:sz w:val="28"/>
          <w:szCs w:val="28"/>
          <w:lang w:val="en-US" w:eastAsia="en-US" w:bidi="ar-SA"/>
        </w:rPr>
        <w:t>为提高债权申报工作效</w:t>
      </w:r>
      <w:r>
        <w:rPr>
          <w:rFonts w:ascii="仿宋" w:hAnsi="仿宋" w:eastAsia="仿宋" w:cs="仿宋"/>
          <w:b/>
          <w:bCs/>
          <w:snapToGrid w:val="0"/>
          <w:color w:val="000000"/>
          <w:spacing w:val="3"/>
          <w:kern w:val="0"/>
          <w:sz w:val="28"/>
          <w:szCs w:val="28"/>
          <w:lang w:val="en-US" w:eastAsia="en-US" w:bidi="ar-SA"/>
        </w:rPr>
        <w:t>率，降低债权人申报债权的时间及人力成本，管理人建议、鼓励债权</w:t>
      </w:r>
      <w:r>
        <w:rPr>
          <w:rFonts w:ascii="仿宋" w:hAnsi="仿宋" w:eastAsia="仿宋" w:cs="仿宋"/>
          <w:b/>
          <w:bCs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人优先选择网络平台及邮寄方式申报债权。</w:t>
      </w:r>
      <w:r>
        <w:rPr>
          <w:rFonts w:ascii="仿宋" w:hAnsi="仿宋" w:eastAsia="仿宋" w:cs="仿宋"/>
          <w:snapToGrid w:val="0"/>
          <w:color w:val="000000"/>
          <w:spacing w:val="-82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申报方式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具体如下：</w:t>
      </w:r>
    </w:p>
    <w:p w14:paraId="102AEB6F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48" w:line="480" w:lineRule="exact"/>
        <w:ind w:left="688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邮寄申报、现场申报：</w:t>
      </w:r>
    </w:p>
    <w:p w14:paraId="09CED3A5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6" w:line="480" w:lineRule="exact"/>
        <w:ind w:left="109" w:right="89" w:firstLine="560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  <w:t>联系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地址：湖南省长沙市岳麓区茶子山东路112号湘江财富金融中心D座２５楼湖南见田律师事务所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  <w:t>。</w:t>
      </w:r>
    </w:p>
    <w:p w14:paraId="7FEE7BDD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6" w:line="480" w:lineRule="exact"/>
        <w:ind w:left="109" w:right="89" w:firstLine="560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>联系方式：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  <w:t>刘律师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  <w:t xml:space="preserve">  15802508663</w:t>
      </w:r>
    </w:p>
    <w:p w14:paraId="04F11200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206" w:line="480" w:lineRule="exact"/>
        <w:ind w:left="109" w:right="89" w:firstLine="56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8"/>
          <w:szCs w:val="28"/>
          <w:lang w:val="en-US" w:eastAsia="en-US" w:bidi="ar-SA"/>
        </w:rPr>
        <w:t>债权人以邮寄方式申报债权的，须自行承担邮寄费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 w:val="en-US" w:eastAsia="en-US" w:bidi="ar-SA"/>
        </w:rPr>
        <w:t>用，管理人不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接受以到付方式邮寄的债权申报。</w:t>
      </w:r>
    </w:p>
    <w:p w14:paraId="27B4B156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A287013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6EA369D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78BF9EC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both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FF8017F"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/>
        <w:autoSpaceDN/>
        <w:bidi w:val="0"/>
        <w:adjustRightInd/>
        <w:snapToGrid/>
        <w:spacing w:before="91" w:line="480" w:lineRule="exact"/>
        <w:ind w:left="5773" w:right="89" w:hanging="686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zh-CN" w:bidi="ar-SA"/>
        </w:rPr>
        <w:t>湖南泰德汽车空调有限公司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管理人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2024</w:t>
      </w:r>
      <w:r>
        <w:rPr>
          <w:rFonts w:ascii="仿宋" w:hAnsi="仿宋" w:eastAsia="仿宋" w:cs="仿宋"/>
          <w:snapToGrid w:val="0"/>
          <w:color w:val="000000"/>
          <w:spacing w:val="-42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年</w:t>
      </w:r>
      <w:r>
        <w:rPr>
          <w:rFonts w:hint="eastAsia" w:ascii="仿宋" w:hAnsi="仿宋" w:eastAsia="仿宋" w:cs="仿宋"/>
          <w:snapToGrid w:val="0"/>
          <w:color w:val="000000"/>
          <w:spacing w:val="-59"/>
          <w:kern w:val="0"/>
          <w:sz w:val="28"/>
          <w:szCs w:val="28"/>
          <w:lang w:val="en-US" w:eastAsia="zh-CN" w:bidi="ar-SA"/>
        </w:rPr>
        <w:t>8</w:t>
      </w:r>
      <w:r>
        <w:rPr>
          <w:rFonts w:ascii="仿宋" w:hAnsi="仿宋" w:eastAsia="仿宋" w:cs="仿宋"/>
          <w:snapToGrid w:val="0"/>
          <w:color w:val="000000"/>
          <w:spacing w:val="-37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-4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spacing w:val="-10"/>
          <w:kern w:val="0"/>
          <w:sz w:val="28"/>
          <w:szCs w:val="28"/>
          <w:lang w:val="en-US" w:eastAsia="zh-CN" w:bidi="ar-SA"/>
        </w:rPr>
        <w:t>16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日</w:t>
      </w:r>
    </w:p>
    <w:p w14:paraId="578CB72A">
      <w:pPr>
        <w:widowControl/>
        <w:kinsoku w:val="0"/>
        <w:autoSpaceDE w:val="0"/>
        <w:autoSpaceDN w:val="0"/>
        <w:adjustRightInd w:val="0"/>
        <w:snapToGrid w:val="0"/>
        <w:spacing w:line="3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</w:p>
    <w:tbl>
      <w:tblPr>
        <w:tblStyle w:val="5"/>
        <w:tblW w:w="87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5"/>
      </w:tblGrid>
      <w:tr w14:paraId="74A91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3049" w:hRule="atLeast"/>
        </w:trPr>
        <w:tc>
          <w:tcPr>
            <w:tcW w:w="8785" w:type="dxa"/>
            <w:vAlign w:val="top"/>
          </w:tcPr>
          <w:p w14:paraId="49F3A8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4" w:line="222" w:lineRule="auto"/>
              <w:ind w:left="13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eastAsia="en-US"/>
              </w:rPr>
              <w:t>以上《债权申报须知》内容已经知悉，现予确认。</w:t>
            </w:r>
          </w:p>
          <w:p w14:paraId="3ECB1A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4D0C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1B74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9269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2" w:lineRule="auto"/>
              <w:ind w:left="486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eastAsia="en-US"/>
              </w:rPr>
              <w:t>债权申报人：</w:t>
            </w:r>
          </w:p>
          <w:p w14:paraId="04E88F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A597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CD22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596E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3" w:lineRule="auto"/>
              <w:ind w:left="59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8"/>
                <w:kern w:val="0"/>
                <w:sz w:val="28"/>
                <w:szCs w:val="28"/>
                <w:lang w:eastAsia="en-US"/>
              </w:rPr>
              <w:t>年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10"/>
                <w:kern w:val="0"/>
                <w:sz w:val="28"/>
                <w:szCs w:val="28"/>
                <w:lang w:eastAsia="en-US"/>
              </w:rPr>
              <w:t xml:space="preserve"> 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8"/>
                <w:kern w:val="0"/>
                <w:sz w:val="28"/>
                <w:szCs w:val="28"/>
                <w:lang w:eastAsia="en-US"/>
              </w:rPr>
              <w:t>月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25"/>
                <w:kern w:val="0"/>
                <w:sz w:val="28"/>
                <w:szCs w:val="28"/>
                <w:lang w:eastAsia="en-US"/>
              </w:rPr>
              <w:t xml:space="preserve"> 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8"/>
                <w:kern w:val="0"/>
                <w:sz w:val="28"/>
                <w:szCs w:val="28"/>
                <w:lang w:eastAsia="en-US"/>
              </w:rPr>
              <w:t>日</w:t>
            </w:r>
          </w:p>
        </w:tc>
      </w:tr>
    </w:tbl>
    <w:p w14:paraId="17DF2B3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67D7701"/>
    <w:sectPr>
      <w:pgSz w:w="11900" w:h="16820"/>
      <w:pgMar w:top="1346" w:right="1555" w:bottom="0" w:left="155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kYTczMGM3NWY5NzBkYWM2MmM2YjE3NmFlYTU2YjYifQ=="/>
  </w:docVars>
  <w:rsids>
    <w:rsidRoot w:val="101E072A"/>
    <w:rsid w:val="101E072A"/>
    <w:rsid w:val="3F26232B"/>
    <w:rsid w:val="63A21A39"/>
    <w:rsid w:val="FBEB74AB"/>
    <w:rsid w:val="FF3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rPr>
      <w:rFonts w:hint="eastAsia" w:ascii="Times New Roman" w:hAnsi="Times New Roman" w:eastAsia="宋体" w:cs="Times New Roma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2018</Words>
  <Characters>2104</Characters>
  <Lines>0</Lines>
  <Paragraphs>0</Paragraphs>
  <TotalTime>21</TotalTime>
  <ScaleCrop>false</ScaleCrop>
  <LinksUpToDate>false</LinksUpToDate>
  <CharactersWithSpaces>2245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2024-08-20T00:29:00Z</dcterms:created>
  <dc:creator>余律师</dc:creator>
  <cp:lastModifiedBy>湖南 刘律师</cp:lastModifiedBy>
  <dcterms:modified xsi:type="dcterms:W3CDTF">2024-08-20T21:31:58Z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37673D7709524B3F8471145A9BF8792A_11</vt:lpwstr>
  </property>
</Properties>
</file>