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2BB6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center"/>
        <w:textAlignment w:val="auto"/>
        <w:rPr>
          <w:rFonts w:hint="eastAsia" w:ascii="方正小标宋简体" w:hAnsi="方正小标宋简体" w:eastAsia="方正小标宋简体" w:cs="方正小标宋简体"/>
          <w:i w:val="0"/>
          <w:iCs w:val="0"/>
          <w:caps w:val="0"/>
          <w:color w:val="000000"/>
          <w:spacing w:val="0"/>
          <w:sz w:val="36"/>
          <w:szCs w:val="36"/>
          <w:shd w:val="clear" w:fill="FFFFFF"/>
          <w:lang w:val="en-US" w:eastAsia="zh-CN"/>
        </w:rPr>
      </w:pPr>
      <w:r>
        <w:rPr>
          <w:rFonts w:hint="eastAsia" w:ascii="方正小标宋简体" w:hAnsi="方正小标宋简体" w:eastAsia="方正小标宋简体" w:cs="方正小标宋简体"/>
          <w:i w:val="0"/>
          <w:iCs w:val="0"/>
          <w:caps w:val="0"/>
          <w:color w:val="000000"/>
          <w:spacing w:val="0"/>
          <w:sz w:val="36"/>
          <w:szCs w:val="36"/>
          <w:shd w:val="clear" w:fill="FFFFFF"/>
          <w:lang w:val="en-US" w:eastAsia="zh-CN"/>
        </w:rPr>
        <w:t>标的物介绍</w:t>
      </w:r>
      <w:bookmarkStart w:id="0" w:name="_GoBack"/>
      <w:bookmarkEnd w:id="0"/>
    </w:p>
    <w:p w14:paraId="1675CC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shd w:val="clear" w:fill="FFFFFF"/>
        </w:rPr>
        <w:t>本次拍卖标的物为陕西双翼石油化工有限责任公司对外投资的内蒙古七星矿业有限公司100%的股权及享有该司的全部债权。</w:t>
      </w:r>
    </w:p>
    <w:p w14:paraId="746F38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截至审计基准日2018年09月29日，陕西双翼石油化工有限责任公司（下称“破产人”）对内蒙古七星矿业有限公司(下称“七星矿业”)享有债权130,430,000.00元，七星矿业账面资产总额为218,224,491.76元，负债总额为281,325,870.34元，所有者权益总额为-63,101,378.58元。本次拍卖保留价的确定为破产人对七星矿业享有的债权数额与100%股权对应的所有者权益数额的加和，即67,328.621.42元。具体情况及注意事项如下：</w:t>
      </w:r>
    </w:p>
    <w:p w14:paraId="762736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shd w:val="clear" w:fill="FFFFFF"/>
        </w:rPr>
        <w:t>一、财产情况</w:t>
      </w:r>
    </w:p>
    <w:p w14:paraId="755F65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(一)对外投资情况</w:t>
      </w:r>
    </w:p>
    <w:p w14:paraId="08EC90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七星矿业为破产人的全资子公司，注册资本2000万人民币，实缴资本2000万人民币，破产人的股权占比为100%。该司成立于2009年5月14日，统一社会信用代码为911529216865441400，法定代表人为高禄，许可经营项目为筹建，一般经营项目为陶土、高岭土开采加工销售；地墙瓷砖、墙体砌块、油漆、涂料的销售；煤炭购销、运输。</w:t>
      </w:r>
    </w:p>
    <w:p w14:paraId="53FEE4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(二)破产人对七星矿业享有的债权情况</w:t>
      </w:r>
    </w:p>
    <w:p w14:paraId="461A93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破产人曾向七星矿业出借款项，未签订借款合同，未约定借款利息，七星矿业亦未向破产人归还。根据管理人聘请的审计机构审计，截至审计基准日2018年9月29日，七星矿业尚欠付破产人借款人民币130,430000.00元(大写:壹亿叁仟零肆拾叁万元整)。</w:t>
      </w:r>
    </w:p>
    <w:p w14:paraId="53D63E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（三）七星矿业主要资产情况</w:t>
      </w:r>
    </w:p>
    <w:p w14:paraId="539CBE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七星矿业主要资产为五个陶粒土矿，分别是:革文图矿、三陶勒盖井矿、宝尔陶勒盖矿、土梁子矿和葡萄墩矿，占地30.978平方公里。采矿许可证证号分别为:C1529002010097130074583、C1529002010097130074584、C1529002010097130074585、C1529002010096130074586、C1529002013067130130431，开采方式均为露天开采。上述五个采矿许可证已陆续于2020年至2021年全部到期，尚未办理续期手续。</w:t>
      </w:r>
    </w:p>
    <w:p w14:paraId="0DF68E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根据管理人聘请的评估机构出具的报告显示，截至基准日2018年09月29日，七星矿业的资产总额218,224,491.76元，负债总计218,325,870.34元，所有者权益总额-63,101,378.58元。</w:t>
      </w:r>
    </w:p>
    <w:p w14:paraId="370DE8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shd w:val="clear" w:fill="FFFFFF"/>
        </w:rPr>
        <w:t>二、瑕疵和风险披露</w:t>
      </w:r>
    </w:p>
    <w:p w14:paraId="56DA42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鉴于七星矿业资产负债情况，管理人已向阿拉善左旗人民法院提出对七星矿业破产申请，法院裁定不予受理，经管理人上诉至阿拉善盟中级人民中院，该院于2022年7月18日做出裁定，驳回上诉，维持原裁定。</w:t>
      </w:r>
    </w:p>
    <w:p w14:paraId="2A342F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关于七星矿业的其他事项，包括但不限于该司涉及的诉讼案件、执行案件、矿权证到期情况、矿权证续办手续、资产现状等需要意向买受人自行调查。意向买受人参与本次拍卖并竞价成功后，视为对七星矿业的资产负债现状予以认可。</w:t>
      </w:r>
    </w:p>
    <w:p w14:paraId="23D449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shd w:val="clear" w:fill="FFFFFF"/>
        </w:rPr>
        <w:t>因该案持续时间较久等因素，管理人披露的关于七星矿业的资产情况、对外投资的资产情况以及负债情况与标的物的实际现状可能存在较大差异，竞买人需自行开展调查工作。标的物介绍情况仅为标的物起拍价的确定提供依据，请竞买人慎重决定竞买行为，买受人竞买成功以后不得以标的物资产现状与标的物介绍、公告、须知披露的内容不相符为理由进行悔拍。</w:t>
      </w:r>
    </w:p>
    <w:p w14:paraId="750746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40" w:firstLineChars="200"/>
        <w:textAlignment w:val="auto"/>
      </w:pPr>
      <w:r>
        <w:rPr>
          <w:rFonts w:hint="eastAsia" w:ascii="宋体" w:hAnsi="宋体" w:eastAsia="宋体" w:cs="宋体"/>
          <w:i w:val="0"/>
          <w:iCs w:val="0"/>
          <w:caps w:val="0"/>
          <w:color w:val="000000"/>
          <w:spacing w:val="0"/>
          <w:sz w:val="27"/>
          <w:szCs w:val="27"/>
          <w:shd w:val="clear" w:fill="FFFFFF"/>
        </w:rPr>
        <w:t>买受人竞拍成功后需自行完成股权过户、矿权证过户及续期等手续并承担全部费用，管理人仅负责提供必要协助(管理人协助过程中所产生的费用均由买受人承担)。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18AC2047"/>
    <w:rsid w:val="2C1C7DE5"/>
    <w:rsid w:val="4BD941FC"/>
    <w:rsid w:val="5A9E32D5"/>
    <w:rsid w:val="5ABF5AD4"/>
    <w:rsid w:val="5C497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1116</Words>
  <Characters>1407</Characters>
  <Lines>0</Lines>
  <Paragraphs>0</Paragraphs>
  <TotalTime>1</TotalTime>
  <ScaleCrop>false</ScaleCrop>
  <LinksUpToDate>false</LinksUpToDate>
  <CharactersWithSpaces>1407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2024-05-17T03:24:00Z</dcterms:created>
  <dc:creator>Administrator</dc:creator>
  <cp:lastModifiedBy>liu</cp:lastModifiedBy>
  <dcterms:modified xsi:type="dcterms:W3CDTF">2024-08-16T02:46:51Z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22F80BF0D5A8474FB37996BE139FB522_12</vt:lpwstr>
  </property>
</Properties>
</file>