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仿宋" w:hAnsi="仿宋" w:eastAsia="仿宋" w:cs="仿宋"/>
          <w:b/>
          <w:bCs/>
          <w:color w:val="0D0D0D" w:themeColor="text1" w:themeTint="F2"/>
          <w:sz w:val="32"/>
          <w:szCs w:val="32"/>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32"/>
          <w:szCs w:val="32"/>
          <w14:textFill>
            <w14:solidFill>
              <w14:schemeClr w14:val="tx1">
                <w14:lumMod w14:val="95000"/>
                <w14:lumOff w14:val="5000"/>
              </w14:schemeClr>
            </w14:solidFill>
          </w14:textFill>
        </w:rPr>
        <w:t>贵阳摩码拓展置业有限公司预重整</w:t>
      </w:r>
      <w:r>
        <w:rPr>
          <w:rFonts w:hint="eastAsia" w:ascii="仿宋" w:hAnsi="仿宋" w:eastAsia="仿宋" w:cs="仿宋"/>
          <w:b/>
          <w:bCs/>
          <w:color w:val="0D0D0D" w:themeColor="text1" w:themeTint="F2"/>
          <w:sz w:val="32"/>
          <w:szCs w:val="32"/>
          <w:lang w:val="en-US" w:eastAsia="zh-CN"/>
          <w14:textFill>
            <w14:solidFill>
              <w14:schemeClr w14:val="tx1">
                <w14:lumMod w14:val="95000"/>
                <w14:lumOff w14:val="5000"/>
              </w14:schemeClr>
            </w14:solidFill>
          </w14:textFill>
        </w:rPr>
        <w:t>登记</w:t>
      </w:r>
    </w:p>
    <w:p>
      <w:pPr>
        <w:spacing w:line="560" w:lineRule="exact"/>
        <w:jc w:val="center"/>
        <w:rPr>
          <w:rFonts w:ascii="仿宋" w:hAnsi="仿宋" w:eastAsia="仿宋" w:cs="仿宋"/>
          <w:b/>
          <w:bCs/>
          <w:color w:val="0D0D0D" w:themeColor="text1" w:themeTint="F2"/>
          <w:sz w:val="32"/>
          <w:szCs w:val="32"/>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32"/>
          <w:szCs w:val="32"/>
          <w14:textFill>
            <w14:solidFill>
              <w14:schemeClr w14:val="tx1">
                <w14:lumMod w14:val="95000"/>
                <w14:lumOff w14:val="5000"/>
              </w14:schemeClr>
            </w14:solidFill>
          </w14:textFill>
        </w:rPr>
        <w:t>债权申报及临时债权人会议公告</w:t>
      </w:r>
    </w:p>
    <w:p>
      <w:pPr>
        <w:spacing w:line="560" w:lineRule="exact"/>
        <w:jc w:val="right"/>
        <w:rPr>
          <w:rStyle w:val="14"/>
          <w:rFonts w:ascii="仿宋" w:hAnsi="仿宋" w:eastAsia="仿宋" w:cs="仿宋"/>
          <w:i w:val="0"/>
          <w:iCs w:val="0"/>
          <w:color w:val="0D0D0D" w:themeColor="text1" w:themeTint="F2"/>
          <w:sz w:val="28"/>
          <w:szCs w:val="28"/>
          <w:highlight w:val="none"/>
          <w14:textFill>
            <w14:solidFill>
              <w14:schemeClr w14:val="tx1">
                <w14:lumMod w14:val="95000"/>
                <w14:lumOff w14:val="5000"/>
              </w14:schemeClr>
            </w14:solidFill>
          </w14:textFill>
        </w:rPr>
      </w:pPr>
      <w:r>
        <w:rPr>
          <w:rStyle w:val="14"/>
          <w:rFonts w:hint="eastAsia" w:ascii="仿宋" w:hAnsi="仿宋" w:eastAsia="仿宋" w:cs="仿宋"/>
          <w:i w:val="0"/>
          <w:iCs w:val="0"/>
          <w:color w:val="0D0D0D" w:themeColor="text1" w:themeTint="F2"/>
          <w:sz w:val="28"/>
          <w:szCs w:val="28"/>
          <w:highlight w:val="none"/>
          <w14:textFill>
            <w14:solidFill>
              <w14:schemeClr w14:val="tx1">
                <w14:lumMod w14:val="95000"/>
                <w14:lumOff w14:val="5000"/>
              </w14:schemeClr>
            </w14:solidFill>
          </w14:textFill>
        </w:rPr>
        <w:t>（202</w:t>
      </w:r>
      <w:r>
        <w:rPr>
          <w:rStyle w:val="14"/>
          <w:rFonts w:hint="eastAsia" w:ascii="仿宋" w:hAnsi="仿宋" w:eastAsia="仿宋" w:cs="仿宋"/>
          <w:i w:val="0"/>
          <w:iCs w:val="0"/>
          <w:color w:val="0D0D0D" w:themeColor="text1" w:themeTint="F2"/>
          <w:sz w:val="28"/>
          <w:szCs w:val="28"/>
          <w:highlight w:val="none"/>
          <w:lang w:val="en-US" w:eastAsia="zh-CN"/>
          <w14:textFill>
            <w14:solidFill>
              <w14:schemeClr w14:val="tx1">
                <w14:lumMod w14:val="95000"/>
                <w14:lumOff w14:val="5000"/>
              </w14:schemeClr>
            </w14:solidFill>
          </w14:textFill>
        </w:rPr>
        <w:t>4</w:t>
      </w:r>
      <w:r>
        <w:rPr>
          <w:rStyle w:val="14"/>
          <w:rFonts w:hint="eastAsia" w:ascii="仿宋" w:hAnsi="仿宋" w:eastAsia="仿宋" w:cs="仿宋"/>
          <w:i w:val="0"/>
          <w:iCs w:val="0"/>
          <w:color w:val="0D0D0D" w:themeColor="text1" w:themeTint="F2"/>
          <w:sz w:val="28"/>
          <w:szCs w:val="28"/>
          <w:highlight w:val="none"/>
          <w14:textFill>
            <w14:solidFill>
              <w14:schemeClr w14:val="tx1">
                <w14:lumMod w14:val="95000"/>
                <w14:lumOff w14:val="5000"/>
              </w14:schemeClr>
            </w14:solidFill>
          </w14:textFill>
        </w:rPr>
        <w:t>）摩码预管字第1号</w:t>
      </w:r>
    </w:p>
    <w:p>
      <w:pPr>
        <w:spacing w:line="560" w:lineRule="exact"/>
        <w:rPr>
          <w:rFonts w:ascii="仿宋" w:hAnsi="仿宋" w:eastAsia="仿宋" w:cs="仿宋"/>
          <w:b/>
          <w:bCs/>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28"/>
          <w:szCs w:val="28"/>
          <w14:textFill>
            <w14:solidFill>
              <w14:schemeClr w14:val="tx1">
                <w14:lumMod w14:val="95000"/>
                <w14:lumOff w14:val="5000"/>
              </w14:schemeClr>
            </w14:solidFill>
          </w14:textFill>
        </w:rPr>
        <w:t>各位债权人：</w:t>
      </w:r>
    </w:p>
    <w:p>
      <w:pPr>
        <w:pStyle w:val="13"/>
        <w:spacing w:line="560" w:lineRule="exact"/>
        <w:ind w:firstLine="560" w:firstLineChars="200"/>
        <w:rPr>
          <w:rFonts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贵州省</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清镇市</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人民法院于202</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4</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年</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8</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月</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19</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日作出</w:t>
      </w:r>
      <w:r>
        <w:rPr>
          <w:rFonts w:hint="eastAsia" w:ascii="仿宋" w:hAnsi="仿宋" w:eastAsia="仿宋" w:cs="仿宋"/>
          <w:color w:val="0D0D0D" w:themeColor="text1" w:themeTint="F2"/>
          <w:sz w:val="28"/>
          <w:szCs w:val="28"/>
          <w:highlight w:val="none"/>
          <w:lang w:eastAsia="zh-CN"/>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202</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4</w:t>
      </w:r>
      <w:r>
        <w:rPr>
          <w:rFonts w:hint="eastAsia" w:ascii="仿宋" w:hAnsi="仿宋" w:eastAsia="仿宋" w:cs="仿宋"/>
          <w:color w:val="0D0D0D" w:themeColor="text1" w:themeTint="F2"/>
          <w:sz w:val="28"/>
          <w:szCs w:val="28"/>
          <w:highlight w:val="none"/>
          <w:lang w:eastAsia="zh-CN"/>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黔0</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181</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破</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登40</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号</w:t>
      </w:r>
      <w:r>
        <w:rPr>
          <w:rFonts w:hint="eastAsia"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决定书</w:t>
      </w:r>
      <w:r>
        <w:rPr>
          <w:rFonts w:hint="eastAsia"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决定对贵阳摩码拓展置业有限公司</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（以下简称“</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摩码置业公司</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进行</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预重整</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登记</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，并</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于同日</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指定贵州恒易律师事务所与北京德恒（贵阳）律师事务所共同担任</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摩码公司</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预重整</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登记期间</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的临时管理人</w:t>
      </w:r>
      <w:r>
        <w:rPr>
          <w:rFonts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以下简称</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临时管理人</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w:t>
      </w:r>
      <w:r>
        <w:rPr>
          <w:rFonts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w:t>
      </w:r>
      <w:r>
        <w:rPr>
          <w:rFonts w:hint="eastAsia"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t>。</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参照《中华人民共和国企业破产法》（以下简称</w:t>
      </w:r>
      <w:r>
        <w:rPr>
          <w:rFonts w:hint="eastAsia" w:ascii="仿宋" w:hAnsi="仿宋" w:eastAsia="仿宋" w:cs="仿宋"/>
          <w:color w:val="0D0D0D" w:themeColor="text1" w:themeTint="F2"/>
          <w:kern w:val="0"/>
          <w:sz w:val="28"/>
          <w:szCs w:val="28"/>
          <w:lang w:eastAsia="zh-CN" w:bidi="ar"/>
          <w14:textFill>
            <w14:solidFill>
              <w14:schemeClr w14:val="tx1">
                <w14:lumMod w14:val="95000"/>
                <w14:lumOff w14:val="5000"/>
              </w14:schemeClr>
            </w14:solidFill>
          </w14:textFill>
        </w:rPr>
        <w:t>“</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《企业破产法》</w:t>
      </w:r>
      <w:r>
        <w:rPr>
          <w:rFonts w:hint="eastAsia" w:ascii="仿宋" w:hAnsi="仿宋" w:eastAsia="仿宋" w:cs="仿宋"/>
          <w:color w:val="0D0D0D" w:themeColor="text1" w:themeTint="F2"/>
          <w:kern w:val="0"/>
          <w:sz w:val="28"/>
          <w:szCs w:val="28"/>
          <w:lang w:eastAsia="zh-CN" w:bidi="ar"/>
          <w14:textFill>
            <w14:solidFill>
              <w14:schemeClr w14:val="tx1">
                <w14:lumMod w14:val="95000"/>
                <w14:lumOff w14:val="5000"/>
              </w14:schemeClr>
            </w14:solidFill>
          </w14:textFill>
        </w:rPr>
        <w:t>”</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）及相关法律、司法解释之规定，就债权申报相关事项予以公告如下：</w:t>
      </w:r>
    </w:p>
    <w:p>
      <w:pPr>
        <w:numPr>
          <w:ilvl w:val="0"/>
          <w:numId w:val="1"/>
        </w:numPr>
        <w:spacing w:line="560" w:lineRule="exact"/>
        <w:ind w:firstLine="562" w:firstLineChars="200"/>
        <w:rPr>
          <w:rFonts w:ascii="仿宋" w:hAnsi="仿宋" w:eastAsia="仿宋" w:cs="仿宋"/>
          <w:b/>
          <w:bCs/>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28"/>
          <w:szCs w:val="28"/>
          <w14:textFill>
            <w14:solidFill>
              <w14:schemeClr w14:val="tx1">
                <w14:lumMod w14:val="95000"/>
                <w14:lumOff w14:val="5000"/>
              </w14:schemeClr>
            </w14:solidFill>
          </w14:textFill>
        </w:rPr>
        <w:t>债权申报</w:t>
      </w:r>
    </w:p>
    <w:p>
      <w:pPr>
        <w:numPr>
          <w:ilvl w:val="0"/>
          <w:numId w:val="2"/>
        </w:numPr>
        <w:spacing w:line="560" w:lineRule="exact"/>
        <w:rPr>
          <w:rFonts w:ascii="仿宋" w:hAnsi="仿宋" w:eastAsia="仿宋" w:cs="仿宋"/>
          <w:b/>
          <w:bCs/>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28"/>
          <w:szCs w:val="28"/>
          <w14:textFill>
            <w14:solidFill>
              <w14:schemeClr w14:val="tx1">
                <w14:lumMod w14:val="95000"/>
                <w14:lumOff w14:val="5000"/>
              </w14:schemeClr>
            </w14:solidFill>
          </w14:textFill>
        </w:rPr>
        <w:t>债权申报</w:t>
      </w:r>
      <w:r>
        <w:rPr>
          <w:rFonts w:hint="eastAsia" w:ascii="仿宋" w:hAnsi="仿宋" w:eastAsia="仿宋" w:cs="仿宋"/>
          <w:b/>
          <w:bCs/>
          <w:color w:val="0D0D0D" w:themeColor="text1" w:themeTint="F2"/>
          <w:sz w:val="28"/>
          <w:szCs w:val="28"/>
          <w:lang w:eastAsia="zh-Hans"/>
          <w14:textFill>
            <w14:solidFill>
              <w14:schemeClr w14:val="tx1">
                <w14:lumMod w14:val="95000"/>
                <w14:lumOff w14:val="5000"/>
              </w14:schemeClr>
            </w14:solidFill>
          </w14:textFill>
        </w:rPr>
        <w:t>方式、地点及期限</w:t>
      </w:r>
    </w:p>
    <w:p>
      <w:pPr>
        <w:pStyle w:val="13"/>
        <w:spacing w:line="560" w:lineRule="exact"/>
        <w:ind w:firstLine="560" w:firstLineChars="200"/>
        <w:rPr>
          <w:rFonts w:hint="eastAsia" w:ascii="仿宋" w:hAnsi="仿宋" w:eastAsia="仿宋" w:cs="仿宋"/>
          <w:color w:val="auto"/>
          <w:kern w:val="0"/>
          <w:sz w:val="28"/>
          <w:szCs w:val="28"/>
          <w:lang w:eastAsia="zh-Hans" w:bidi="ar"/>
        </w:rPr>
      </w:pP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摩码公司</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债权人</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可</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持</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符合要求的</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申报材料</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以</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现场</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或邮寄方式</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向临时管理人</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申报</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债权</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w:t>
      </w:r>
      <w:r>
        <w:rPr>
          <w:rFonts w:hint="eastAsia" w:ascii="仿宋" w:hAnsi="仿宋" w:eastAsia="仿宋" w:cs="仿宋"/>
          <w:color w:val="auto"/>
          <w:kern w:val="0"/>
          <w:sz w:val="28"/>
          <w:szCs w:val="28"/>
          <w:lang w:bidi="ar"/>
        </w:rPr>
        <w:t>申报地址：</w:t>
      </w:r>
      <w:r>
        <w:rPr>
          <w:rFonts w:hint="eastAsia" w:ascii="仿宋" w:hAnsi="仿宋" w:eastAsia="仿宋" w:cs="仿宋"/>
          <w:color w:val="auto"/>
          <w:kern w:val="0"/>
          <w:sz w:val="28"/>
          <w:szCs w:val="28"/>
          <w:lang w:val="en-US" w:eastAsia="zh-CN" w:bidi="ar"/>
        </w:rPr>
        <w:t>贵州省清镇市青龙山街道凉水井村境内金清大道与金马大道旁当代拾光里</w:t>
      </w:r>
      <w:r>
        <w:rPr>
          <w:rFonts w:hint="default" w:ascii="仿宋" w:hAnsi="仿宋" w:eastAsia="仿宋" w:cs="仿宋"/>
          <w:color w:val="auto"/>
          <w:kern w:val="0"/>
          <w:sz w:val="28"/>
          <w:szCs w:val="28"/>
          <w:lang w:val="en-US" w:eastAsia="zh-CN" w:bidi="ar"/>
        </w:rPr>
        <w:t>MOMA</w:t>
      </w:r>
      <w:r>
        <w:rPr>
          <w:rFonts w:hint="eastAsia" w:ascii="仿宋" w:hAnsi="仿宋" w:eastAsia="仿宋" w:cs="仿宋"/>
          <w:color w:val="auto"/>
          <w:kern w:val="0"/>
          <w:sz w:val="28"/>
          <w:szCs w:val="28"/>
          <w:lang w:val="en-US" w:eastAsia="zh-CN" w:bidi="ar"/>
        </w:rPr>
        <w:t>售楼中心</w:t>
      </w:r>
      <w:r>
        <w:rPr>
          <w:rFonts w:hint="eastAsia" w:ascii="仿宋" w:hAnsi="仿宋" w:eastAsia="仿宋" w:cs="仿宋"/>
          <w:color w:val="auto"/>
          <w:kern w:val="0"/>
          <w:sz w:val="28"/>
          <w:szCs w:val="28"/>
          <w:lang w:bidi="ar"/>
        </w:rPr>
        <w:t>。</w:t>
      </w:r>
    </w:p>
    <w:p>
      <w:pPr>
        <w:pStyle w:val="13"/>
        <w:spacing w:line="560" w:lineRule="exact"/>
        <w:ind w:firstLine="560" w:firstLineChars="200"/>
        <w:rPr>
          <w:rFonts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申报时间：202</w:t>
      </w:r>
      <w:r>
        <w:rPr>
          <w:rFonts w:hint="eastAsia" w:ascii="仿宋" w:hAnsi="仿宋" w:eastAsia="仿宋" w:cs="仿宋"/>
          <w:color w:val="0D0D0D" w:themeColor="text1" w:themeTint="F2"/>
          <w:kern w:val="0"/>
          <w:sz w:val="28"/>
          <w:szCs w:val="28"/>
          <w:highlight w:val="none"/>
          <w:lang w:val="en-US" w:eastAsia="zh-CN" w:bidi="ar"/>
          <w14:textFill>
            <w14:solidFill>
              <w14:schemeClr w14:val="tx1">
                <w14:lumMod w14:val="95000"/>
                <w14:lumOff w14:val="5000"/>
              </w14:schemeClr>
            </w14:solidFill>
          </w14:textFill>
        </w:rPr>
        <w:t>4年8</w:t>
      </w: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月</w:t>
      </w:r>
      <w:r>
        <w:rPr>
          <w:rFonts w:hint="eastAsia" w:ascii="仿宋" w:hAnsi="仿宋" w:eastAsia="仿宋" w:cs="仿宋"/>
          <w:color w:val="0D0D0D" w:themeColor="text1" w:themeTint="F2"/>
          <w:kern w:val="0"/>
          <w:sz w:val="28"/>
          <w:szCs w:val="28"/>
          <w:highlight w:val="none"/>
          <w:lang w:val="en-US" w:eastAsia="zh-CN" w:bidi="ar"/>
          <w14:textFill>
            <w14:solidFill>
              <w14:schemeClr w14:val="tx1">
                <w14:lumMod w14:val="95000"/>
                <w14:lumOff w14:val="5000"/>
              </w14:schemeClr>
            </w14:solidFill>
          </w14:textFill>
        </w:rPr>
        <w:t>20</w:t>
      </w: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日</w:t>
      </w:r>
      <w:r>
        <w:rPr>
          <w:rFonts w:hint="eastAsia" w:ascii="仿宋" w:hAnsi="仿宋" w:eastAsia="仿宋" w:cs="仿宋"/>
          <w:color w:val="0D0D0D" w:themeColor="text1" w:themeTint="F2"/>
          <w:kern w:val="0"/>
          <w:sz w:val="28"/>
          <w:szCs w:val="28"/>
          <w:highlight w:val="none"/>
          <w:lang w:val="en-US" w:eastAsia="zh-CN" w:bidi="ar"/>
          <w14:textFill>
            <w14:solidFill>
              <w14:schemeClr w14:val="tx1">
                <w14:lumMod w14:val="95000"/>
                <w14:lumOff w14:val="5000"/>
              </w14:schemeClr>
            </w14:solidFill>
          </w14:textFill>
        </w:rPr>
        <w:t>至2024年9月20日</w:t>
      </w: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，工作日上午9:00-12:00，下午14:00-17:30。</w:t>
      </w:r>
    </w:p>
    <w:p>
      <w:pPr>
        <w:pStyle w:val="13"/>
        <w:spacing w:line="560" w:lineRule="exact"/>
        <w:ind w:firstLine="560" w:firstLineChars="200"/>
        <w:rPr>
          <w:rFonts w:hint="eastAsia" w:ascii="仿宋" w:hAnsi="仿宋" w:eastAsia="仿宋" w:cs="仿宋"/>
          <w:color w:val="0D0D0D" w:themeColor="text1" w:themeTint="F2"/>
          <w:kern w:val="0"/>
          <w:sz w:val="28"/>
          <w:szCs w:val="28"/>
          <w:highlight w:val="none"/>
          <w:lang w:val="en-US" w:eastAsia="zh-CN"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联系</w:t>
      </w:r>
      <w:r>
        <w:rPr>
          <w:rFonts w:hint="eastAsia" w:ascii="仿宋" w:hAnsi="仿宋" w:eastAsia="仿宋" w:cs="仿宋"/>
          <w:color w:val="0D0D0D" w:themeColor="text1" w:themeTint="F2"/>
          <w:kern w:val="0"/>
          <w:sz w:val="28"/>
          <w:szCs w:val="28"/>
          <w:highlight w:val="none"/>
          <w:lang w:val="en-US" w:eastAsia="zh-CN" w:bidi="ar"/>
          <w14:textFill>
            <w14:solidFill>
              <w14:schemeClr w14:val="tx1">
                <w14:lumMod w14:val="95000"/>
                <w14:lumOff w14:val="5000"/>
              </w14:schemeClr>
            </w14:solidFill>
          </w14:textFill>
        </w:rPr>
        <w:t>方式</w:t>
      </w: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陆律师，电话19985450218；袁律师，电话15085878648</w:t>
      </w:r>
      <w:r>
        <w:rPr>
          <w:rFonts w:hint="eastAsia" w:ascii="仿宋" w:hAnsi="仿宋" w:eastAsia="仿宋" w:cs="仿宋"/>
          <w:color w:val="0D0D0D" w:themeColor="text1" w:themeTint="F2"/>
          <w:kern w:val="0"/>
          <w:sz w:val="28"/>
          <w:szCs w:val="28"/>
          <w:highlight w:val="none"/>
          <w:lang w:eastAsia="zh-CN" w:bidi="ar"/>
          <w14:textFill>
            <w14:solidFill>
              <w14:schemeClr w14:val="tx1">
                <w14:lumMod w14:val="95000"/>
                <w14:lumOff w14:val="5000"/>
              </w14:schemeClr>
            </w14:solidFill>
          </w14:textFill>
        </w:rPr>
        <w:t>。</w:t>
      </w:r>
    </w:p>
    <w:p>
      <w:pPr>
        <w:pStyle w:val="13"/>
        <w:spacing w:line="560" w:lineRule="exact"/>
        <w:ind w:firstLine="560" w:firstLineChars="200"/>
        <w:rPr>
          <w:rFonts w:ascii="仿宋" w:hAnsi="仿宋" w:eastAsia="仿宋" w:cs="仿宋"/>
          <w:color w:val="0D0D0D" w:themeColor="text1" w:themeTint="F2"/>
          <w:sz w:val="28"/>
          <w:szCs w:val="28"/>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lang w:val="en-US" w:eastAsia="zh-CN"/>
          <w14:textFill>
            <w14:solidFill>
              <w14:schemeClr w14:val="tx1">
                <w14:lumMod w14:val="95000"/>
                <w14:lumOff w14:val="5000"/>
              </w14:schemeClr>
            </w14:solidFill>
          </w14:textFill>
        </w:rPr>
        <w:t>摩码公司</w:t>
      </w:r>
      <w:r>
        <w:rPr>
          <w:rFonts w:hint="eastAsia" w:ascii="仿宋" w:hAnsi="仿宋" w:eastAsia="仿宋" w:cs="仿宋"/>
          <w:color w:val="0D0D0D" w:themeColor="text1" w:themeTint="F2"/>
          <w:sz w:val="28"/>
          <w:szCs w:val="28"/>
          <w:lang w:eastAsia="zh-Hans"/>
          <w14:textFill>
            <w14:solidFill>
              <w14:schemeClr w14:val="tx1">
                <w14:lumMod w14:val="95000"/>
                <w14:lumOff w14:val="5000"/>
              </w14:schemeClr>
            </w14:solidFill>
          </w14:textFill>
        </w:rPr>
        <w:t>债权人还可</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通过线上方式</w:t>
      </w:r>
      <w:r>
        <w:rPr>
          <w:rFonts w:hint="eastAsia" w:ascii="仿宋" w:hAnsi="仿宋" w:eastAsia="仿宋" w:cs="仿宋"/>
          <w:color w:val="0D0D0D" w:themeColor="text1" w:themeTint="F2"/>
          <w:sz w:val="28"/>
          <w:szCs w:val="28"/>
          <w:lang w:eastAsia="zh-Hans"/>
          <w14:textFill>
            <w14:solidFill>
              <w14:schemeClr w14:val="tx1">
                <w14:lumMod w14:val="95000"/>
                <w14:lumOff w14:val="5000"/>
              </w14:schemeClr>
            </w14:solidFill>
          </w14:textFill>
        </w:rPr>
        <w:t>申报债权，</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临时管理人</w:t>
      </w:r>
      <w:r>
        <w:rPr>
          <w:rFonts w:hint="eastAsia" w:ascii="仿宋" w:hAnsi="仿宋" w:eastAsia="仿宋" w:cs="仿宋"/>
          <w:color w:val="0D0D0D" w:themeColor="text1" w:themeTint="F2"/>
          <w:sz w:val="28"/>
          <w:szCs w:val="28"/>
          <w:lang w:eastAsia="zh-Hans"/>
          <w14:textFill>
            <w14:solidFill>
              <w14:schemeClr w14:val="tx1">
                <w14:lumMod w14:val="95000"/>
                <w14:lumOff w14:val="5000"/>
              </w14:schemeClr>
            </w14:solidFill>
          </w14:textFill>
        </w:rPr>
        <w:t>指定</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收发资料邮箱</w:t>
      </w:r>
      <w:r>
        <w:rPr>
          <w:rFonts w:hint="eastAsia" w:ascii="仿宋" w:hAnsi="仿宋" w:eastAsia="仿宋" w:cs="仿宋"/>
          <w:color w:val="auto"/>
          <w:sz w:val="28"/>
          <w:szCs w:val="28"/>
        </w:rPr>
        <w:t>：</w:t>
      </w:r>
      <w:r>
        <w:rPr>
          <w:rFonts w:hint="default" w:ascii="仿宋" w:hAnsi="仿宋" w:eastAsia="仿宋" w:cs="仿宋"/>
          <w:color w:val="auto"/>
          <w:sz w:val="28"/>
          <w:szCs w:val="28"/>
          <w:lang w:val="en-US"/>
        </w:rPr>
        <w:t>MOMA</w:t>
      </w:r>
      <w:r>
        <w:rPr>
          <w:rFonts w:hint="eastAsia" w:ascii="仿宋" w:hAnsi="仿宋" w:eastAsia="仿宋" w:cs="仿宋"/>
          <w:color w:val="auto"/>
          <w:sz w:val="28"/>
          <w:szCs w:val="28"/>
          <w:lang w:val="en-US" w:eastAsia="zh-CN"/>
        </w:rPr>
        <w:t>guanliren</w:t>
      </w:r>
      <w:r>
        <w:rPr>
          <w:rFonts w:hint="eastAsia" w:ascii="仿宋" w:hAnsi="仿宋" w:eastAsia="仿宋" w:cs="仿宋"/>
          <w:color w:val="auto"/>
          <w:sz w:val="28"/>
          <w:szCs w:val="28"/>
          <w:highlight w:val="none"/>
          <w:lang w:val="en-US" w:eastAsia="zh-CN"/>
        </w:rPr>
        <w:t xml:space="preserve"> @163.com</w:t>
      </w:r>
      <w:r>
        <w:rPr>
          <w:rFonts w:hint="eastAsia" w:ascii="仿宋" w:hAnsi="仿宋" w:eastAsia="仿宋" w:cs="仿宋"/>
          <w:color w:val="0D0D0D" w:themeColor="text1" w:themeTint="F2"/>
          <w:sz w:val="28"/>
          <w:szCs w:val="28"/>
          <w:highlight w:val="none"/>
          <w:lang w:val="en-US" w:eastAsia="zh-CN"/>
          <w14:textFill>
            <w14:solidFill>
              <w14:schemeClr w14:val="tx1">
                <w14:lumMod w14:val="95000"/>
                <w14:lumOff w14:val="5000"/>
              </w14:schemeClr>
            </w14:solidFill>
          </w14:textFill>
        </w:rPr>
        <w:t>，另可联系临时管理人添加微信发送申报资料。</w:t>
      </w:r>
    </w:p>
    <w:p>
      <w:pPr>
        <w:spacing w:line="560" w:lineRule="exact"/>
        <w:ind w:left="280"/>
        <w:rPr>
          <w:rFonts w:ascii="仿宋" w:hAnsi="仿宋" w:eastAsia="仿宋" w:cs="仿宋"/>
          <w:b/>
          <w:bCs/>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
          <w:b/>
          <w:bCs/>
          <w:color w:val="0D0D0D" w:themeColor="text1" w:themeTint="F2"/>
          <w:sz w:val="28"/>
          <w:szCs w:val="28"/>
          <w14:textFill>
            <w14:solidFill>
              <w14:schemeClr w14:val="tx1">
                <w14:lumMod w14:val="95000"/>
                <w14:lumOff w14:val="5000"/>
              </w14:schemeClr>
            </w14:solidFill>
          </w14:textFill>
        </w:rPr>
        <w:t>（二）债权申报需交材料（一式</w:t>
      </w:r>
      <w:r>
        <w:rPr>
          <w:rFonts w:hint="eastAsia" w:ascii="仿宋" w:hAnsi="仿宋" w:eastAsia="仿宋" w:cs="仿宋"/>
          <w:b/>
          <w:bCs/>
          <w:color w:val="0D0D0D" w:themeColor="text1" w:themeTint="F2"/>
          <w:sz w:val="28"/>
          <w:szCs w:val="28"/>
          <w:lang w:val="en-US" w:eastAsia="zh-CN"/>
          <w14:textFill>
            <w14:solidFill>
              <w14:schemeClr w14:val="tx1">
                <w14:lumMod w14:val="95000"/>
                <w14:lumOff w14:val="5000"/>
              </w14:schemeClr>
            </w14:solidFill>
          </w14:textFill>
        </w:rPr>
        <w:t>两</w:t>
      </w:r>
      <w:r>
        <w:rPr>
          <w:rFonts w:hint="eastAsia" w:ascii="仿宋" w:hAnsi="仿宋" w:eastAsia="仿宋" w:cs="仿宋"/>
          <w:b/>
          <w:bCs/>
          <w:color w:val="0D0D0D" w:themeColor="text1" w:themeTint="F2"/>
          <w:sz w:val="28"/>
          <w:szCs w:val="28"/>
          <w14:textFill>
            <w14:solidFill>
              <w14:schemeClr w14:val="tx1">
                <w14:lumMod w14:val="95000"/>
                <w14:lumOff w14:val="5000"/>
              </w14:schemeClr>
            </w14:solidFill>
          </w14:textFill>
        </w:rPr>
        <w:t>份，每份按序整理排列）</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1.《债权申报表》（一式</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两</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份均为原件）。</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2.《债权申报材料清单》（一式</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两</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份均为原件）。</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3.申报人身份证明。申报人是单位的，需提交营业执照或统一社会信用代码证（复印件加盖公章）、《法定代表人身份证明书》（原件）、法定代表人身份证（复印件签字确认）；债权人为自然人的，应提供个人身份证（复印件签字确认）。</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4.授权委托书（一式</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两</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份均为原件）。委托代理人申报的，需提交《授权委托书》及代理人身份证（复印件签字确认）；委托代理人是律师的还应提交律师执业证（复印件）和律所指派函（原件）。</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5.《送达地址及银行账户确认书》（一式</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两</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份均为原件）。</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6.证明债权的证据材料：申报人应当以与证据原件核对无误的复印件</w:t>
      </w: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（请自行复印好一式两份）</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申报，应在申报材料清单中列明证据材料的名称等相关内容。证据材料包括但不限于：</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(1)各类合同书及票据、结算凭证、付款凭证等。</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(2)债权性质如属于建设工程价款优先权、抵押担保等有财产担保的优先权的，还须提交证明优先权的材料（如</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抵押登记权证</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(3)债权如有生效法律文书支持的，须提交该生效法律文书</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及生效证明或能够证明法律文书已经生效的证明资料。</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如果经过两级法院审理，一、二审法院的法律文书皆需提供；仲裁机构出具的生效法律文书应附上仲裁机构关于法律文书已经生效的函件或双方当事人已签收的送达回执；行政机关出具的生效行政法律文书应附上当事人已签收的送达回执以及证据材料。如已申请人民法院强制执行的，还须提交人民法院执行立案通知书、执行裁定书等相关文</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书资料</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(4)申报人在诉讼或仲裁程序中申请财产保全的，须提交人民法院作出的保全裁定书等相关文件。</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(5)能够证明债权发生、变更、存续、诉讼时效中止、中断、延长及债权金额的其他材料。</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(6)债权如存在偿还或抵债情形，则须提供偿债凭证、协议或以物抵债协议等。如该等偿债或以物抵债是由执行法院裁定认可的，须同时提交裁定书。</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(7)申报的债权涉及利息、罚息、违约金、滞纳金的，参照《企业破产法》第四十六条第二款之规定，</w:t>
      </w:r>
      <w:r>
        <w:rPr>
          <w:rFonts w:hint="eastAsia" w:ascii="仿宋" w:hAnsi="仿宋" w:eastAsia="仿宋" w:cs="仿宋"/>
          <w:color w:val="auto"/>
          <w:kern w:val="0"/>
          <w:sz w:val="28"/>
          <w:szCs w:val="28"/>
          <w:lang w:bidi="ar"/>
        </w:rPr>
        <w:t>暂计算至</w:t>
      </w:r>
      <w:r>
        <w:rPr>
          <w:rFonts w:hint="eastAsia" w:ascii="仿宋" w:hAnsi="仿宋" w:eastAsia="仿宋" w:cs="仿宋"/>
          <w:color w:val="auto"/>
          <w:kern w:val="0"/>
          <w:sz w:val="28"/>
          <w:szCs w:val="28"/>
          <w:lang w:val="en-US" w:eastAsia="zh-CN" w:bidi="ar"/>
        </w:rPr>
        <w:t>清镇市人民</w:t>
      </w:r>
      <w:r>
        <w:rPr>
          <w:rFonts w:hint="eastAsia" w:ascii="仿宋" w:hAnsi="仿宋" w:eastAsia="仿宋" w:cs="仿宋"/>
          <w:color w:val="auto"/>
          <w:kern w:val="0"/>
          <w:sz w:val="28"/>
          <w:szCs w:val="28"/>
          <w:highlight w:val="none"/>
          <w:lang w:eastAsia="zh-Hans" w:bidi="ar"/>
        </w:rPr>
        <w:t>法院</w:t>
      </w:r>
      <w:r>
        <w:rPr>
          <w:rFonts w:hint="eastAsia" w:ascii="仿宋" w:hAnsi="仿宋" w:eastAsia="仿宋" w:cs="仿宋"/>
          <w:color w:val="auto"/>
          <w:kern w:val="0"/>
          <w:sz w:val="28"/>
          <w:szCs w:val="28"/>
          <w:lang w:bidi="ar"/>
        </w:rPr>
        <w:t>决定</w:t>
      </w:r>
      <w:r>
        <w:rPr>
          <w:rFonts w:hint="eastAsia" w:ascii="仿宋" w:hAnsi="仿宋" w:eastAsia="仿宋" w:cs="仿宋"/>
          <w:color w:val="auto"/>
          <w:kern w:val="0"/>
          <w:sz w:val="28"/>
          <w:szCs w:val="28"/>
          <w:lang w:val="en-US" w:eastAsia="zh-CN" w:bidi="ar"/>
        </w:rPr>
        <w:t>摩码公司</w:t>
      </w:r>
      <w:r>
        <w:rPr>
          <w:rFonts w:hint="eastAsia" w:ascii="仿宋" w:hAnsi="仿宋" w:eastAsia="仿宋" w:cs="仿宋"/>
          <w:color w:val="auto"/>
          <w:kern w:val="0"/>
          <w:sz w:val="28"/>
          <w:szCs w:val="28"/>
          <w:lang w:bidi="ar"/>
        </w:rPr>
        <w:t>预重整</w:t>
      </w:r>
      <w:r>
        <w:rPr>
          <w:rFonts w:hint="eastAsia" w:ascii="仿宋" w:hAnsi="仿宋" w:eastAsia="仿宋" w:cs="仿宋"/>
          <w:color w:val="auto"/>
          <w:kern w:val="0"/>
          <w:sz w:val="28"/>
          <w:szCs w:val="28"/>
          <w:lang w:val="en-US" w:eastAsia="zh-CN" w:bidi="ar"/>
        </w:rPr>
        <w:t>登记</w:t>
      </w:r>
      <w:r>
        <w:rPr>
          <w:rFonts w:hint="eastAsia" w:ascii="仿宋" w:hAnsi="仿宋" w:eastAsia="仿宋" w:cs="仿宋"/>
          <w:color w:val="auto"/>
          <w:kern w:val="0"/>
          <w:sz w:val="28"/>
          <w:szCs w:val="28"/>
          <w:lang w:bidi="ar"/>
        </w:rPr>
        <w:t>之日，即</w:t>
      </w:r>
      <w:r>
        <w:rPr>
          <w:rFonts w:hint="eastAsia" w:ascii="仿宋" w:hAnsi="仿宋" w:eastAsia="仿宋" w:cs="仿宋"/>
          <w:color w:val="auto"/>
          <w:kern w:val="0"/>
          <w:sz w:val="28"/>
          <w:szCs w:val="28"/>
          <w:highlight w:val="none"/>
          <w:lang w:bidi="ar"/>
        </w:rPr>
        <w:t>202</w:t>
      </w:r>
      <w:r>
        <w:rPr>
          <w:rFonts w:hint="eastAsia" w:ascii="仿宋" w:hAnsi="仿宋" w:eastAsia="仿宋" w:cs="仿宋"/>
          <w:color w:val="auto"/>
          <w:kern w:val="0"/>
          <w:sz w:val="28"/>
          <w:szCs w:val="28"/>
          <w:highlight w:val="none"/>
          <w:lang w:val="en-US" w:eastAsia="zh-CN" w:bidi="ar"/>
        </w:rPr>
        <w:t>4</w:t>
      </w:r>
      <w:r>
        <w:rPr>
          <w:rFonts w:hint="eastAsia" w:ascii="仿宋" w:hAnsi="仿宋" w:eastAsia="仿宋" w:cs="仿宋"/>
          <w:color w:val="auto"/>
          <w:kern w:val="0"/>
          <w:sz w:val="28"/>
          <w:szCs w:val="28"/>
          <w:highlight w:val="none"/>
          <w:lang w:bidi="ar"/>
        </w:rPr>
        <w:t>年</w:t>
      </w:r>
      <w:r>
        <w:rPr>
          <w:rFonts w:hint="eastAsia" w:ascii="仿宋" w:hAnsi="仿宋" w:eastAsia="仿宋" w:cs="仿宋"/>
          <w:color w:val="auto"/>
          <w:kern w:val="0"/>
          <w:sz w:val="28"/>
          <w:szCs w:val="28"/>
          <w:highlight w:val="none"/>
          <w:lang w:val="en-US" w:eastAsia="zh-CN" w:bidi="ar"/>
        </w:rPr>
        <w:t>8</w:t>
      </w:r>
      <w:r>
        <w:rPr>
          <w:rFonts w:hint="eastAsia" w:ascii="仿宋" w:hAnsi="仿宋" w:eastAsia="仿宋" w:cs="仿宋"/>
          <w:color w:val="auto"/>
          <w:kern w:val="0"/>
          <w:sz w:val="28"/>
          <w:szCs w:val="28"/>
          <w:highlight w:val="none"/>
          <w:lang w:bidi="ar"/>
        </w:rPr>
        <w:t>月</w:t>
      </w:r>
      <w:r>
        <w:rPr>
          <w:rFonts w:hint="eastAsia" w:ascii="仿宋" w:hAnsi="仿宋" w:eastAsia="仿宋" w:cs="仿宋"/>
          <w:color w:val="auto"/>
          <w:kern w:val="0"/>
          <w:sz w:val="28"/>
          <w:szCs w:val="28"/>
          <w:highlight w:val="none"/>
          <w:lang w:val="en-US" w:eastAsia="zh-CN" w:bidi="ar"/>
        </w:rPr>
        <w:t>19</w:t>
      </w:r>
      <w:r>
        <w:rPr>
          <w:rFonts w:hint="eastAsia" w:ascii="仿宋" w:hAnsi="仿宋" w:eastAsia="仿宋" w:cs="仿宋"/>
          <w:color w:val="auto"/>
          <w:kern w:val="0"/>
          <w:sz w:val="28"/>
          <w:szCs w:val="28"/>
          <w:highlight w:val="none"/>
          <w:lang w:bidi="ar"/>
        </w:rPr>
        <w:t>日。</w:t>
      </w: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预重</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整期间至正式裁定受理重整之日</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期</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间的利息部分，</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由</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临时</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管理人按照规定依法计算并予以确认</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(8)其他能够证明债权成立的证据。</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申报人申</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报</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的债权除</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摩码公司</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外还有其他债务人的，应当说明其他债务人的履行情况。</w:t>
      </w:r>
    </w:p>
    <w:p>
      <w:pPr>
        <w:pStyle w:val="13"/>
        <w:spacing w:line="560" w:lineRule="exact"/>
        <w:ind w:firstLine="560" w:firstLineChars="200"/>
        <w:rPr>
          <w:rFonts w:ascii="仿宋" w:hAnsi="仿宋" w:eastAsia="仿宋" w:cs="仿宋"/>
          <w:color w:val="auto"/>
          <w:kern w:val="0"/>
          <w:sz w:val="28"/>
          <w:szCs w:val="28"/>
          <w:lang w:bidi="ar"/>
        </w:rPr>
      </w:pPr>
      <w:r>
        <w:rPr>
          <w:rFonts w:hint="eastAsia" w:ascii="仿宋" w:hAnsi="仿宋" w:eastAsia="仿宋" w:cs="仿宋"/>
          <w:color w:val="auto"/>
          <w:kern w:val="0"/>
          <w:sz w:val="28"/>
          <w:szCs w:val="28"/>
          <w:lang w:bidi="ar"/>
        </w:rPr>
        <w:t>上述债权申报表格可登陆全国企业破产重整案件信息网（http://pccz.court.gov.cn/）下载（具体下载请联系临时管理人）。</w:t>
      </w:r>
    </w:p>
    <w:p>
      <w:pPr>
        <w:pStyle w:val="13"/>
        <w:spacing w:line="560" w:lineRule="exact"/>
        <w:ind w:firstLine="562" w:firstLineChars="200"/>
        <w:rPr>
          <w:rFonts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（三）提交材料注意事项</w:t>
      </w:r>
    </w:p>
    <w:p>
      <w:pPr>
        <w:pStyle w:val="13"/>
        <w:numPr>
          <w:ilvl w:val="255"/>
          <w:numId w:val="0"/>
        </w:numPr>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1.债权人的申报材料必须符合本公告第二部分“申报债权需提交材料”要求，并</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按规定的顺序整理，现场或邮寄申报的，需准备</w:t>
      </w: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一式</w:t>
      </w:r>
      <w:r>
        <w:rPr>
          <w:rFonts w:hint="eastAsia" w:ascii="仿宋" w:hAnsi="仿宋" w:eastAsia="仿宋" w:cs="仿宋"/>
          <w:b/>
          <w:bCs/>
          <w:color w:val="0D0D0D" w:themeColor="text1" w:themeTint="F2"/>
          <w:kern w:val="0"/>
          <w:sz w:val="28"/>
          <w:szCs w:val="28"/>
          <w:lang w:val="en-US" w:eastAsia="zh-CN" w:bidi="ar"/>
          <w14:textFill>
            <w14:solidFill>
              <w14:schemeClr w14:val="tx1">
                <w14:lumMod w14:val="95000"/>
                <w14:lumOff w14:val="5000"/>
              </w14:schemeClr>
            </w14:solidFill>
          </w14:textFill>
        </w:rPr>
        <w:t>两</w:t>
      </w: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份</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，现场提交的应当</w:t>
      </w: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携带相关资料的原件</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供临时管理人核对；邮寄或网上申报的，于临时债权人会议召开前提交临时管理人核对。</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2.债权人申报债权时应当明确是否主张对</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摩码公司</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的特定财产享有优先权</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等</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，并明确说明优先权对应的标的物、债权额等情况。</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3.申报债权数额必须具体明确，同一债权人只能申报一个债权总额。</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4.申报债权时未申报利息、罚息、违约金、迟延履行金、滞纳金及其他费用的</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临时管理人不进行认定。</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5.申报人如提交伪造、变造等虚假证据及相关材料，以及对重要事实虚假、隐瞒陈述或拒绝陈述的，将承担相应的法律责任</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与不利后果</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，如构成犯罪的，临时管理人将</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依法</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移交司法机关进行处理。</w:t>
      </w:r>
    </w:p>
    <w:p>
      <w:pPr>
        <w:pStyle w:val="13"/>
        <w:spacing w:line="560" w:lineRule="exact"/>
        <w:ind w:firstLine="562" w:firstLineChars="200"/>
        <w:rPr>
          <w:rFonts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（四）特别说明</w:t>
      </w:r>
    </w:p>
    <w:p>
      <w:pPr>
        <w:pStyle w:val="13"/>
        <w:spacing w:line="560" w:lineRule="exact"/>
        <w:ind w:firstLine="562" w:firstLineChars="200"/>
        <w:rPr>
          <w:rFonts w:hint="default" w:ascii="仿宋" w:hAnsi="仿宋" w:eastAsia="仿宋" w:cs="仿宋"/>
          <w:b/>
          <w:bCs/>
          <w:color w:val="0D0D0D" w:themeColor="text1" w:themeTint="F2"/>
          <w:kern w:val="0"/>
          <w:sz w:val="28"/>
          <w:szCs w:val="28"/>
          <w:lang w:val="en-US" w:eastAsia="zh-CN" w:bidi="ar"/>
          <w14:textFill>
            <w14:solidFill>
              <w14:schemeClr w14:val="tx1">
                <w14:lumMod w14:val="95000"/>
                <w14:lumOff w14:val="5000"/>
              </w14:schemeClr>
            </w14:solidFill>
          </w14:textFill>
        </w:rPr>
      </w:pP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1.</w:t>
      </w:r>
      <w:r>
        <w:rPr>
          <w:rFonts w:hint="eastAsia" w:ascii="仿宋" w:hAnsi="仿宋" w:eastAsia="仿宋" w:cs="仿宋"/>
          <w:b/>
          <w:bCs/>
          <w:color w:val="0D0D0D" w:themeColor="text1" w:themeTint="F2"/>
          <w:kern w:val="0"/>
          <w:sz w:val="28"/>
          <w:szCs w:val="28"/>
          <w:lang w:val="en-US" w:eastAsia="zh-CN" w:bidi="ar"/>
          <w14:textFill>
            <w14:solidFill>
              <w14:schemeClr w14:val="tx1">
                <w14:lumMod w14:val="95000"/>
                <w14:lumOff w14:val="5000"/>
              </w14:schemeClr>
            </w14:solidFill>
          </w14:textFill>
        </w:rPr>
        <w:t>因购买摩码公司房屋而产生债权的债权人无需向临时管理人申报债权，该部分债权由临时管理人依职权予以核查后进行公示。</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2.</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鉴于目前</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摩码公司登记</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预重整，如后续</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清镇市人民</w:t>
      </w:r>
      <w:r>
        <w:rPr>
          <w:rFonts w:hint="eastAsia" w:ascii="仿宋" w:hAnsi="仿宋" w:eastAsia="仿宋" w:cs="仿宋"/>
          <w:color w:val="0D0D0D" w:themeColor="text1" w:themeTint="F2"/>
          <w:kern w:val="0"/>
          <w:sz w:val="28"/>
          <w:szCs w:val="28"/>
          <w:highlight w:val="none"/>
          <w:lang w:bidi="ar"/>
          <w14:textFill>
            <w14:solidFill>
              <w14:schemeClr w14:val="tx1">
                <w14:lumMod w14:val="95000"/>
                <w14:lumOff w14:val="5000"/>
              </w14:schemeClr>
            </w14:solidFill>
          </w14:textFill>
        </w:rPr>
        <w:t>法院根</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据预重整情况依法裁定受理</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摩码公司</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进入重整程序，已申报的债权人</w:t>
      </w:r>
      <w:r>
        <w:rPr>
          <w:rFonts w:hint="eastAsia" w:ascii="仿宋" w:hAnsi="仿宋" w:eastAsia="仿宋" w:cs="仿宋"/>
          <w:b/>
          <w:bCs/>
          <w:color w:val="0D0D0D" w:themeColor="text1" w:themeTint="F2"/>
          <w:kern w:val="0"/>
          <w:sz w:val="28"/>
          <w:szCs w:val="28"/>
          <w:lang w:bidi="ar"/>
          <w14:textFill>
            <w14:solidFill>
              <w14:schemeClr w14:val="tx1">
                <w14:lumMod w14:val="95000"/>
                <w14:lumOff w14:val="5000"/>
              </w14:schemeClr>
            </w14:solidFill>
          </w14:textFill>
        </w:rPr>
        <w:t>无需</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再另行申报债权，预重整</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登记</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期间临时管理人对法律关系成立与否、债权性质、债权本金、</w:t>
      </w:r>
      <w:r>
        <w:rPr>
          <w:rFonts w:hint="eastAsia" w:ascii="仿宋" w:hAnsi="仿宋" w:eastAsia="仿宋" w:cs="仿宋"/>
          <w:color w:val="0D0D0D" w:themeColor="text1" w:themeTint="F2"/>
          <w:kern w:val="0"/>
          <w:sz w:val="28"/>
          <w:szCs w:val="28"/>
          <w:lang w:eastAsia="zh-Hans" w:bidi="ar"/>
          <w14:textFill>
            <w14:solidFill>
              <w14:schemeClr w14:val="tx1">
                <w14:lumMod w14:val="95000"/>
                <w14:lumOff w14:val="5000"/>
              </w14:schemeClr>
            </w14:solidFill>
          </w14:textFill>
        </w:rPr>
        <w:t>利息</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等作出的审查、核查和确认延续至重整程序中并仍然具有法律效力。在预重整期间未及时申报的债权人，参照《企业破产法》</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的相关</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规定，不得行使相关权利。</w:t>
      </w:r>
    </w:p>
    <w:p>
      <w:pPr>
        <w:pStyle w:val="13"/>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3.</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预重整</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登记</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期间，债务人和部分债权人、出资人已经达成的有关协议或者预重整程序中已经拟定的预重整方案与重整程序中制作的重整计划草案内容一致的，有关债权人、出资人对该协议或方案的同意视为对该重整计划草案表决的同意。但下列情形除外：</w:t>
      </w:r>
    </w:p>
    <w:p>
      <w:pPr>
        <w:pStyle w:val="13"/>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（1）重整计划草案对协议或方案内容进行了实质修改并对有关权利人产生不利影响，或者与有关权利人重大利益相关的，受到实质性影响的权利人有权按照《企业破产法》的规定对重整计划草案重新进行表决。</w:t>
      </w:r>
    </w:p>
    <w:p>
      <w:pPr>
        <w:pStyle w:val="13"/>
        <w:spacing w:line="560" w:lineRule="exact"/>
        <w:ind w:firstLine="560" w:firstLineChars="200"/>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（2）协议达成或方案表决前债务人隐瞒重要信息、披露虚假信息，以及协议达成或方案表决后出现重大变化的，受到实质性影响的权利人有权按照《企业破产法》的规定对重整计划草案重新进行表决。</w:t>
      </w:r>
    </w:p>
    <w:p>
      <w:pPr>
        <w:pStyle w:val="13"/>
        <w:spacing w:line="560" w:lineRule="exact"/>
        <w:ind w:firstLine="560" w:firstLineChars="200"/>
        <w:jc w:val="left"/>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特此公告。</w:t>
      </w:r>
    </w:p>
    <w:p>
      <w:pPr>
        <w:pStyle w:val="13"/>
        <w:spacing w:line="560" w:lineRule="exact"/>
        <w:ind w:firstLine="560" w:firstLineChars="200"/>
        <w:jc w:val="left"/>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pPr>
    </w:p>
    <w:p>
      <w:pPr>
        <w:pStyle w:val="13"/>
        <w:spacing w:line="560" w:lineRule="exact"/>
        <w:ind w:firstLine="560" w:firstLineChars="200"/>
        <w:jc w:val="right"/>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sz w:val="28"/>
          <w:szCs w:val="28"/>
          <w:highlight w:val="none"/>
          <w:lang w:eastAsia="zh-Hans"/>
          <w14:textFill>
            <w14:solidFill>
              <w14:schemeClr w14:val="tx1">
                <w14:lumMod w14:val="95000"/>
                <w14:lumOff w14:val="5000"/>
              </w14:schemeClr>
            </w14:solidFill>
          </w14:textFill>
        </w:rPr>
        <w:t>贵阳摩码拓展置业有限公司</w:t>
      </w:r>
      <w:r>
        <w:rPr>
          <w:rFonts w:hint="eastAsia" w:ascii="仿宋" w:hAnsi="仿宋" w:eastAsia="仿宋" w:cs="仿宋"/>
          <w:color w:val="0D0D0D" w:themeColor="text1" w:themeTint="F2"/>
          <w:sz w:val="28"/>
          <w:szCs w:val="28"/>
          <w14:textFill>
            <w14:solidFill>
              <w14:schemeClr w14:val="tx1">
                <w14:lumMod w14:val="95000"/>
                <w14:lumOff w14:val="5000"/>
              </w14:schemeClr>
            </w14:solidFill>
          </w14:textFill>
        </w:rPr>
        <w:t>临时</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管理人</w:t>
      </w:r>
    </w:p>
    <w:p>
      <w:pPr>
        <w:pStyle w:val="13"/>
        <w:spacing w:line="560" w:lineRule="exact"/>
        <w:ind w:firstLine="560" w:firstLineChars="200"/>
        <w:jc w:val="right"/>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二〇二</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四</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年</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八</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月</w:t>
      </w:r>
      <w:r>
        <w:rPr>
          <w:rFonts w:hint="eastAsia" w:ascii="仿宋" w:hAnsi="仿宋" w:eastAsia="仿宋" w:cs="仿宋"/>
          <w:color w:val="0D0D0D" w:themeColor="text1" w:themeTint="F2"/>
          <w:kern w:val="0"/>
          <w:sz w:val="28"/>
          <w:szCs w:val="28"/>
          <w:lang w:val="en-US" w:eastAsia="zh-CN" w:bidi="ar"/>
          <w14:textFill>
            <w14:solidFill>
              <w14:schemeClr w14:val="tx1">
                <w14:lumMod w14:val="95000"/>
                <w14:lumOff w14:val="5000"/>
              </w14:schemeClr>
            </w14:solidFill>
          </w14:textFill>
        </w:rPr>
        <w:t>二十</w:t>
      </w: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 xml:space="preserve">日 </w:t>
      </w:r>
    </w:p>
    <w:p>
      <w:pPr>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附：1.债权申报表；</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2.债权申报材料清单；</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3.法定代表人身份证明书；</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4.授权委托书；</w:t>
      </w:r>
    </w:p>
    <w:p>
      <w:pPr>
        <w:pStyle w:val="13"/>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5.送达地址及银行账户确认书；</w:t>
      </w:r>
      <w:bookmarkStart w:id="0" w:name="_GoBack"/>
      <w:bookmarkEnd w:id="0"/>
    </w:p>
    <w:p>
      <w:pPr>
        <w:pStyle w:val="13"/>
        <w:spacing w:line="240" w:lineRule="auto"/>
        <w:ind w:firstLine="560" w:firstLineChars="200"/>
        <w:jc w:val="left"/>
        <w:rPr>
          <w:rFonts w:ascii="仿宋" w:hAnsi="仿宋" w:eastAsia="仿宋" w:cs="仿宋"/>
          <w:color w:val="0D0D0D" w:themeColor="text1" w:themeTint="F2"/>
          <w14:textFill>
            <w14:solidFill>
              <w14:schemeClr w14:val="tx1">
                <w14:lumMod w14:val="95000"/>
                <w14:lumOff w14:val="5000"/>
              </w14:schemeClr>
            </w14:solidFill>
          </w14:textFill>
        </w:rPr>
      </w:pPr>
      <w:r>
        <w:rPr>
          <w:rFonts w:hint="eastAsia" w:ascii="仿宋" w:hAnsi="仿宋" w:eastAsia="仿宋" w:cs="仿宋"/>
          <w:color w:val="0D0D0D" w:themeColor="text1" w:themeTint="F2"/>
          <w:kern w:val="0"/>
          <w:sz w:val="28"/>
          <w:szCs w:val="28"/>
          <w:lang w:bidi="ar"/>
          <w14:textFill>
            <w14:solidFill>
              <w14:schemeClr w14:val="tx1">
                <w14:lumMod w14:val="95000"/>
                <w14:lumOff w14:val="5000"/>
              </w14:schemeClr>
            </w14:solidFill>
          </w14:textFill>
        </w:rPr>
        <w:t>6.债权申报登记表填写规则及注意事项</w:t>
      </w:r>
      <w:r>
        <w:rPr>
          <w:rFonts w:hint="eastAsia" w:ascii="仿宋" w:hAnsi="仿宋" w:eastAsia="仿宋" w:cs="仿宋"/>
          <w:color w:val="0D0D0D" w:themeColor="text1" w:themeTint="F2"/>
          <w:kern w:val="0"/>
          <w:sz w:val="28"/>
          <w:szCs w:val="28"/>
          <w:lang w:eastAsia="zh-CN" w:bidi="ar"/>
          <w14:textFill>
            <w14:solidFill>
              <w14:schemeClr w14:val="tx1">
                <w14:lumMod w14:val="95000"/>
                <w14:lumOff w14:val="5000"/>
              </w14:schemeClr>
            </w14:solidFill>
          </w14:textFill>
        </w:rPr>
        <w:t>。</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0BAF62"/>
    <w:multiLevelType w:val="singleLevel"/>
    <w:tmpl w:val="EF0BAF62"/>
    <w:lvl w:ilvl="0" w:tentative="0">
      <w:start w:val="1"/>
      <w:numFmt w:val="chineseCounting"/>
      <w:suff w:val="nothing"/>
      <w:lvlText w:val="%1、"/>
      <w:lvlJc w:val="left"/>
      <w:rPr>
        <w:rFonts w:hint="eastAsia"/>
      </w:rPr>
    </w:lvl>
  </w:abstractNum>
  <w:abstractNum w:abstractNumId="1">
    <w:nsid w:val="722AE5FB"/>
    <w:multiLevelType w:val="singleLevel"/>
    <w:tmpl w:val="722AE5FB"/>
    <w:lvl w:ilvl="0" w:tentative="0">
      <w:start w:val="1"/>
      <w:numFmt w:val="chineseCounting"/>
      <w:suff w:val="nothing"/>
      <w:lvlText w:val="（%1）"/>
      <w:lvlJc w:val="left"/>
      <w:pPr>
        <w:ind w:left="28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3OTcyOWI0MGMzODA0MGYzODhhZDUzNGY1Y2UxYjQifQ=="/>
  </w:docVars>
  <w:rsids>
    <w:rsidRoot w:val="724C282E"/>
    <w:rsid w:val="00305CE7"/>
    <w:rsid w:val="004B186C"/>
    <w:rsid w:val="005B5ADF"/>
    <w:rsid w:val="005C6ADC"/>
    <w:rsid w:val="00734EE3"/>
    <w:rsid w:val="0084405E"/>
    <w:rsid w:val="00B3530D"/>
    <w:rsid w:val="00DA1116"/>
    <w:rsid w:val="00FE5DE6"/>
    <w:rsid w:val="00FF10CC"/>
    <w:rsid w:val="02075FBB"/>
    <w:rsid w:val="0224362A"/>
    <w:rsid w:val="02810A7C"/>
    <w:rsid w:val="02A91D81"/>
    <w:rsid w:val="02CB619B"/>
    <w:rsid w:val="0341645D"/>
    <w:rsid w:val="035D3297"/>
    <w:rsid w:val="036F2FCB"/>
    <w:rsid w:val="03963644"/>
    <w:rsid w:val="03B44E81"/>
    <w:rsid w:val="048A7EC8"/>
    <w:rsid w:val="04934A97"/>
    <w:rsid w:val="051C748B"/>
    <w:rsid w:val="05453FE3"/>
    <w:rsid w:val="05677C39"/>
    <w:rsid w:val="05E02825"/>
    <w:rsid w:val="061B11E8"/>
    <w:rsid w:val="064061DE"/>
    <w:rsid w:val="064578CD"/>
    <w:rsid w:val="065763F9"/>
    <w:rsid w:val="06783F44"/>
    <w:rsid w:val="069D7E4F"/>
    <w:rsid w:val="069F5975"/>
    <w:rsid w:val="06DB29FA"/>
    <w:rsid w:val="073065CD"/>
    <w:rsid w:val="07726BE5"/>
    <w:rsid w:val="07837045"/>
    <w:rsid w:val="08031F33"/>
    <w:rsid w:val="081B54CF"/>
    <w:rsid w:val="08670714"/>
    <w:rsid w:val="0885462E"/>
    <w:rsid w:val="08CE42EF"/>
    <w:rsid w:val="08FD2E27"/>
    <w:rsid w:val="090B10A0"/>
    <w:rsid w:val="09412D13"/>
    <w:rsid w:val="0982630E"/>
    <w:rsid w:val="098552F6"/>
    <w:rsid w:val="0A641FD4"/>
    <w:rsid w:val="0AC260D6"/>
    <w:rsid w:val="0AE147AE"/>
    <w:rsid w:val="0B51317F"/>
    <w:rsid w:val="0B5F56D3"/>
    <w:rsid w:val="0B9C2483"/>
    <w:rsid w:val="0BA92DF2"/>
    <w:rsid w:val="0BBF0360"/>
    <w:rsid w:val="0C474AE5"/>
    <w:rsid w:val="0C692CAD"/>
    <w:rsid w:val="0D313433"/>
    <w:rsid w:val="0DC62D8A"/>
    <w:rsid w:val="0E3525CE"/>
    <w:rsid w:val="0E975183"/>
    <w:rsid w:val="0FA1450C"/>
    <w:rsid w:val="0FAB7138"/>
    <w:rsid w:val="0FAD1A43"/>
    <w:rsid w:val="0FB51D65"/>
    <w:rsid w:val="0FC71A98"/>
    <w:rsid w:val="0FC927DE"/>
    <w:rsid w:val="0FE443F8"/>
    <w:rsid w:val="10F1574D"/>
    <w:rsid w:val="10F361C8"/>
    <w:rsid w:val="10F72089"/>
    <w:rsid w:val="11164A85"/>
    <w:rsid w:val="119B0142"/>
    <w:rsid w:val="11D84952"/>
    <w:rsid w:val="129A515A"/>
    <w:rsid w:val="12C81DAF"/>
    <w:rsid w:val="130F79DE"/>
    <w:rsid w:val="13451098"/>
    <w:rsid w:val="136469D8"/>
    <w:rsid w:val="13AB6E65"/>
    <w:rsid w:val="13E40E6B"/>
    <w:rsid w:val="14005579"/>
    <w:rsid w:val="148E0DD7"/>
    <w:rsid w:val="149208C7"/>
    <w:rsid w:val="149315EC"/>
    <w:rsid w:val="149E726C"/>
    <w:rsid w:val="14AD5701"/>
    <w:rsid w:val="14B561ED"/>
    <w:rsid w:val="14D42C8D"/>
    <w:rsid w:val="14D66AE3"/>
    <w:rsid w:val="14F11A91"/>
    <w:rsid w:val="15B14D7D"/>
    <w:rsid w:val="162D4D4B"/>
    <w:rsid w:val="1638724C"/>
    <w:rsid w:val="165969E3"/>
    <w:rsid w:val="167A7865"/>
    <w:rsid w:val="169703CA"/>
    <w:rsid w:val="169F1079"/>
    <w:rsid w:val="16CD6266"/>
    <w:rsid w:val="170955E3"/>
    <w:rsid w:val="170E3922"/>
    <w:rsid w:val="179E7583"/>
    <w:rsid w:val="17A0779F"/>
    <w:rsid w:val="17DA766E"/>
    <w:rsid w:val="17E551B2"/>
    <w:rsid w:val="1802187C"/>
    <w:rsid w:val="182B350C"/>
    <w:rsid w:val="18A60DE5"/>
    <w:rsid w:val="19821EC8"/>
    <w:rsid w:val="19EF437E"/>
    <w:rsid w:val="1A5B6C41"/>
    <w:rsid w:val="1A644AB4"/>
    <w:rsid w:val="1AA80E44"/>
    <w:rsid w:val="1AE17EB2"/>
    <w:rsid w:val="1B1D2A6D"/>
    <w:rsid w:val="1BA62EAA"/>
    <w:rsid w:val="1BA809D0"/>
    <w:rsid w:val="1BE614F8"/>
    <w:rsid w:val="1C2A3ADB"/>
    <w:rsid w:val="1CCB2BC8"/>
    <w:rsid w:val="1CDE3150"/>
    <w:rsid w:val="1D792624"/>
    <w:rsid w:val="1D89659D"/>
    <w:rsid w:val="1DFC3255"/>
    <w:rsid w:val="1E7159F1"/>
    <w:rsid w:val="1E801CF4"/>
    <w:rsid w:val="1EB8717C"/>
    <w:rsid w:val="1ECC4C4C"/>
    <w:rsid w:val="1EDA0675"/>
    <w:rsid w:val="1F51312D"/>
    <w:rsid w:val="1F6B68E4"/>
    <w:rsid w:val="1FDE70B6"/>
    <w:rsid w:val="200F7270"/>
    <w:rsid w:val="202922A0"/>
    <w:rsid w:val="20315438"/>
    <w:rsid w:val="2059498F"/>
    <w:rsid w:val="206C021E"/>
    <w:rsid w:val="209B0B03"/>
    <w:rsid w:val="21154D5A"/>
    <w:rsid w:val="214473ED"/>
    <w:rsid w:val="21921F06"/>
    <w:rsid w:val="21CF4F08"/>
    <w:rsid w:val="224A27E1"/>
    <w:rsid w:val="22EB3FC4"/>
    <w:rsid w:val="2305495A"/>
    <w:rsid w:val="234611FA"/>
    <w:rsid w:val="238D75A2"/>
    <w:rsid w:val="239D1036"/>
    <w:rsid w:val="23A3664D"/>
    <w:rsid w:val="23A979DB"/>
    <w:rsid w:val="23BE24C0"/>
    <w:rsid w:val="23C2284B"/>
    <w:rsid w:val="24042E63"/>
    <w:rsid w:val="24293C21"/>
    <w:rsid w:val="2483647E"/>
    <w:rsid w:val="24C148B0"/>
    <w:rsid w:val="25714529"/>
    <w:rsid w:val="25733DFD"/>
    <w:rsid w:val="25781413"/>
    <w:rsid w:val="25B508B9"/>
    <w:rsid w:val="25DF76E4"/>
    <w:rsid w:val="25EF71AF"/>
    <w:rsid w:val="25F211C5"/>
    <w:rsid w:val="25F66445"/>
    <w:rsid w:val="262275D1"/>
    <w:rsid w:val="26395046"/>
    <w:rsid w:val="26CF59AB"/>
    <w:rsid w:val="27084A19"/>
    <w:rsid w:val="27160EE4"/>
    <w:rsid w:val="27427F2B"/>
    <w:rsid w:val="27A57585"/>
    <w:rsid w:val="27E62FAC"/>
    <w:rsid w:val="27F76F67"/>
    <w:rsid w:val="28213FE4"/>
    <w:rsid w:val="28AF339E"/>
    <w:rsid w:val="28F60FCD"/>
    <w:rsid w:val="28FA1865"/>
    <w:rsid w:val="290F3A61"/>
    <w:rsid w:val="2A1D6A2D"/>
    <w:rsid w:val="2A7209CE"/>
    <w:rsid w:val="2AC60E73"/>
    <w:rsid w:val="2AD27817"/>
    <w:rsid w:val="2AD9185D"/>
    <w:rsid w:val="2ADE61BC"/>
    <w:rsid w:val="2B08148B"/>
    <w:rsid w:val="2B1E0CAF"/>
    <w:rsid w:val="2B465B0F"/>
    <w:rsid w:val="2BFB96D3"/>
    <w:rsid w:val="2C1A1476"/>
    <w:rsid w:val="2C1E25F3"/>
    <w:rsid w:val="2C884632"/>
    <w:rsid w:val="2CEF2903"/>
    <w:rsid w:val="2CFF16E5"/>
    <w:rsid w:val="2D2A393B"/>
    <w:rsid w:val="2DC55411"/>
    <w:rsid w:val="2DE9331B"/>
    <w:rsid w:val="2E0F48DF"/>
    <w:rsid w:val="2E17675C"/>
    <w:rsid w:val="2E1A29BB"/>
    <w:rsid w:val="2E8F3105"/>
    <w:rsid w:val="2F1819BF"/>
    <w:rsid w:val="2F4405B8"/>
    <w:rsid w:val="2F9A15D9"/>
    <w:rsid w:val="30B07949"/>
    <w:rsid w:val="30C57B47"/>
    <w:rsid w:val="31486C9B"/>
    <w:rsid w:val="31C559E0"/>
    <w:rsid w:val="31F75DB5"/>
    <w:rsid w:val="320C1861"/>
    <w:rsid w:val="328A09D8"/>
    <w:rsid w:val="32DC7485"/>
    <w:rsid w:val="33523A3E"/>
    <w:rsid w:val="335C05C6"/>
    <w:rsid w:val="335E6AE9"/>
    <w:rsid w:val="33685F3D"/>
    <w:rsid w:val="339F02AA"/>
    <w:rsid w:val="33A53D1B"/>
    <w:rsid w:val="34056568"/>
    <w:rsid w:val="34254E5C"/>
    <w:rsid w:val="343223CE"/>
    <w:rsid w:val="345B4E5B"/>
    <w:rsid w:val="349E076A"/>
    <w:rsid w:val="352C3FC8"/>
    <w:rsid w:val="35ED10F0"/>
    <w:rsid w:val="36363350"/>
    <w:rsid w:val="363650FE"/>
    <w:rsid w:val="36484E32"/>
    <w:rsid w:val="36FF9A7F"/>
    <w:rsid w:val="37054AD1"/>
    <w:rsid w:val="370E607B"/>
    <w:rsid w:val="37202DCE"/>
    <w:rsid w:val="37E1109A"/>
    <w:rsid w:val="38237904"/>
    <w:rsid w:val="384855BD"/>
    <w:rsid w:val="38530FD3"/>
    <w:rsid w:val="38997BC6"/>
    <w:rsid w:val="38A30A45"/>
    <w:rsid w:val="38F512A1"/>
    <w:rsid w:val="392A6A70"/>
    <w:rsid w:val="39BD1693"/>
    <w:rsid w:val="39C8164D"/>
    <w:rsid w:val="3A0379ED"/>
    <w:rsid w:val="3A4304E7"/>
    <w:rsid w:val="3A467BD9"/>
    <w:rsid w:val="3A9E3272"/>
    <w:rsid w:val="3AA30888"/>
    <w:rsid w:val="3ABC7B9C"/>
    <w:rsid w:val="3AC52EF5"/>
    <w:rsid w:val="3AD273C0"/>
    <w:rsid w:val="3B0F5D91"/>
    <w:rsid w:val="3B9F3746"/>
    <w:rsid w:val="3BDB4052"/>
    <w:rsid w:val="3BE01225"/>
    <w:rsid w:val="3C4E0CC8"/>
    <w:rsid w:val="3C7249B6"/>
    <w:rsid w:val="3CB44FCF"/>
    <w:rsid w:val="3CE969B3"/>
    <w:rsid w:val="3CEC416C"/>
    <w:rsid w:val="3D2D6B2F"/>
    <w:rsid w:val="3D514BCA"/>
    <w:rsid w:val="3D5E4F3B"/>
    <w:rsid w:val="3D785FFC"/>
    <w:rsid w:val="3DF75AC8"/>
    <w:rsid w:val="3DFA1107"/>
    <w:rsid w:val="3E1026D9"/>
    <w:rsid w:val="3EB63280"/>
    <w:rsid w:val="3ED951C1"/>
    <w:rsid w:val="3F964E60"/>
    <w:rsid w:val="3FB41789"/>
    <w:rsid w:val="400973E0"/>
    <w:rsid w:val="40931934"/>
    <w:rsid w:val="40BC6B48"/>
    <w:rsid w:val="40CF23D7"/>
    <w:rsid w:val="40F57964"/>
    <w:rsid w:val="41067DC3"/>
    <w:rsid w:val="41151E7C"/>
    <w:rsid w:val="41847666"/>
    <w:rsid w:val="426A3716"/>
    <w:rsid w:val="429A3C78"/>
    <w:rsid w:val="42A72EE0"/>
    <w:rsid w:val="42BD0ADD"/>
    <w:rsid w:val="42D812EB"/>
    <w:rsid w:val="42DE0FF8"/>
    <w:rsid w:val="42FA49DA"/>
    <w:rsid w:val="43AF64F0"/>
    <w:rsid w:val="43ED0DC6"/>
    <w:rsid w:val="44112E01"/>
    <w:rsid w:val="44B55D88"/>
    <w:rsid w:val="44C13ED9"/>
    <w:rsid w:val="44DE52DF"/>
    <w:rsid w:val="45027F52"/>
    <w:rsid w:val="451A208F"/>
    <w:rsid w:val="46144D30"/>
    <w:rsid w:val="462C207A"/>
    <w:rsid w:val="463D6035"/>
    <w:rsid w:val="46821C9A"/>
    <w:rsid w:val="46B470E2"/>
    <w:rsid w:val="46B856BC"/>
    <w:rsid w:val="46C6427C"/>
    <w:rsid w:val="47EB9764"/>
    <w:rsid w:val="47ED3A8B"/>
    <w:rsid w:val="482374AD"/>
    <w:rsid w:val="484E4529"/>
    <w:rsid w:val="49405CED"/>
    <w:rsid w:val="49523BA5"/>
    <w:rsid w:val="49E8450A"/>
    <w:rsid w:val="4A0F5E23"/>
    <w:rsid w:val="4A3459A1"/>
    <w:rsid w:val="4A3A3DDE"/>
    <w:rsid w:val="4A7B5738"/>
    <w:rsid w:val="4AF863F7"/>
    <w:rsid w:val="4B2E419E"/>
    <w:rsid w:val="4B9009B5"/>
    <w:rsid w:val="4C365A00"/>
    <w:rsid w:val="4C5D34BF"/>
    <w:rsid w:val="4C7B3413"/>
    <w:rsid w:val="4CCA7EF7"/>
    <w:rsid w:val="4CF3569F"/>
    <w:rsid w:val="4D10603D"/>
    <w:rsid w:val="4D1E3CE7"/>
    <w:rsid w:val="4D227D33"/>
    <w:rsid w:val="4D24457B"/>
    <w:rsid w:val="4D45551D"/>
    <w:rsid w:val="4D493511"/>
    <w:rsid w:val="4D9F75D5"/>
    <w:rsid w:val="4DA10051"/>
    <w:rsid w:val="4DC25073"/>
    <w:rsid w:val="4E9B5FEF"/>
    <w:rsid w:val="4EB576F3"/>
    <w:rsid w:val="4EEC684A"/>
    <w:rsid w:val="4F4421E2"/>
    <w:rsid w:val="4F69570D"/>
    <w:rsid w:val="4F8847C5"/>
    <w:rsid w:val="4FB37368"/>
    <w:rsid w:val="4FD5880A"/>
    <w:rsid w:val="522A501F"/>
    <w:rsid w:val="5266048A"/>
    <w:rsid w:val="52A5743C"/>
    <w:rsid w:val="52CD0741"/>
    <w:rsid w:val="5311687F"/>
    <w:rsid w:val="53135385"/>
    <w:rsid w:val="53481693"/>
    <w:rsid w:val="535844AE"/>
    <w:rsid w:val="536270DB"/>
    <w:rsid w:val="536F229E"/>
    <w:rsid w:val="539B083F"/>
    <w:rsid w:val="540B1521"/>
    <w:rsid w:val="540E2DBF"/>
    <w:rsid w:val="54123E2A"/>
    <w:rsid w:val="542919A7"/>
    <w:rsid w:val="54521AE9"/>
    <w:rsid w:val="54B90F7D"/>
    <w:rsid w:val="54F309DA"/>
    <w:rsid w:val="553703C2"/>
    <w:rsid w:val="55853555"/>
    <w:rsid w:val="55E738C7"/>
    <w:rsid w:val="55FC5E1B"/>
    <w:rsid w:val="55FD531E"/>
    <w:rsid w:val="55FF53A3"/>
    <w:rsid w:val="56091A90"/>
    <w:rsid w:val="560E354A"/>
    <w:rsid w:val="562763BA"/>
    <w:rsid w:val="573B036F"/>
    <w:rsid w:val="57AC301B"/>
    <w:rsid w:val="57E76159"/>
    <w:rsid w:val="587B479B"/>
    <w:rsid w:val="58C148A4"/>
    <w:rsid w:val="58CA38E4"/>
    <w:rsid w:val="59843473"/>
    <w:rsid w:val="59861649"/>
    <w:rsid w:val="598B7F01"/>
    <w:rsid w:val="59B7452C"/>
    <w:rsid w:val="5A932270"/>
    <w:rsid w:val="5B4A6DD2"/>
    <w:rsid w:val="5B4F263B"/>
    <w:rsid w:val="5BA6155E"/>
    <w:rsid w:val="5CEE378D"/>
    <w:rsid w:val="5D5932FD"/>
    <w:rsid w:val="5D9E1657"/>
    <w:rsid w:val="5DF70D68"/>
    <w:rsid w:val="5DFF7991"/>
    <w:rsid w:val="5E0E058B"/>
    <w:rsid w:val="5E4A0E97"/>
    <w:rsid w:val="5E923F3C"/>
    <w:rsid w:val="5EAE7096"/>
    <w:rsid w:val="5ECC7AFE"/>
    <w:rsid w:val="5F245B8C"/>
    <w:rsid w:val="5F41229A"/>
    <w:rsid w:val="5F871F7B"/>
    <w:rsid w:val="5FEBD48B"/>
    <w:rsid w:val="601856F1"/>
    <w:rsid w:val="60430F28"/>
    <w:rsid w:val="60966616"/>
    <w:rsid w:val="60A01243"/>
    <w:rsid w:val="60AF6933"/>
    <w:rsid w:val="60E2185B"/>
    <w:rsid w:val="61243C22"/>
    <w:rsid w:val="616B7AA3"/>
    <w:rsid w:val="619C4100"/>
    <w:rsid w:val="61A61348"/>
    <w:rsid w:val="61D07906"/>
    <w:rsid w:val="61D70C94"/>
    <w:rsid w:val="621C6FEF"/>
    <w:rsid w:val="62483940"/>
    <w:rsid w:val="626F35C2"/>
    <w:rsid w:val="62A80882"/>
    <w:rsid w:val="63807109"/>
    <w:rsid w:val="638E5891"/>
    <w:rsid w:val="6390559E"/>
    <w:rsid w:val="639332E1"/>
    <w:rsid w:val="644A1BF1"/>
    <w:rsid w:val="646A4041"/>
    <w:rsid w:val="64740A1C"/>
    <w:rsid w:val="64BA03AB"/>
    <w:rsid w:val="651E4E2C"/>
    <w:rsid w:val="654A5C21"/>
    <w:rsid w:val="65573599"/>
    <w:rsid w:val="6570614C"/>
    <w:rsid w:val="658B0384"/>
    <w:rsid w:val="666F6B5A"/>
    <w:rsid w:val="672A3F5C"/>
    <w:rsid w:val="673B7F17"/>
    <w:rsid w:val="68D93544"/>
    <w:rsid w:val="690E58E3"/>
    <w:rsid w:val="692F585A"/>
    <w:rsid w:val="69743C3C"/>
    <w:rsid w:val="6988681C"/>
    <w:rsid w:val="69923610"/>
    <w:rsid w:val="69BD10B7"/>
    <w:rsid w:val="69C72314"/>
    <w:rsid w:val="6A7A2B04"/>
    <w:rsid w:val="6AA87672"/>
    <w:rsid w:val="6AEF34F2"/>
    <w:rsid w:val="6B1747F7"/>
    <w:rsid w:val="6B182A49"/>
    <w:rsid w:val="6B3F2BB1"/>
    <w:rsid w:val="6B5E5F82"/>
    <w:rsid w:val="6B96396E"/>
    <w:rsid w:val="6BBF2EC5"/>
    <w:rsid w:val="6C9854C4"/>
    <w:rsid w:val="6D12171A"/>
    <w:rsid w:val="6DFF3A4C"/>
    <w:rsid w:val="6E0E5B84"/>
    <w:rsid w:val="6E1119D2"/>
    <w:rsid w:val="6E3F757F"/>
    <w:rsid w:val="6EFE1F56"/>
    <w:rsid w:val="6F176B74"/>
    <w:rsid w:val="6F377216"/>
    <w:rsid w:val="6F426800"/>
    <w:rsid w:val="6F4F27B2"/>
    <w:rsid w:val="6FA128E1"/>
    <w:rsid w:val="6FF9096F"/>
    <w:rsid w:val="6FFD220E"/>
    <w:rsid w:val="703B4911"/>
    <w:rsid w:val="70866779"/>
    <w:rsid w:val="70A1528F"/>
    <w:rsid w:val="70F25AEA"/>
    <w:rsid w:val="715C2F64"/>
    <w:rsid w:val="71C83BC8"/>
    <w:rsid w:val="71FB3C61"/>
    <w:rsid w:val="722B15B2"/>
    <w:rsid w:val="724C282E"/>
    <w:rsid w:val="72676064"/>
    <w:rsid w:val="728B1D53"/>
    <w:rsid w:val="74510D7A"/>
    <w:rsid w:val="74AE1D28"/>
    <w:rsid w:val="74B60BDD"/>
    <w:rsid w:val="74CC0400"/>
    <w:rsid w:val="74CE23CA"/>
    <w:rsid w:val="74E0438D"/>
    <w:rsid w:val="751A5610"/>
    <w:rsid w:val="754D1541"/>
    <w:rsid w:val="75A45336"/>
    <w:rsid w:val="75C335B1"/>
    <w:rsid w:val="75CB4B5C"/>
    <w:rsid w:val="76AE4262"/>
    <w:rsid w:val="76B11CBC"/>
    <w:rsid w:val="76C6687F"/>
    <w:rsid w:val="76D0242A"/>
    <w:rsid w:val="76DA32A9"/>
    <w:rsid w:val="76E9529A"/>
    <w:rsid w:val="76F31C74"/>
    <w:rsid w:val="772C5186"/>
    <w:rsid w:val="77B554DF"/>
    <w:rsid w:val="786C7F30"/>
    <w:rsid w:val="787768D5"/>
    <w:rsid w:val="78AD0549"/>
    <w:rsid w:val="78CC7130"/>
    <w:rsid w:val="79142376"/>
    <w:rsid w:val="79314CD6"/>
    <w:rsid w:val="797846B3"/>
    <w:rsid w:val="79F93A46"/>
    <w:rsid w:val="79FC52E4"/>
    <w:rsid w:val="7A777060"/>
    <w:rsid w:val="7AFB37ED"/>
    <w:rsid w:val="7AFE508C"/>
    <w:rsid w:val="7B0703E4"/>
    <w:rsid w:val="7B4D01D8"/>
    <w:rsid w:val="7B811F45"/>
    <w:rsid w:val="7BEC3136"/>
    <w:rsid w:val="7C0B3F04"/>
    <w:rsid w:val="7CB65C1E"/>
    <w:rsid w:val="7D16490F"/>
    <w:rsid w:val="7D627B54"/>
    <w:rsid w:val="7D6B1DF9"/>
    <w:rsid w:val="7D9912F0"/>
    <w:rsid w:val="7DCE51E9"/>
    <w:rsid w:val="7DDD50B3"/>
    <w:rsid w:val="7E0724A9"/>
    <w:rsid w:val="7E143AC6"/>
    <w:rsid w:val="7EDC446E"/>
    <w:rsid w:val="7EF173E1"/>
    <w:rsid w:val="7F1F91F1"/>
    <w:rsid w:val="7F313C82"/>
    <w:rsid w:val="7F5B0CFF"/>
    <w:rsid w:val="7FE25389"/>
    <w:rsid w:val="7FEF9A3C"/>
    <w:rsid w:val="A6BF894F"/>
    <w:rsid w:val="B8F37DC7"/>
    <w:rsid w:val="CFFDA164"/>
    <w:rsid w:val="D67FDA92"/>
    <w:rsid w:val="DADDFF82"/>
    <w:rsid w:val="DFB2C096"/>
    <w:rsid w:val="DFBF400A"/>
    <w:rsid w:val="E3F631F9"/>
    <w:rsid w:val="E5F73F78"/>
    <w:rsid w:val="EFFD2A10"/>
    <w:rsid w:val="F633F424"/>
    <w:rsid w:val="F7F45A08"/>
    <w:rsid w:val="F87F4B3E"/>
    <w:rsid w:val="F9A742E5"/>
    <w:rsid w:val="FCBFA23F"/>
    <w:rsid w:val="FFB31977"/>
    <w:rsid w:val="FFE89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after="240" w:line="480" w:lineRule="auto"/>
      <w:jc w:val="center"/>
      <w:outlineLvl w:val="0"/>
    </w:pPr>
    <w:rPr>
      <w:rFonts w:eastAsia="宋体"/>
      <w:b/>
      <w:bCs/>
      <w:kern w:val="44"/>
      <w:sz w:val="44"/>
      <w:szCs w:val="44"/>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qFormat/>
    <w:uiPriority w:val="0"/>
    <w:pPr>
      <w:jc w:val="left"/>
    </w:pPr>
  </w:style>
  <w:style w:type="paragraph" w:styleId="4">
    <w:name w:val="Balloon Text"/>
    <w:basedOn w:val="1"/>
    <w:link w:val="15"/>
    <w:qFormat/>
    <w:uiPriority w:val="0"/>
    <w:rPr>
      <w:rFonts w:ascii="宋体" w:eastAsia="宋体"/>
      <w:sz w:val="18"/>
      <w:szCs w:val="18"/>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annotation subject"/>
    <w:basedOn w:val="3"/>
    <w:next w:val="3"/>
    <w:link w:val="17"/>
    <w:qFormat/>
    <w:uiPriority w:val="0"/>
    <w:rPr>
      <w:b/>
      <w:bCs/>
    </w:rPr>
  </w:style>
  <w:style w:type="character" w:styleId="11">
    <w:name w:val="Strong"/>
    <w:basedOn w:val="10"/>
    <w:qFormat/>
    <w:uiPriority w:val="0"/>
    <w:rPr>
      <w:b/>
    </w:rPr>
  </w:style>
  <w:style w:type="character" w:styleId="12">
    <w:name w:val="annotation reference"/>
    <w:basedOn w:val="10"/>
    <w:qFormat/>
    <w:uiPriority w:val="0"/>
    <w:rPr>
      <w:sz w:val="21"/>
      <w:szCs w:val="21"/>
    </w:rPr>
  </w:style>
  <w:style w:type="paragraph" w:customStyle="1" w:styleId="13">
    <w:name w:val="正文 A"/>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customStyle="1" w:styleId="14">
    <w:name w:val="不明显强调1"/>
    <w:basedOn w:val="10"/>
    <w:qFormat/>
    <w:uiPriority w:val="19"/>
    <w:rPr>
      <w:i/>
      <w:iCs/>
      <w:color w:val="404040" w:themeColor="text1" w:themeTint="BF"/>
      <w14:textFill>
        <w14:solidFill>
          <w14:schemeClr w14:val="tx1">
            <w14:lumMod w14:val="75000"/>
            <w14:lumOff w14:val="25000"/>
          </w14:schemeClr>
        </w14:solidFill>
      </w14:textFill>
    </w:rPr>
  </w:style>
  <w:style w:type="character" w:customStyle="1" w:styleId="15">
    <w:name w:val="批注框文本 字符"/>
    <w:basedOn w:val="10"/>
    <w:link w:val="4"/>
    <w:qFormat/>
    <w:uiPriority w:val="0"/>
    <w:rPr>
      <w:rFonts w:ascii="宋体" w:hAnsiTheme="minorHAnsi" w:cstheme="minorBidi"/>
      <w:kern w:val="2"/>
      <w:sz w:val="18"/>
      <w:szCs w:val="18"/>
    </w:rPr>
  </w:style>
  <w:style w:type="character" w:customStyle="1" w:styleId="16">
    <w:name w:val="批注文字 字符"/>
    <w:basedOn w:val="10"/>
    <w:link w:val="3"/>
    <w:qFormat/>
    <w:uiPriority w:val="0"/>
    <w:rPr>
      <w:rFonts w:asciiTheme="minorHAnsi" w:hAnsiTheme="minorHAnsi" w:eastAsiaTheme="minorEastAsia" w:cstheme="minorBidi"/>
      <w:kern w:val="2"/>
      <w:sz w:val="21"/>
      <w:szCs w:val="24"/>
    </w:rPr>
  </w:style>
  <w:style w:type="character" w:customStyle="1" w:styleId="17">
    <w:name w:val="批注主题 字符"/>
    <w:basedOn w:val="16"/>
    <w:link w:val="8"/>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1145</Words>
  <Characters>6533</Characters>
  <Lines>54</Lines>
  <Paragraphs>15</Paragraphs>
  <TotalTime>21</TotalTime>
  <ScaleCrop>false</ScaleCrop>
  <LinksUpToDate>false</LinksUpToDate>
  <CharactersWithSpaces>7663</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2020-10-18T10:51:00Z</dcterms:created>
  <dc:creator>高袁秋玥</dc:creator>
  <cp:lastModifiedBy>陆晓雨</cp:lastModifiedBy>
  <cp:lastPrinted>2022-09-02T15:40:00Z</cp:lastPrinted>
  <dcterms:modified xsi:type="dcterms:W3CDTF">2024-08-20T14:18:36Z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2052-6.5.2.8766</vt:lpwstr>
  </property>
  <property fmtid="{D5CDD505-2E9C-101B-9397-08002B2CF9AE}" pid="3" name="ICV">
    <vt:lpwstr>F91CF0E32B8BAEF33C35C466EDE0193B_43</vt:lpwstr>
  </property>
</Properties>
</file>