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CE9A4">
      <w:pPr>
        <w:spacing w:line="360" w:lineRule="auto"/>
        <w:jc w:val="center"/>
        <w:rPr>
          <w:rFonts w:ascii="仿宋" w:hAnsi="仿宋" w:eastAsia="仿宋" w:cs="仿宋"/>
          <w:b/>
          <w:bCs/>
          <w:sz w:val="30"/>
          <w:szCs w:val="30"/>
        </w:rPr>
      </w:pPr>
      <w:r>
        <w:rPr>
          <w:rFonts w:hint="eastAsia" w:ascii="仿宋" w:hAnsi="仿宋" w:eastAsia="仿宋" w:cs="仿宋"/>
          <w:b/>
          <w:bCs/>
          <w:sz w:val="30"/>
          <w:szCs w:val="30"/>
        </w:rPr>
        <w:t>竞买须知</w:t>
      </w:r>
    </w:p>
    <w:p w14:paraId="4BE9507B">
      <w:pPr>
        <w:spacing w:line="360" w:lineRule="auto"/>
        <w:ind w:firstLine="600" w:firstLineChars="200"/>
        <w:jc w:val="left"/>
        <w:rPr>
          <w:rFonts w:ascii="仿宋" w:hAnsi="仿宋" w:eastAsia="仿宋" w:cs="仿宋"/>
          <w:sz w:val="30"/>
          <w:szCs w:val="30"/>
        </w:rPr>
      </w:pPr>
      <w:r>
        <w:rPr>
          <w:rFonts w:hint="eastAsia" w:ascii="仿宋" w:hAnsi="仿宋" w:eastAsia="仿宋" w:cs="仿宋"/>
          <w:sz w:val="30"/>
          <w:szCs w:val="30"/>
        </w:rPr>
        <w:t> </w:t>
      </w:r>
    </w:p>
    <w:p w14:paraId="2DD5CA57">
      <w:pPr>
        <w:spacing w:line="360" w:lineRule="auto"/>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江西远东机械科技有限公司</w:t>
      </w:r>
      <w:r>
        <w:rPr>
          <w:rFonts w:hint="eastAsia" w:ascii="仿宋" w:hAnsi="仿宋" w:eastAsia="仿宋" w:cs="仿宋"/>
          <w:sz w:val="28"/>
          <w:szCs w:val="28"/>
        </w:rPr>
        <w:t>管理人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江西远东新能源有限公司管理人</w:t>
      </w:r>
      <w:r>
        <w:rPr>
          <w:rFonts w:hint="eastAsia" w:ascii="仿宋" w:hAnsi="仿宋" w:eastAsia="仿宋" w:cs="仿宋"/>
          <w:sz w:val="28"/>
          <w:szCs w:val="28"/>
        </w:rPr>
        <w:t>将于</w:t>
      </w:r>
      <w:r>
        <w:rPr>
          <w:rFonts w:hint="eastAsia" w:ascii="仿宋" w:hAnsi="仿宋" w:eastAsia="仿宋" w:cs="仿宋"/>
          <w:b/>
          <w:bCs/>
          <w:sz w:val="28"/>
          <w:szCs w:val="28"/>
          <w:u w:val="single"/>
        </w:rPr>
        <w:t>202</w:t>
      </w:r>
      <w:r>
        <w:rPr>
          <w:rFonts w:hint="eastAsia" w:ascii="仿宋" w:hAnsi="仿宋" w:eastAsia="仿宋" w:cs="仿宋"/>
          <w:b/>
          <w:bCs/>
          <w:sz w:val="28"/>
          <w:szCs w:val="28"/>
          <w:u w:val="single"/>
          <w:lang w:val="en-US" w:eastAsia="zh-CN"/>
        </w:rPr>
        <w:t>4</w:t>
      </w:r>
      <w:r>
        <w:rPr>
          <w:rFonts w:hint="eastAsia" w:ascii="仿宋" w:hAnsi="仿宋" w:eastAsia="仿宋" w:cs="仿宋"/>
          <w:b/>
          <w:bCs/>
          <w:sz w:val="28"/>
          <w:szCs w:val="28"/>
          <w:u w:val="single"/>
        </w:rPr>
        <w:t>年</w:t>
      </w:r>
      <w:r>
        <w:rPr>
          <w:rFonts w:hint="eastAsia" w:ascii="仿宋" w:hAnsi="仿宋" w:eastAsia="仿宋" w:cs="仿宋"/>
          <w:b/>
          <w:bCs/>
          <w:sz w:val="28"/>
          <w:szCs w:val="28"/>
          <w:u w:val="single"/>
          <w:lang w:val="en-US" w:eastAsia="zh-CN"/>
        </w:rPr>
        <w:t>8</w:t>
      </w:r>
      <w:r>
        <w:rPr>
          <w:rFonts w:hint="eastAsia" w:ascii="仿宋" w:hAnsi="仿宋" w:eastAsia="仿宋" w:cs="仿宋"/>
          <w:b/>
          <w:bCs/>
          <w:sz w:val="28"/>
          <w:szCs w:val="28"/>
          <w:u w:val="single"/>
        </w:rPr>
        <w:t>月</w:t>
      </w:r>
      <w:r>
        <w:rPr>
          <w:rFonts w:hint="eastAsia" w:ascii="仿宋" w:hAnsi="仿宋" w:eastAsia="仿宋" w:cs="仿宋"/>
          <w:b/>
          <w:bCs/>
          <w:sz w:val="28"/>
          <w:szCs w:val="28"/>
          <w:u w:val="single"/>
          <w:lang w:val="en-US" w:eastAsia="zh-CN"/>
        </w:rPr>
        <w:t>13</w:t>
      </w:r>
      <w:r>
        <w:rPr>
          <w:rFonts w:hint="eastAsia" w:ascii="仿宋" w:hAnsi="仿宋" w:eastAsia="仿宋" w:cs="仿宋"/>
          <w:b/>
          <w:bCs/>
          <w:sz w:val="28"/>
          <w:szCs w:val="28"/>
          <w:u w:val="single"/>
        </w:rPr>
        <w:t>日上午10时至202</w:t>
      </w:r>
      <w:r>
        <w:rPr>
          <w:rFonts w:hint="eastAsia" w:ascii="仿宋" w:hAnsi="仿宋" w:eastAsia="仿宋" w:cs="仿宋"/>
          <w:b/>
          <w:bCs/>
          <w:sz w:val="28"/>
          <w:szCs w:val="28"/>
          <w:u w:val="single"/>
          <w:lang w:val="en-US" w:eastAsia="zh-CN"/>
        </w:rPr>
        <w:t>4</w:t>
      </w:r>
      <w:r>
        <w:rPr>
          <w:rFonts w:hint="eastAsia" w:ascii="仿宋" w:hAnsi="仿宋" w:eastAsia="仿宋" w:cs="仿宋"/>
          <w:b/>
          <w:bCs/>
          <w:sz w:val="28"/>
          <w:szCs w:val="28"/>
          <w:u w:val="single"/>
        </w:rPr>
        <w:t>年</w:t>
      </w:r>
      <w:r>
        <w:rPr>
          <w:rFonts w:hint="eastAsia" w:ascii="仿宋" w:hAnsi="仿宋" w:eastAsia="仿宋" w:cs="仿宋"/>
          <w:b/>
          <w:bCs/>
          <w:sz w:val="28"/>
          <w:szCs w:val="28"/>
          <w:u w:val="single"/>
          <w:lang w:val="en-US" w:eastAsia="zh-CN"/>
        </w:rPr>
        <w:t>8</w:t>
      </w:r>
      <w:r>
        <w:rPr>
          <w:rFonts w:hint="eastAsia" w:ascii="仿宋" w:hAnsi="仿宋" w:eastAsia="仿宋" w:cs="仿宋"/>
          <w:b/>
          <w:bCs/>
          <w:sz w:val="28"/>
          <w:szCs w:val="28"/>
          <w:u w:val="single"/>
        </w:rPr>
        <w:t>月</w:t>
      </w:r>
      <w:r>
        <w:rPr>
          <w:rFonts w:hint="eastAsia" w:ascii="仿宋" w:hAnsi="仿宋" w:eastAsia="仿宋" w:cs="仿宋"/>
          <w:b/>
          <w:bCs/>
          <w:sz w:val="28"/>
          <w:szCs w:val="28"/>
          <w:u w:val="single"/>
          <w:lang w:val="en-US" w:eastAsia="zh-CN"/>
        </w:rPr>
        <w:t>27</w:t>
      </w:r>
      <w:r>
        <w:rPr>
          <w:rFonts w:hint="eastAsia" w:ascii="仿宋" w:hAnsi="仿宋" w:eastAsia="仿宋" w:cs="仿宋"/>
          <w:b/>
          <w:bCs/>
          <w:sz w:val="28"/>
          <w:szCs w:val="28"/>
          <w:u w:val="single"/>
        </w:rPr>
        <w:t>日上午10时止</w:t>
      </w:r>
      <w:r>
        <w:rPr>
          <w:rFonts w:hint="eastAsia" w:ascii="仿宋" w:hAnsi="仿宋" w:eastAsia="仿宋" w:cs="仿宋"/>
          <w:sz w:val="28"/>
          <w:szCs w:val="28"/>
        </w:rPr>
        <w:t>（延时除外）在淘宝网阿里拍卖破产强清平台进行公开拍卖活动，现就网上拍卖有关事宜敬告各位竞买人</w:t>
      </w:r>
      <w:r>
        <w:rPr>
          <w:rFonts w:hint="eastAsia" w:ascii="仿宋" w:hAnsi="仿宋" w:eastAsia="仿宋" w:cs="仿宋"/>
          <w:sz w:val="28"/>
          <w:szCs w:val="28"/>
          <w:lang w:eastAsia="zh-CN"/>
        </w:rPr>
        <w:t>：</w:t>
      </w:r>
    </w:p>
    <w:p w14:paraId="6E2BDA4B">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一、本《拍卖须知》根据《中华人民共和国民事诉讼法》等相关法律规定所制定，竞买人应认真仔细阅读，了解本须知的全部内容。</w:t>
      </w:r>
    </w:p>
    <w:p w14:paraId="52047AA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二、本次拍卖活动遵循“公开、公平、公正、诚实守信”的原则，拍卖活动具备法律效力。参加本次拍卖活动的竞买人必须遵守本须知的各项条款，并对自己的行为承担法律责任。</w:t>
      </w:r>
    </w:p>
    <w:p w14:paraId="472DB11E">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58C6E18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四、竞买人条件：凡具备完全民事行为能力的公民、法人和其他组织均可参加竞买，若不具有完全民事行为能力其代理人必须具备完全民事行为能力；法律、行政法规、司法解释对买受人资格或者条件有特殊规定的，竞买人应当具备规定的资格或者条件。因不符合条件参加竞买的，由竞买人自行承担相应的法律责任。</w:t>
      </w:r>
    </w:p>
    <w:p w14:paraId="7BD5676A">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565DB99D">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因不符合条件参加竞买的，由竞买人自行承担相应的法律责任。</w:t>
      </w:r>
    </w:p>
    <w:p w14:paraId="07F73A42">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五、优先购买权人参加竞买的应于拍卖公告发布之日起五日内向管理人提交合法有效的证明，资格经管理人确认并添加至破产强清平台后台系统后才能参与竞买，逾期不提交的，视为放弃对本标的物享有优先购买权。</w:t>
      </w:r>
    </w:p>
    <w:p w14:paraId="1405D16D">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六、与本标的物有利害关系的当事人可参加竞拍，不参加竞拍的请关注本次拍卖活动的整个过程。</w:t>
      </w:r>
    </w:p>
    <w:p w14:paraId="50CDACEE">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七、本次拍卖活动设置延时出价功能，在拍卖活动结束前，每最后5分钟如果有竞买人出价，就自动延迟5分钟。</w:t>
      </w:r>
    </w:p>
    <w:p w14:paraId="685730EA">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八、拍卖成交的，本标的物竞得者（又称“买受人”）冻结的保证金将自动转入管理人指定账户，其他竞买人的保证金在拍卖后即时解冻。拍卖未成交的（即流拍的），竞买人的保证金在拍卖活动结束后即时解冻，保证金冻结期间不计利息。</w:t>
      </w:r>
    </w:p>
    <w:p w14:paraId="1A41C712">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破产企业资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仿宋"/>
          <w:sz w:val="28"/>
          <w:szCs w:val="28"/>
          <w:lang w:eastAsia="zh-CN"/>
        </w:rPr>
        <w:t>：</w:t>
      </w:r>
      <w:r>
        <w:rPr>
          <w:sz w:val="28"/>
          <w:szCs w:val="28"/>
        </w:rPr>
        <w:fldChar w:fldCharType="begin"/>
      </w:r>
      <w:r>
        <w:rPr>
          <w:sz w:val="28"/>
          <w:szCs w:val="28"/>
        </w:rPr>
        <w:instrText xml:space="preserve"> HYPERLINK "https://susong-item.taobao.com/auction/672245033902.htm?spm=a219w.7474998.paiList.2.13834d827pbYRP" </w:instrText>
      </w:r>
      <w:r>
        <w:rPr>
          <w:sz w:val="28"/>
          <w:szCs w:val="28"/>
        </w:rPr>
        <w:fldChar w:fldCharType="separate"/>
      </w:r>
      <w:r>
        <w:rPr>
          <w:rFonts w:hint="eastAsia" w:ascii="仿宋" w:hAnsi="仿宋" w:eastAsia="仿宋" w:cs="仿宋"/>
          <w:sz w:val="28"/>
          <w:szCs w:val="28"/>
        </w:rPr>
        <w:t>https://www.taobao.com/market/paimai/sf-helpcenter.php?path=sf-hc-right-content5#q1</w:t>
      </w:r>
      <w:r>
        <w:rPr>
          <w:rFonts w:hint="eastAsia" w:ascii="仿宋" w:hAnsi="仿宋" w:eastAsia="仿宋" w:cs="仿宋"/>
          <w:sz w:val="28"/>
          <w:szCs w:val="28"/>
        </w:rPr>
        <w:fldChar w:fldCharType="end"/>
      </w:r>
      <w:r>
        <w:rPr>
          <w:rFonts w:hint="eastAsia" w:ascii="仿宋" w:hAnsi="仿宋" w:eastAsia="仿宋" w:cs="仿宋"/>
          <w:sz w:val="28"/>
          <w:szCs w:val="28"/>
        </w:rPr>
        <w:t>。</w:t>
      </w:r>
    </w:p>
    <w:p w14:paraId="1CA3218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九、买受人应于付清全部拍卖成交款后</w:t>
      </w:r>
      <w:r>
        <w:rPr>
          <w:rFonts w:hint="eastAsia" w:ascii="仿宋" w:hAnsi="仿宋" w:eastAsia="仿宋" w:cs="仿宋"/>
          <w:color w:val="000000" w:themeColor="text1"/>
          <w:sz w:val="28"/>
          <w:szCs w:val="28"/>
          <w:u w:val="single"/>
          <w14:textFill>
            <w14:solidFill>
              <w14:schemeClr w14:val="tx1"/>
            </w14:solidFill>
          </w14:textFill>
        </w:rPr>
        <w:t>3日内</w:t>
      </w:r>
      <w:r>
        <w:rPr>
          <w:rFonts w:hint="eastAsia" w:ascii="仿宋" w:hAnsi="仿宋" w:eastAsia="仿宋" w:cs="仿宋"/>
          <w:sz w:val="28"/>
          <w:szCs w:val="28"/>
        </w:rPr>
        <w:t>（遇节假日顺延）</w:t>
      </w:r>
      <w:r>
        <w:rPr>
          <w:rFonts w:hint="eastAsia" w:ascii="仿宋" w:hAnsi="仿宋" w:eastAsia="仿宋" w:cs="仿宋"/>
          <w:sz w:val="28"/>
          <w:szCs w:val="28"/>
          <w:u w:val="single"/>
        </w:rPr>
        <w:t>凭付款凭证及相关身份材料到破产管理人处</w:t>
      </w:r>
      <w:r>
        <w:rPr>
          <w:rFonts w:hint="eastAsia" w:ascii="仿宋" w:hAnsi="仿宋" w:eastAsia="仿宋" w:cs="仿宋"/>
          <w:sz w:val="28"/>
          <w:szCs w:val="28"/>
        </w:rPr>
        <w:t>（地址：</w:t>
      </w:r>
      <w:r>
        <w:rPr>
          <w:rFonts w:hint="eastAsia" w:ascii="仿宋" w:hAnsi="仿宋" w:eastAsia="仿宋" w:cs="仿宋"/>
          <w:sz w:val="28"/>
          <w:szCs w:val="28"/>
          <w:u w:val="single"/>
        </w:rPr>
        <w:t>江西省萍乡市安源区金融港二号楼17F北京雍文（萍乡）律师事务所</w:t>
      </w:r>
      <w:r>
        <w:rPr>
          <w:rFonts w:hint="eastAsia" w:ascii="仿宋" w:hAnsi="仿宋" w:eastAsia="仿宋" w:cs="仿宋"/>
          <w:color w:val="000000" w:themeColor="text1"/>
          <w:sz w:val="28"/>
          <w:szCs w:val="28"/>
          <w:u w:val="single"/>
          <w14:textFill>
            <w14:solidFill>
              <w14:schemeClr w14:val="tx1"/>
            </w14:solidFill>
          </w14:textFill>
        </w:rPr>
        <w:t>）</w:t>
      </w:r>
      <w:r>
        <w:rPr>
          <w:rFonts w:hint="eastAsia" w:ascii="仿宋" w:hAnsi="仿宋" w:eastAsia="仿宋" w:cs="仿宋"/>
          <w:sz w:val="28"/>
          <w:szCs w:val="28"/>
        </w:rPr>
        <w:t>签署拍卖成交确认文件</w:t>
      </w:r>
      <w:r>
        <w:rPr>
          <w:rFonts w:hint="eastAsia" w:ascii="仿宋" w:hAnsi="仿宋" w:eastAsia="仿宋" w:cs="仿宋"/>
          <w:sz w:val="28"/>
          <w:szCs w:val="28"/>
          <w:lang w:eastAsia="zh-CN"/>
        </w:rPr>
        <w:t>，</w:t>
      </w:r>
      <w:r>
        <w:rPr>
          <w:rFonts w:hint="eastAsia" w:ascii="仿宋" w:hAnsi="仿宋" w:eastAsia="仿宋" w:cs="仿宋"/>
          <w:sz w:val="28"/>
          <w:szCs w:val="28"/>
          <w:u w:val="single"/>
        </w:rPr>
        <w:t>并</w:t>
      </w:r>
      <w:r>
        <w:rPr>
          <w:rFonts w:hint="eastAsia" w:ascii="仿宋" w:hAnsi="仿宋" w:eastAsia="仿宋" w:cs="仿宋"/>
          <w:sz w:val="28"/>
          <w:szCs w:val="28"/>
          <w:u w:val="single"/>
          <w:lang w:val="en-US" w:eastAsia="zh-CN"/>
        </w:rPr>
        <w:t>应</w:t>
      </w:r>
      <w:r>
        <w:rPr>
          <w:rFonts w:hint="eastAsia" w:ascii="仿宋" w:hAnsi="仿宋" w:eastAsia="仿宋" w:cs="仿宋"/>
          <w:sz w:val="28"/>
          <w:szCs w:val="28"/>
          <w:u w:val="single"/>
        </w:rPr>
        <w:t>在尾款支付后</w:t>
      </w:r>
      <w:r>
        <w:rPr>
          <w:rFonts w:hint="eastAsia" w:ascii="仿宋" w:hAnsi="仿宋" w:eastAsia="仿宋" w:cs="仿宋"/>
          <w:color w:val="000000" w:themeColor="text1"/>
          <w:sz w:val="28"/>
          <w:szCs w:val="28"/>
          <w:u w:val="single"/>
          <w14:textFill>
            <w14:solidFill>
              <w14:schemeClr w14:val="tx1"/>
            </w14:solidFill>
          </w14:textFill>
        </w:rPr>
        <w:t>10日内</w:t>
      </w:r>
      <w:r>
        <w:rPr>
          <w:rFonts w:hint="eastAsia" w:ascii="仿宋" w:hAnsi="仿宋" w:eastAsia="仿宋" w:cs="仿宋"/>
          <w:sz w:val="28"/>
          <w:szCs w:val="28"/>
          <w:u w:val="single"/>
        </w:rPr>
        <w:t>前往标的物所在厂区内办理交割手续。</w:t>
      </w:r>
      <w:r>
        <w:rPr>
          <w:rFonts w:hint="eastAsia" w:ascii="仿宋" w:hAnsi="仿宋" w:eastAsia="仿宋" w:cs="仿宋"/>
          <w:sz w:val="28"/>
          <w:szCs w:val="28"/>
        </w:rPr>
        <w:t>请买受人于付清全部拍卖成交款后三日内主动与管理人取得联系以确认相关事项。</w:t>
      </w:r>
    </w:p>
    <w:p w14:paraId="2EEF7F98">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十、买受人在按要求缴纳全部拍卖款后应及时签署成交相关文件，并由管理人协助办理</w:t>
      </w:r>
      <w:r>
        <w:rPr>
          <w:rFonts w:hint="eastAsia" w:ascii="仿宋" w:hAnsi="仿宋" w:eastAsia="仿宋" w:cs="仿宋"/>
          <w:sz w:val="28"/>
          <w:szCs w:val="28"/>
          <w:lang w:val="en-US" w:eastAsia="zh-CN"/>
        </w:rPr>
        <w:t>交割手续或</w:t>
      </w:r>
      <w:r>
        <w:rPr>
          <w:rFonts w:hint="eastAsia" w:ascii="仿宋" w:hAnsi="仿宋" w:eastAsia="仿宋" w:cs="仿宋"/>
          <w:sz w:val="28"/>
          <w:szCs w:val="28"/>
        </w:rPr>
        <w:t>过户手续</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如需</w:t>
      </w:r>
      <w:r>
        <w:rPr>
          <w:rFonts w:hint="eastAsia" w:ascii="仿宋" w:hAnsi="仿宋" w:eastAsia="仿宋" w:cs="仿宋"/>
          <w:sz w:val="28"/>
          <w:szCs w:val="28"/>
          <w:lang w:eastAsia="zh-CN"/>
        </w:rPr>
        <w:t>）</w:t>
      </w:r>
      <w:r>
        <w:rPr>
          <w:rFonts w:hint="eastAsia" w:ascii="仿宋" w:hAnsi="仿宋" w:eastAsia="仿宋" w:cs="仿宋"/>
          <w:sz w:val="28"/>
          <w:szCs w:val="28"/>
        </w:rPr>
        <w:t>，逾期不办理的，将承担本标的物可能发生的损毁、灭失等后果。能否办理过户手续及办理过户手续的时间请竞买人在竞买前自行到相关部门咨询确认，标的物现状及存在瑕疵等原因不能或者延迟办理过户手续造成的费用增加的后果自负，管理人不作过户的任何承诺，交易过程中产生的相关税费和所需补交的相关税费按照税法规定各自负担相应税费，竞买人参拍前请自行向所涉税务部门确认成交后应缴纳的税费标，法律未予以明确规定的，由买受人承担，买受人在竞买前应向所涉相关部门确认成交后应缴纳的税费标准。涉及违法、违建、无证部分，由买受人自行接受行政主管部门依照有关行政法规的处理。</w:t>
      </w:r>
    </w:p>
    <w:p w14:paraId="1AD38499">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十一、本次拍卖活动计价货币为人民币，拍卖时的起拍价、成交价均不含买受人在拍卖标的物交付、过户时所发生的费用和税费。</w:t>
      </w:r>
      <w:r>
        <w:rPr>
          <w:rFonts w:hint="eastAsia" w:ascii="仿宋" w:hAnsi="仿宋" w:eastAsia="仿宋" w:cs="仿宋"/>
          <w:b/>
          <w:bCs/>
          <w:sz w:val="28"/>
          <w:szCs w:val="28"/>
          <w:u w:val="single"/>
        </w:rPr>
        <w:t>管理人不提供发票</w:t>
      </w:r>
      <w:r>
        <w:rPr>
          <w:rFonts w:hint="eastAsia" w:ascii="仿宋" w:hAnsi="仿宋" w:eastAsia="仿宋" w:cs="仿宋"/>
          <w:b/>
          <w:bCs/>
          <w:sz w:val="28"/>
          <w:szCs w:val="28"/>
          <w:u w:val="single"/>
          <w:lang w:eastAsia="zh-CN"/>
        </w:rPr>
        <w:t>。</w:t>
      </w:r>
    </w:p>
    <w:p w14:paraId="39C0911C">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十二、参加竞买的人应当遵守拍卖须知的规定，不得阻挠其他竞买人竞拍，不得操纵、垄断竞拍价格，严禁竞买人恶意串标，上述行为一经发现，将取消其竞买资格，并追究相关的法律责任。</w:t>
      </w:r>
    </w:p>
    <w:p w14:paraId="78B1A17F">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十三、管理人根据法律规定有权在拍卖开始前中止拍卖或撤回拍卖。</w:t>
      </w:r>
    </w:p>
    <w:p w14:paraId="17431EE0">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四、为便于买受人及时收到拍卖相关的文书，竞买人在拍卖竞价前如实向淘宝网司法拍卖网络平台提供确切的送达地址或者主动与管理人联系。如需更改地址，买受人应及时与管理人联系确认更改。因提供的送达地址不确切，或未及时告知变更地址，导致有关法律文书无法送达的，由竞买人自行承担由此可能产生的法律后果。</w:t>
      </w:r>
    </w:p>
    <w:p w14:paraId="1916FDF7">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五、地上建筑物权利限制由竞买人自行调查。解除限制权利手续需要一定时间，拍卖标的物相关权证原件无法取得或存在担保物权的，办理标的物权属变更登记时需办理登报注销手续或注销他项权证，办理权属变更登记的时间会延长。</w:t>
      </w:r>
    </w:p>
    <w:p w14:paraId="7828D14C">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十六、凡发现拍卖中有违规行为，可如实举报。破产案件监督单位：</w:t>
      </w:r>
      <w:r>
        <w:rPr>
          <w:rFonts w:hint="eastAsia" w:ascii="仿宋" w:hAnsi="仿宋" w:eastAsia="仿宋" w:cs="仿宋"/>
          <w:sz w:val="28"/>
          <w:szCs w:val="28"/>
          <w:lang w:val="en-US" w:eastAsia="zh-CN"/>
        </w:rPr>
        <w:t>江西省上栗县</w:t>
      </w:r>
      <w:r>
        <w:rPr>
          <w:rFonts w:hint="eastAsia" w:ascii="仿宋" w:hAnsi="仿宋" w:eastAsia="仿宋" w:cs="仿宋"/>
          <w:sz w:val="28"/>
          <w:szCs w:val="28"/>
        </w:rPr>
        <w:t>人民法院。</w:t>
      </w:r>
    </w:p>
    <w:p w14:paraId="44B4979B">
      <w:pPr>
        <w:spacing w:line="360" w:lineRule="auto"/>
        <w:ind w:firstLine="560" w:firstLineChars="200"/>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看样电话：</w:t>
      </w:r>
      <w:r>
        <w:rPr>
          <w:rFonts w:hint="eastAsia" w:ascii="仿宋" w:hAnsi="仿宋" w:eastAsia="仿宋" w:cs="仿宋"/>
          <w:color w:val="000000" w:themeColor="text1"/>
          <w:sz w:val="28"/>
          <w:szCs w:val="28"/>
          <w:lang w:val="en-US" w:eastAsia="zh-CN"/>
          <w14:textFill>
            <w14:solidFill>
              <w14:schemeClr w14:val="tx1"/>
            </w14:solidFill>
          </w14:textFill>
        </w:rPr>
        <w:t xml:space="preserve">钟律师 </w:t>
      </w:r>
      <w:r>
        <w:rPr>
          <w:rFonts w:hint="eastAsia" w:ascii="仿宋" w:hAnsi="仿宋" w:eastAsia="仿宋" w:cs="仿宋"/>
          <w:color w:val="000000" w:themeColor="text1"/>
          <w:sz w:val="28"/>
          <w:szCs w:val="28"/>
          <w:u w:val="single"/>
          <w:lang w:val="en-US" w:eastAsia="zh-CN"/>
          <w14:textFill>
            <w14:solidFill>
              <w14:schemeClr w14:val="tx1"/>
            </w14:solidFill>
          </w14:textFill>
        </w:rPr>
        <w:t>15083992004</w:t>
      </w:r>
    </w:p>
    <w:p w14:paraId="3F956840">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淘宝技术咨询：400-822-2870</w:t>
      </w:r>
    </w:p>
    <w:p w14:paraId="3201488A">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本公告未尽事宜，请向管理人</w:t>
      </w:r>
      <w:r>
        <w:rPr>
          <w:rFonts w:hint="eastAsia" w:ascii="仿宋" w:hAnsi="仿宋" w:eastAsia="仿宋" w:cs="仿宋"/>
          <w:color w:val="000000" w:themeColor="text1"/>
          <w:sz w:val="28"/>
          <w:szCs w:val="28"/>
          <w:u w:val="none"/>
          <w:lang w:val="en-US" w:eastAsia="zh-CN"/>
          <w14:textFill>
            <w14:solidFill>
              <w14:schemeClr w14:val="tx1"/>
            </w14:solidFill>
          </w14:textFill>
        </w:rPr>
        <w:t>钟</w:t>
      </w:r>
      <w:r>
        <w:rPr>
          <w:rFonts w:hint="eastAsia" w:ascii="仿宋" w:hAnsi="仿宋" w:eastAsia="仿宋" w:cs="仿宋"/>
          <w:color w:val="000000" w:themeColor="text1"/>
          <w:sz w:val="28"/>
          <w:szCs w:val="28"/>
          <w14:textFill>
            <w14:solidFill>
              <w14:schemeClr w14:val="tx1"/>
            </w14:solidFill>
          </w14:textFill>
        </w:rPr>
        <w:t>律师：</w:t>
      </w:r>
      <w:r>
        <w:rPr>
          <w:rFonts w:hint="eastAsia" w:ascii="仿宋" w:hAnsi="仿宋" w:eastAsia="仿宋" w:cs="仿宋"/>
          <w:color w:val="000000" w:themeColor="text1"/>
          <w:sz w:val="28"/>
          <w:szCs w:val="28"/>
          <w:lang w:val="en-US" w:eastAsia="zh-CN"/>
          <w14:textFill>
            <w14:solidFill>
              <w14:schemeClr w14:val="tx1"/>
            </w14:solidFill>
          </w14:textFill>
        </w:rPr>
        <w:t>15083992004</w:t>
      </w:r>
      <w:r>
        <w:rPr>
          <w:rFonts w:hint="eastAsia" w:ascii="仿宋" w:hAnsi="仿宋" w:eastAsia="仿宋" w:cs="仿宋"/>
          <w:color w:val="000000" w:themeColor="text1"/>
          <w:sz w:val="28"/>
          <w:szCs w:val="28"/>
          <w14:textFill>
            <w14:solidFill>
              <w14:schemeClr w14:val="tx1"/>
            </w14:solidFill>
          </w14:textFill>
        </w:rPr>
        <w:t>咨询。</w:t>
      </w:r>
    </w:p>
    <w:p w14:paraId="264AADA2">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  </w:t>
      </w:r>
    </w:p>
    <w:p w14:paraId="3E2E3654">
      <w:pPr>
        <w:spacing w:line="360" w:lineRule="auto"/>
        <w:ind w:firstLine="560" w:firstLineChars="200"/>
        <w:jc w:val="right"/>
        <w:rPr>
          <w:rFonts w:ascii="仿宋" w:hAnsi="仿宋" w:eastAsia="仿宋" w:cs="仿宋"/>
          <w:sz w:val="28"/>
          <w:szCs w:val="28"/>
        </w:rPr>
      </w:pPr>
      <w:r>
        <w:rPr>
          <w:rFonts w:hint="eastAsia" w:ascii="仿宋" w:hAnsi="仿宋" w:eastAsia="仿宋" w:cs="仿宋"/>
          <w:sz w:val="28"/>
          <w:szCs w:val="28"/>
          <w:lang w:val="en-US" w:eastAsia="zh-CN"/>
        </w:rPr>
        <w:t>江西远东机械科技有限公司</w:t>
      </w:r>
      <w:r>
        <w:rPr>
          <w:rFonts w:hint="eastAsia" w:ascii="仿宋" w:hAnsi="仿宋" w:eastAsia="仿宋" w:cs="仿宋"/>
          <w:sz w:val="28"/>
          <w:szCs w:val="28"/>
        </w:rPr>
        <w:t>管理人</w:t>
      </w:r>
    </w:p>
    <w:p w14:paraId="5E4BC5FE">
      <w:pPr>
        <w:spacing w:line="360" w:lineRule="auto"/>
        <w:ind w:firstLine="560" w:firstLineChars="200"/>
        <w:jc w:val="righ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江西远东新能源有限公司管理人</w:t>
      </w:r>
    </w:p>
    <w:p w14:paraId="368D4BAB">
      <w:pPr>
        <w:spacing w:line="360" w:lineRule="auto"/>
        <w:jc w:val="center"/>
        <w:rPr>
          <w:rFonts w:ascii="仿宋" w:hAnsi="仿宋" w:eastAsia="仿宋" w:cs="仿宋"/>
          <w:b/>
          <w:bCs/>
          <w:sz w:val="28"/>
          <w:szCs w:val="28"/>
        </w:rPr>
      </w:pPr>
      <w:r>
        <w:rPr>
          <w:rFonts w:hint="eastAsia" w:ascii="仿宋" w:hAnsi="仿宋" w:eastAsia="仿宋" w:cs="仿宋"/>
          <w:color w:val="000000" w:themeColor="text1"/>
          <w:sz w:val="28"/>
          <w:szCs w:val="28"/>
          <w:lang w:val="en-US" w:eastAsia="zh-CN"/>
          <w14:textFill>
            <w14:solidFill>
              <w14:schemeClr w14:val="tx1"/>
            </w14:solidFill>
          </w14:textFill>
        </w:rPr>
        <w:t xml:space="preserve">                                       2024年8月9日</w:t>
      </w:r>
    </w:p>
    <w:p w14:paraId="2CA793E3">
      <w:pPr>
        <w:pStyle w:val="2"/>
        <w:rPr>
          <w:rFonts w:ascii="仿宋" w:hAnsi="仿宋" w:eastAsia="仿宋" w:cs="仿宋"/>
          <w:b/>
          <w:bCs/>
          <w:sz w:val="30"/>
          <w:szCs w:val="30"/>
        </w:rPr>
      </w:pPr>
    </w:p>
    <w:p w14:paraId="23A22FA5">
      <w:pPr>
        <w:rPr>
          <w:rFonts w:ascii="仿宋" w:hAnsi="仿宋" w:eastAsia="仿宋" w:cs="仿宋"/>
          <w:b/>
          <w:bCs/>
          <w:sz w:val="30"/>
          <w:szCs w:val="30"/>
        </w:rPr>
      </w:pPr>
    </w:p>
    <w:p w14:paraId="0965AF77">
      <w:pPr>
        <w:pStyle w:val="2"/>
        <w:rPr>
          <w:rFonts w:ascii="仿宋" w:hAnsi="仿宋" w:eastAsia="仿宋" w:cs="仿宋"/>
          <w:b/>
          <w:bCs/>
          <w:sz w:val="30"/>
          <w:szCs w:val="30"/>
        </w:rPr>
      </w:pPr>
    </w:p>
    <w:p w14:paraId="463C2E45">
      <w:pPr>
        <w:rPr>
          <w:rFonts w:ascii="仿宋" w:hAnsi="仿宋" w:eastAsia="仿宋" w:cs="仿宋"/>
          <w:b/>
          <w:bCs/>
          <w:sz w:val="30"/>
          <w:szCs w:val="30"/>
        </w:rPr>
      </w:pPr>
    </w:p>
    <w:p w14:paraId="699BFEA3">
      <w:pPr>
        <w:pStyle w:val="2"/>
        <w:rPr>
          <w:rFonts w:ascii="仿宋" w:hAnsi="仿宋" w:eastAsia="仿宋" w:cs="仿宋"/>
          <w:b/>
          <w:bCs/>
          <w:sz w:val="30"/>
          <w:szCs w:val="30"/>
        </w:rPr>
      </w:pPr>
    </w:p>
    <w:p w14:paraId="4B737AC8">
      <w:pPr>
        <w:rPr>
          <w:rFonts w:ascii="仿宋" w:hAnsi="仿宋" w:eastAsia="仿宋" w:cs="仿宋"/>
          <w:b/>
          <w:bCs/>
          <w:sz w:val="30"/>
          <w:szCs w:val="30"/>
        </w:rPr>
      </w:pPr>
    </w:p>
    <w:p w14:paraId="31A5BE5E">
      <w:pPr>
        <w:pStyle w:val="2"/>
        <w:rPr>
          <w:rFonts w:ascii="仿宋" w:hAnsi="仿宋" w:eastAsia="仿宋" w:cs="仿宋"/>
          <w:b/>
          <w:bCs/>
          <w:sz w:val="30"/>
          <w:szCs w:val="30"/>
        </w:rPr>
      </w:pPr>
    </w:p>
    <w:p w14:paraId="19555FDD">
      <w:pPr>
        <w:rPr>
          <w:rFonts w:ascii="仿宋" w:hAnsi="仿宋" w:eastAsia="仿宋" w:cs="仿宋"/>
          <w:b/>
          <w:bCs/>
          <w:sz w:val="30"/>
          <w:szCs w:val="30"/>
        </w:rPr>
      </w:pPr>
    </w:p>
    <w:p w14:paraId="3DD98FEB">
      <w:pPr>
        <w:pStyle w:val="2"/>
      </w:pPr>
    </w:p>
    <w:p w14:paraId="52127EC7">
      <w:pPr>
        <w:spacing w:line="360" w:lineRule="auto"/>
        <w:jc w:val="center"/>
        <w:rPr>
          <w:rFonts w:hint="eastAsia" w:ascii="仿宋" w:hAnsi="仿宋" w:eastAsia="仿宋" w:cs="仿宋"/>
          <w:b/>
          <w:bCs/>
          <w:sz w:val="30"/>
          <w:szCs w:val="30"/>
        </w:rPr>
      </w:pPr>
    </w:p>
    <w:p w14:paraId="35F63A22">
      <w:pPr>
        <w:spacing w:line="360" w:lineRule="auto"/>
        <w:jc w:val="center"/>
        <w:rPr>
          <w:rFonts w:hint="eastAsia" w:ascii="仿宋" w:hAnsi="仿宋" w:eastAsia="仿宋" w:cs="仿宋"/>
          <w:b/>
          <w:bCs/>
          <w:sz w:val="30"/>
          <w:szCs w:val="30"/>
        </w:rPr>
      </w:pPr>
    </w:p>
    <w:p w14:paraId="7E81A2B6">
      <w:pPr>
        <w:spacing w:line="360" w:lineRule="auto"/>
        <w:jc w:val="center"/>
        <w:rPr>
          <w:rFonts w:hint="eastAsia" w:ascii="仿宋" w:hAnsi="仿宋" w:eastAsia="仿宋" w:cs="仿宋"/>
          <w:b/>
          <w:bCs/>
          <w:sz w:val="30"/>
          <w:szCs w:val="30"/>
        </w:rPr>
      </w:pPr>
    </w:p>
    <w:p w14:paraId="3A08BD86">
      <w:pPr>
        <w:spacing w:line="360" w:lineRule="auto"/>
        <w:jc w:val="center"/>
        <w:rPr>
          <w:rFonts w:hint="eastAsia" w:ascii="仿宋" w:hAnsi="仿宋" w:eastAsia="仿宋" w:cs="仿宋"/>
          <w:b/>
          <w:bCs/>
          <w:sz w:val="30"/>
          <w:szCs w:val="30"/>
        </w:rPr>
      </w:pPr>
    </w:p>
    <w:p w14:paraId="1CA0347B">
      <w:pPr>
        <w:spacing w:line="360" w:lineRule="auto"/>
        <w:jc w:val="center"/>
        <w:rPr>
          <w:rFonts w:hint="eastAsia" w:ascii="仿宋" w:hAnsi="仿宋" w:eastAsia="仿宋" w:cs="仿宋"/>
          <w:b/>
          <w:bCs/>
          <w:sz w:val="30"/>
          <w:szCs w:val="30"/>
        </w:rPr>
      </w:pPr>
    </w:p>
    <w:p w14:paraId="645018E9">
      <w:pPr>
        <w:spacing w:line="360" w:lineRule="auto"/>
        <w:jc w:val="center"/>
        <w:rPr>
          <w:rFonts w:hint="eastAsia" w:ascii="仿宋" w:hAnsi="仿宋" w:eastAsia="仿宋" w:cs="仿宋"/>
          <w:b/>
          <w:bCs/>
          <w:sz w:val="30"/>
          <w:szCs w:val="30"/>
        </w:rPr>
      </w:pPr>
    </w:p>
    <w:p w14:paraId="383998D7">
      <w:pPr>
        <w:spacing w:line="360" w:lineRule="auto"/>
        <w:jc w:val="center"/>
        <w:rPr>
          <w:rFonts w:hint="eastAsia" w:ascii="仿宋" w:hAnsi="仿宋" w:eastAsia="仿宋" w:cs="仿宋"/>
          <w:b/>
          <w:bCs/>
          <w:sz w:val="30"/>
          <w:szCs w:val="30"/>
        </w:rPr>
      </w:pPr>
    </w:p>
    <w:p w14:paraId="3FC50000">
      <w:pPr>
        <w:spacing w:line="360" w:lineRule="auto"/>
        <w:jc w:val="center"/>
        <w:rPr>
          <w:rFonts w:ascii="仿宋" w:hAnsi="仿宋" w:eastAsia="仿宋" w:cs="仿宋"/>
          <w:b/>
          <w:bCs/>
          <w:sz w:val="30"/>
          <w:szCs w:val="30"/>
        </w:rPr>
      </w:pPr>
      <w:r>
        <w:rPr>
          <w:rFonts w:hint="eastAsia" w:ascii="仿宋" w:hAnsi="仿宋" w:eastAsia="仿宋" w:cs="仿宋"/>
          <w:b/>
          <w:bCs/>
          <w:sz w:val="30"/>
          <w:szCs w:val="30"/>
        </w:rPr>
        <w:t>标的物介绍</w:t>
      </w:r>
    </w:p>
    <w:p w14:paraId="2054C808">
      <w:pPr>
        <w:pStyle w:val="3"/>
        <w:widowControl/>
        <w:shd w:val="clear" w:color="auto" w:fill="FFFFFF"/>
        <w:spacing w:beforeAutospacing="0" w:afterAutospacing="0" w:line="360" w:lineRule="auto"/>
        <w:rPr>
          <w:rFonts w:ascii="仿宋" w:hAnsi="仿宋" w:eastAsia="仿宋" w:cs="仿宋"/>
          <w:sz w:val="30"/>
          <w:szCs w:val="30"/>
          <w:shd w:val="clear" w:color="auto" w:fill="auto"/>
        </w:rPr>
      </w:pPr>
      <w:r>
        <w:rPr>
          <w:rFonts w:hint="eastAsia" w:ascii="仿宋" w:hAnsi="仿宋" w:eastAsia="仿宋" w:cs="仿宋"/>
          <w:sz w:val="30"/>
          <w:szCs w:val="30"/>
          <w:shd w:val="clear" w:color="auto" w:fill="auto"/>
          <w:lang w:val="en-US" w:eastAsia="zh-CN"/>
        </w:rPr>
        <w:t>拍卖</w:t>
      </w:r>
      <w:r>
        <w:rPr>
          <w:rFonts w:hint="eastAsia" w:ascii="仿宋" w:hAnsi="仿宋" w:eastAsia="仿宋" w:cs="仿宋"/>
          <w:sz w:val="30"/>
          <w:szCs w:val="30"/>
          <w:shd w:val="clear" w:color="auto" w:fill="auto"/>
        </w:rPr>
        <w:t>标的为</w:t>
      </w:r>
      <w:r>
        <w:rPr>
          <w:rFonts w:hint="eastAsia" w:ascii="仿宋" w:hAnsi="仿宋" w:eastAsia="仿宋" w:cs="仿宋"/>
          <w:sz w:val="30"/>
          <w:szCs w:val="30"/>
          <w:shd w:val="clear" w:color="auto" w:fill="auto"/>
          <w:lang w:val="en-US" w:eastAsia="zh-CN"/>
        </w:rPr>
        <w:t>江西远东机械科技有限公司、江西远东新能源</w:t>
      </w:r>
      <w:r>
        <w:rPr>
          <w:rFonts w:hint="eastAsia" w:ascii="仿宋" w:hAnsi="仿宋" w:eastAsia="仿宋" w:cs="仿宋"/>
          <w:sz w:val="30"/>
          <w:szCs w:val="30"/>
          <w:shd w:val="clear" w:color="auto" w:fill="auto"/>
        </w:rPr>
        <w:t>有限公司</w:t>
      </w:r>
      <w:r>
        <w:rPr>
          <w:rFonts w:hint="eastAsia" w:ascii="仿宋" w:hAnsi="仿宋" w:eastAsia="仿宋" w:cs="仿宋"/>
          <w:sz w:val="30"/>
          <w:szCs w:val="30"/>
          <w:shd w:val="clear" w:color="auto" w:fill="auto"/>
          <w:lang w:val="en-US" w:eastAsia="zh-CN"/>
        </w:rPr>
        <w:t>实质合并破产</w:t>
      </w:r>
      <w:r>
        <w:rPr>
          <w:rFonts w:hint="eastAsia" w:ascii="仿宋" w:hAnsi="仿宋" w:eastAsia="仿宋" w:cs="仿宋"/>
          <w:sz w:val="30"/>
          <w:szCs w:val="30"/>
          <w:shd w:val="clear" w:color="auto" w:fill="auto"/>
        </w:rPr>
        <w:t>拟破产清算涉及的资产，具体详情见下表：</w:t>
      </w:r>
    </w:p>
    <w:tbl>
      <w:tblPr>
        <w:tblStyle w:val="4"/>
        <w:tblW w:w="9240" w:type="dxa"/>
        <w:jc w:val="center"/>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tblLayout w:type="autofit"/>
        <w:tblCellMar>
          <w:top w:w="0" w:type="dxa"/>
          <w:left w:w="0" w:type="dxa"/>
          <w:bottom w:w="0" w:type="dxa"/>
          <w:right w:w="0" w:type="dxa"/>
        </w:tblCellMar>
      </w:tblPr>
      <w:tblGrid>
        <w:gridCol w:w="1324"/>
        <w:gridCol w:w="1125"/>
        <w:gridCol w:w="6791"/>
      </w:tblGrid>
      <w:tr w14:paraId="2F0B2212">
        <w:trPr>
          <w:trHeight w:val="764" w:hRule="atLeast"/>
          <w:jc w:val="center"/>
        </w:trPr>
        <w:tc>
          <w:tcPr>
            <w:tcW w:w="9240" w:type="dxa"/>
            <w:gridSpan w:val="3"/>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66299E47">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b/>
                <w:bCs/>
                <w:color w:val="000000"/>
                <w:sz w:val="30"/>
                <w:szCs w:val="30"/>
                <w:shd w:val="clear" w:color="auto" w:fill="auto"/>
              </w:rPr>
              <w:t>标的物调查表</w:t>
            </w:r>
          </w:p>
        </w:tc>
      </w:tr>
      <w:tr w14:paraId="1FB40975">
        <w:trPr>
          <w:trHeight w:val="3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BFA926A">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标的名称</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D6EF852">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江西远东新能源有限公司名下的机器设备</w:t>
            </w:r>
          </w:p>
        </w:tc>
      </w:tr>
      <w:tr w14:paraId="52192DD0">
        <w:trPr>
          <w:trHeight w:val="3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1790C3E3">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详细位置</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637A45F6">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江西省</w:t>
            </w:r>
            <w:r>
              <w:rPr>
                <w:rFonts w:hint="eastAsia" w:ascii="仿宋" w:hAnsi="仿宋" w:eastAsia="仿宋" w:cs="仿宋"/>
                <w:sz w:val="30"/>
                <w:szCs w:val="30"/>
                <w:shd w:val="clear" w:color="auto" w:fill="auto"/>
                <w:lang w:val="en-US" w:eastAsia="zh-CN"/>
              </w:rPr>
              <w:t>上栗县赤山镇上栗</w:t>
            </w:r>
            <w:r>
              <w:rPr>
                <w:rFonts w:hint="eastAsia" w:ascii="仿宋" w:hAnsi="仿宋" w:eastAsia="仿宋" w:cs="仿宋"/>
                <w:sz w:val="30"/>
                <w:szCs w:val="30"/>
                <w:shd w:val="clear" w:color="auto" w:fill="auto"/>
              </w:rPr>
              <w:t>业</w:t>
            </w:r>
            <w:r>
              <w:rPr>
                <w:rFonts w:hint="eastAsia" w:ascii="仿宋" w:hAnsi="仿宋" w:eastAsia="仿宋" w:cs="仿宋"/>
                <w:sz w:val="30"/>
                <w:szCs w:val="30"/>
                <w:shd w:val="clear" w:color="auto" w:fill="auto"/>
                <w:lang w:val="en-US" w:eastAsia="zh-CN"/>
              </w:rPr>
              <w:t>工业</w:t>
            </w:r>
            <w:r>
              <w:rPr>
                <w:rFonts w:hint="eastAsia" w:ascii="仿宋" w:hAnsi="仿宋" w:eastAsia="仿宋" w:cs="仿宋"/>
                <w:sz w:val="30"/>
                <w:szCs w:val="30"/>
                <w:shd w:val="clear" w:color="auto" w:fill="auto"/>
              </w:rPr>
              <w:t>园</w:t>
            </w:r>
          </w:p>
        </w:tc>
      </w:tr>
      <w:tr w14:paraId="4BCE0875">
        <w:trPr>
          <w:trHeight w:val="406"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9D8FA7D">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权利来源</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378321D7">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破产财产</w:t>
            </w:r>
            <w:r>
              <w:rPr>
                <w:rFonts w:hint="eastAsia" w:ascii="仿宋" w:hAnsi="仿宋" w:eastAsia="仿宋" w:cs="仿宋"/>
                <w:sz w:val="30"/>
                <w:szCs w:val="30"/>
                <w:shd w:val="clear" w:color="auto" w:fill="auto"/>
              </w:rPr>
              <w:t>（202</w:t>
            </w:r>
            <w:bookmarkStart w:id="0" w:name="_GoBack"/>
            <w:bookmarkEnd w:id="0"/>
            <w:r>
              <w:rPr>
                <w:rFonts w:hint="eastAsia" w:ascii="仿宋" w:hAnsi="仿宋" w:eastAsia="仿宋" w:cs="仿宋"/>
                <w:sz w:val="30"/>
                <w:szCs w:val="30"/>
                <w:shd w:val="clear" w:color="auto" w:fill="auto"/>
                <w:lang w:val="en-US" w:eastAsia="zh-CN"/>
              </w:rPr>
              <w:t>4</w:t>
            </w:r>
            <w:r>
              <w:rPr>
                <w:rFonts w:hint="eastAsia" w:ascii="仿宋" w:hAnsi="仿宋" w:eastAsia="仿宋" w:cs="仿宋"/>
                <w:sz w:val="30"/>
                <w:szCs w:val="30"/>
                <w:shd w:val="clear" w:color="auto" w:fill="auto"/>
              </w:rPr>
              <w:t>）赣03</w:t>
            </w:r>
            <w:r>
              <w:rPr>
                <w:rFonts w:hint="eastAsia" w:ascii="仿宋" w:hAnsi="仿宋" w:eastAsia="仿宋" w:cs="仿宋"/>
                <w:sz w:val="30"/>
                <w:szCs w:val="30"/>
                <w:shd w:val="clear" w:color="auto" w:fill="auto"/>
                <w:lang w:val="en-US" w:eastAsia="zh-CN"/>
              </w:rPr>
              <w:t>22</w:t>
            </w:r>
            <w:r>
              <w:rPr>
                <w:rFonts w:hint="eastAsia" w:ascii="仿宋" w:hAnsi="仿宋" w:eastAsia="仿宋" w:cs="仿宋"/>
                <w:sz w:val="30"/>
                <w:szCs w:val="30"/>
                <w:shd w:val="clear" w:color="auto" w:fill="auto"/>
              </w:rPr>
              <w:t>破</w:t>
            </w:r>
            <w:r>
              <w:rPr>
                <w:rFonts w:hint="eastAsia" w:ascii="仿宋" w:hAnsi="仿宋" w:eastAsia="仿宋" w:cs="仿宋"/>
                <w:sz w:val="30"/>
                <w:szCs w:val="30"/>
                <w:shd w:val="clear" w:color="auto" w:fill="auto"/>
                <w:lang w:val="en-US" w:eastAsia="zh-CN"/>
              </w:rPr>
              <w:t>2</w:t>
            </w:r>
            <w:r>
              <w:rPr>
                <w:rFonts w:hint="eastAsia" w:ascii="仿宋" w:hAnsi="仿宋" w:eastAsia="仿宋" w:cs="仿宋"/>
                <w:sz w:val="30"/>
                <w:szCs w:val="30"/>
                <w:shd w:val="clear" w:color="auto" w:fill="auto"/>
              </w:rPr>
              <w:t>号</w:t>
            </w:r>
          </w:p>
        </w:tc>
      </w:tr>
      <w:tr w14:paraId="73A15E6E">
        <w:trPr>
          <w:trHeight w:val="2491" w:hRule="atLeast"/>
          <w:jc w:val="center"/>
        </w:trPr>
        <w:tc>
          <w:tcPr>
            <w:tcW w:w="1324" w:type="dxa"/>
            <w:tcBorders>
              <w:top w:val="single" w:color="000000" w:sz="8" w:space="0"/>
              <w:left w:val="single" w:color="000000" w:sz="8" w:space="0"/>
              <w:right w:val="single" w:color="000000" w:sz="8" w:space="0"/>
            </w:tcBorders>
            <w:shd w:val="clear" w:color="auto" w:fill="FFFFFF"/>
            <w:tcMar>
              <w:left w:w="108" w:type="dxa"/>
              <w:right w:w="108" w:type="dxa"/>
            </w:tcMar>
            <w:vAlign w:val="center"/>
          </w:tcPr>
          <w:p w14:paraId="3BBA1E82">
            <w:pPr>
              <w:pStyle w:val="3"/>
              <w:widowControl/>
              <w:spacing w:beforeAutospacing="0" w:afterAutospacing="0" w:line="312" w:lineRule="atLeast"/>
              <w:jc w:val="center"/>
              <w:textAlignment w:val="center"/>
              <w:rPr>
                <w:rFonts w:ascii="仿宋" w:hAnsi="仿宋" w:eastAsia="仿宋" w:cs="仿宋"/>
                <w:color w:val="000000"/>
                <w:sz w:val="30"/>
                <w:szCs w:val="30"/>
                <w:shd w:val="clear" w:color="auto" w:fill="auto"/>
              </w:rPr>
            </w:pPr>
            <w:r>
              <w:rPr>
                <w:rFonts w:hint="eastAsia" w:ascii="仿宋" w:hAnsi="仿宋" w:eastAsia="仿宋" w:cs="仿宋"/>
                <w:color w:val="000000"/>
                <w:sz w:val="30"/>
                <w:szCs w:val="30"/>
                <w:shd w:val="clear" w:color="auto" w:fill="auto"/>
              </w:rPr>
              <w:t>拍品介绍</w:t>
            </w: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770575B">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机器设备情况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92C135E">
            <w:pPr>
              <w:pStyle w:val="3"/>
              <w:widowControl/>
              <w:spacing w:beforeAutospacing="0" w:afterAutospacing="0" w:line="312" w:lineRule="atLeast"/>
              <w:textAlignment w:val="center"/>
              <w:rPr>
                <w:rFonts w:hint="eastAsia" w:ascii="仿宋" w:hAnsi="仿宋" w:eastAsia="仿宋" w:cs="仿宋"/>
                <w:b/>
                <w:bCs/>
                <w:sz w:val="30"/>
                <w:szCs w:val="30"/>
                <w:shd w:val="clear" w:color="auto" w:fill="auto"/>
                <w:lang w:eastAsia="zh-CN"/>
              </w:rPr>
            </w:pPr>
            <w:r>
              <w:rPr>
                <w:rStyle w:val="6"/>
                <w:rFonts w:hint="eastAsia" w:ascii="仿宋" w:hAnsi="仿宋" w:eastAsia="仿宋" w:cs="仿宋"/>
                <w:sz w:val="28"/>
                <w:szCs w:val="28"/>
                <w:shd w:val="clear" w:color="auto" w:fill="auto"/>
              </w:rPr>
              <w:t>设备情况总计</w:t>
            </w:r>
            <w:r>
              <w:rPr>
                <w:rStyle w:val="6"/>
                <w:rFonts w:hint="eastAsia" w:ascii="仿宋" w:hAnsi="仿宋" w:eastAsia="仿宋" w:cs="仿宋"/>
                <w:sz w:val="28"/>
                <w:szCs w:val="28"/>
                <w:shd w:val="clear" w:color="auto" w:fill="auto"/>
                <w:lang w:val="en-US" w:eastAsia="zh-CN"/>
              </w:rPr>
              <w:t>15</w:t>
            </w:r>
            <w:r>
              <w:rPr>
                <w:rStyle w:val="6"/>
                <w:rFonts w:hint="eastAsia" w:ascii="仿宋" w:hAnsi="仿宋" w:eastAsia="仿宋" w:cs="仿宋"/>
                <w:sz w:val="28"/>
                <w:szCs w:val="28"/>
                <w:shd w:val="clear" w:color="auto" w:fill="auto"/>
              </w:rPr>
              <w:t>项包括：太阳能电池片自动串焊机</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YN-600</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4</w:t>
            </w:r>
            <w:r>
              <w:rPr>
                <w:rStyle w:val="6"/>
                <w:rFonts w:hint="eastAsia" w:ascii="仿宋" w:hAnsi="仿宋" w:eastAsia="仿宋" w:cs="仿宋"/>
                <w:sz w:val="28"/>
                <w:szCs w:val="28"/>
                <w:shd w:val="clear" w:color="auto" w:fill="auto"/>
                <w:lang w:val="en-US" w:eastAsia="zh-CN"/>
              </w:rPr>
              <w:t>台；</w:t>
            </w:r>
            <w:r>
              <w:rPr>
                <w:rStyle w:val="6"/>
                <w:rFonts w:hint="eastAsia" w:ascii="仿宋" w:hAnsi="仿宋" w:eastAsia="仿宋" w:cs="仿宋"/>
                <w:sz w:val="28"/>
                <w:szCs w:val="28"/>
                <w:shd w:val="clear" w:color="auto" w:fill="auto"/>
              </w:rPr>
              <w:t>太阳电池组件封装层压</w:t>
            </w:r>
            <w:r>
              <w:rPr>
                <w:rStyle w:val="6"/>
                <w:rFonts w:hint="eastAsia" w:ascii="仿宋" w:hAnsi="仿宋" w:eastAsia="仿宋" w:cs="仿宋"/>
                <w:sz w:val="28"/>
                <w:szCs w:val="28"/>
                <w:shd w:val="clear" w:color="auto" w:fill="auto"/>
                <w:lang w:val="en-US" w:eastAsia="zh-CN"/>
              </w:rPr>
              <w:t>机</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CYY-2235DG</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(2200mm*3500mm)</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光纤激光划片机</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GSC-20F</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测试仪</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装框机</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手动叉车</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喷油双螺杆压缩机</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LG-1.7/8</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1</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储气罐</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2.0m³</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流水线</w:t>
            </w:r>
            <w:r>
              <w:rPr>
                <w:rStyle w:val="6"/>
                <w:rFonts w:hint="eastAsia" w:ascii="仿宋" w:hAnsi="仿宋" w:eastAsia="仿宋" w:cs="仿宋"/>
                <w:sz w:val="28"/>
                <w:szCs w:val="28"/>
                <w:shd w:val="clear" w:color="auto" w:fill="auto"/>
                <w:lang w:val="en-US" w:eastAsia="zh-CN"/>
              </w:rPr>
              <w:t>1</w:t>
            </w:r>
            <w:r>
              <w:rPr>
                <w:rStyle w:val="6"/>
                <w:rFonts w:hint="eastAsia" w:ascii="仿宋" w:hAnsi="仿宋" w:eastAsia="仿宋" w:cs="仿宋"/>
                <w:sz w:val="28"/>
                <w:szCs w:val="28"/>
                <w:shd w:val="clear" w:color="auto" w:fill="auto"/>
              </w:rPr>
              <w:t>条</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冷风机</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ab/>
            </w:r>
            <w:r>
              <w:rPr>
                <w:rStyle w:val="6"/>
                <w:rFonts w:hint="eastAsia" w:ascii="仿宋" w:hAnsi="仿宋" w:eastAsia="仿宋" w:cs="仿宋"/>
                <w:sz w:val="28"/>
                <w:szCs w:val="28"/>
                <w:shd w:val="clear" w:color="auto" w:fill="auto"/>
              </w:rPr>
              <w:t>1.1KW-18000m³/h</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铁皮更衣柜</w:t>
            </w:r>
            <w:r>
              <w:rPr>
                <w:rStyle w:val="6"/>
                <w:rFonts w:hint="eastAsia" w:ascii="仿宋" w:hAnsi="仿宋" w:eastAsia="仿宋" w:cs="仿宋"/>
                <w:sz w:val="28"/>
                <w:szCs w:val="28"/>
                <w:shd w:val="clear" w:color="auto" w:fill="auto"/>
                <w:lang w:val="en-US" w:eastAsia="zh-CN"/>
              </w:rPr>
              <w:t>7</w:t>
            </w:r>
            <w:r>
              <w:rPr>
                <w:rStyle w:val="6"/>
                <w:rFonts w:hint="eastAsia" w:ascii="仿宋" w:hAnsi="仿宋" w:eastAsia="仿宋" w:cs="仿宋"/>
                <w:sz w:val="28"/>
                <w:szCs w:val="28"/>
                <w:shd w:val="clear" w:color="auto" w:fill="auto"/>
              </w:rPr>
              <w:t>个</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排风扇</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窗式</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6</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海尔空调</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挂式</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1</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格力空调</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挂式</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格力空调</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rPr>
              <w:t>立式</w:t>
            </w:r>
            <w:r>
              <w:rPr>
                <w:rStyle w:val="6"/>
                <w:rFonts w:hint="eastAsia" w:ascii="仿宋" w:hAnsi="仿宋" w:eastAsia="仿宋" w:cs="仿宋"/>
                <w:sz w:val="28"/>
                <w:szCs w:val="28"/>
                <w:shd w:val="clear" w:color="auto" w:fill="auto"/>
                <w:lang w:eastAsia="zh-CN"/>
              </w:rPr>
              <w:t>）</w:t>
            </w:r>
            <w:r>
              <w:rPr>
                <w:rStyle w:val="6"/>
                <w:rFonts w:hint="eastAsia" w:ascii="仿宋" w:hAnsi="仿宋" w:eastAsia="仿宋" w:cs="仿宋"/>
                <w:sz w:val="28"/>
                <w:szCs w:val="28"/>
                <w:shd w:val="clear" w:color="auto" w:fill="auto"/>
                <w:lang w:val="en-US" w:eastAsia="zh-CN"/>
              </w:rPr>
              <w:t>2</w:t>
            </w:r>
            <w:r>
              <w:rPr>
                <w:rStyle w:val="6"/>
                <w:rFonts w:hint="eastAsia" w:ascii="仿宋" w:hAnsi="仿宋" w:eastAsia="仿宋" w:cs="仿宋"/>
                <w:sz w:val="28"/>
                <w:szCs w:val="28"/>
                <w:shd w:val="clear" w:color="auto" w:fill="auto"/>
              </w:rPr>
              <w:t>台</w:t>
            </w:r>
            <w:r>
              <w:rPr>
                <w:rStyle w:val="6"/>
                <w:rFonts w:hint="eastAsia" w:ascii="仿宋" w:hAnsi="仿宋" w:eastAsia="仿宋" w:cs="仿宋"/>
                <w:sz w:val="28"/>
                <w:szCs w:val="28"/>
                <w:shd w:val="clear" w:color="auto" w:fill="auto"/>
                <w:lang w:eastAsia="zh-CN"/>
              </w:rPr>
              <w:t>。</w:t>
            </w:r>
          </w:p>
        </w:tc>
      </w:tr>
      <w:tr w14:paraId="243E8AAD">
        <w:trPr>
          <w:trHeight w:val="519"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6EB9C45">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竞买人资格</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41FE305C">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竞买人须具有完全民事行为能力，符合竞买条件。</w:t>
            </w:r>
          </w:p>
        </w:tc>
      </w:tr>
      <w:tr w14:paraId="7037640B">
        <w:trPr>
          <w:trHeight w:val="285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3E8F99D8">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税费负担</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768C7FE">
            <w:pPr>
              <w:pStyle w:val="3"/>
              <w:widowControl/>
              <w:spacing w:beforeAutospacing="0" w:afterAutospacing="0" w:line="312" w:lineRule="atLeast"/>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拍卖成交后，拍卖所涉及的一切税、费（包括但不限于所得税、土地增值税、增值税及其附加、印花税、契税、备案手续费、权证费、保管费等）和所需补缴的相关税、费及有可能存在的其他费用</w:t>
            </w:r>
            <w:r>
              <w:rPr>
                <w:rFonts w:hint="eastAsia" w:ascii="仿宋" w:hAnsi="仿宋" w:eastAsia="仿宋" w:cs="仿宋"/>
                <w:sz w:val="30"/>
                <w:szCs w:val="30"/>
                <w:shd w:val="clear" w:color="auto" w:fill="auto"/>
                <w:lang w:val="en-US" w:eastAsia="zh-CN"/>
              </w:rPr>
              <w:t>等</w:t>
            </w:r>
            <w:r>
              <w:rPr>
                <w:rFonts w:hint="eastAsia" w:ascii="仿宋" w:hAnsi="仿宋" w:eastAsia="仿宋" w:cs="仿宋"/>
                <w:sz w:val="30"/>
                <w:szCs w:val="30"/>
                <w:shd w:val="clear" w:color="auto" w:fill="auto"/>
              </w:rPr>
              <w:t>全部由买受人承担（依法由标的物所有人承担的税费也由买受人承担）。买受人在竞买前可向所涉相关政府部门进行咨询、了解，确认成交后应缴纳的税费标准。未明确缴费义务人的费用也由买受人承担，具体费用请竞买人至相关单位自行咨询了解。因竞买人的原因产生的税款滞纳金，全部由竞买人承担。</w:t>
            </w:r>
          </w:p>
          <w:p w14:paraId="41DA4647">
            <w:pPr>
              <w:pStyle w:val="3"/>
              <w:widowControl/>
              <w:spacing w:beforeAutospacing="0" w:afterAutospacing="0" w:line="312" w:lineRule="atLeast"/>
              <w:textAlignment w:val="center"/>
              <w:rPr>
                <w:rFonts w:ascii="仿宋" w:hAnsi="仿宋" w:eastAsia="仿宋" w:cs="仿宋"/>
                <w:sz w:val="30"/>
                <w:szCs w:val="30"/>
                <w:shd w:val="clear" w:color="auto" w:fill="auto"/>
              </w:rPr>
            </w:pPr>
            <w:r>
              <w:rPr>
                <w:rFonts w:hint="eastAsia" w:ascii="仿宋" w:hAnsi="仿宋" w:eastAsia="仿宋" w:cs="仿宋"/>
                <w:sz w:val="30"/>
                <w:szCs w:val="30"/>
                <w:shd w:val="clear" w:color="auto" w:fill="auto"/>
              </w:rPr>
              <w:t>在交付移交资产过程中，买受人及为买受人施工人员的人身安全由买受人负责；如拿取标的资产以外的物品，买受人应予以返还并承担相应法律责任，如造成损坏由买受人进行赔偿。</w:t>
            </w:r>
          </w:p>
        </w:tc>
      </w:tr>
      <w:tr w14:paraId="02790411">
        <w:trPr>
          <w:trHeight w:val="1104"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6AFE896">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瑕疵说明</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038FE9B">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b/>
                <w:bCs/>
                <w:color w:val="000000"/>
                <w:sz w:val="30"/>
                <w:szCs w:val="30"/>
                <w:shd w:val="clear" w:color="auto" w:fill="auto"/>
              </w:rPr>
              <w:t>除拍卖文件披露外，竞买人应对拍卖标的的实际状况以及瑕疵（含显性、隐性瑕疵）等自行调查核实，并承担全部风险。</w:t>
            </w:r>
          </w:p>
        </w:tc>
      </w:tr>
      <w:tr w14:paraId="0F036C84">
        <w:trPr>
          <w:trHeight w:val="8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50F48B0">
            <w:pPr>
              <w:pStyle w:val="3"/>
              <w:widowControl/>
              <w:spacing w:beforeAutospacing="0" w:afterAutospacing="0" w:line="312" w:lineRule="atLeast"/>
              <w:jc w:val="center"/>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特别提醒</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F313820">
            <w:pPr>
              <w:pStyle w:val="3"/>
              <w:widowControl/>
              <w:spacing w:beforeAutospacing="0" w:afterAutospacing="0" w:line="312" w:lineRule="atLeast"/>
              <w:jc w:val="center"/>
              <w:textAlignment w:val="center"/>
              <w:rPr>
                <w:rFonts w:hint="eastAsia" w:ascii="仿宋" w:hAnsi="仿宋" w:eastAsia="仿宋" w:cs="仿宋"/>
                <w:color w:val="000000"/>
                <w:sz w:val="30"/>
                <w:szCs w:val="30"/>
                <w:shd w:val="clear" w:color="auto" w:fill="auto"/>
              </w:rPr>
            </w:pPr>
            <w:r>
              <w:rPr>
                <w:rFonts w:hint="eastAsia" w:ascii="仿宋" w:hAnsi="仿宋" w:eastAsia="仿宋" w:cs="仿宋"/>
                <w:color w:val="000000"/>
                <w:sz w:val="30"/>
                <w:szCs w:val="30"/>
                <w:shd w:val="clear" w:color="auto" w:fill="auto"/>
              </w:rPr>
              <w:t>在拍卖竞价前请务必再仔细阅读本管理人发布的《竞买公</w:t>
            </w:r>
          </w:p>
          <w:p w14:paraId="6802B3A3">
            <w:pPr>
              <w:pStyle w:val="3"/>
              <w:widowControl/>
              <w:spacing w:beforeAutospacing="0" w:afterAutospacing="0" w:line="312" w:lineRule="atLeast"/>
              <w:jc w:val="both"/>
              <w:textAlignment w:val="center"/>
              <w:rPr>
                <w:rFonts w:ascii="仿宋" w:hAnsi="仿宋" w:eastAsia="仿宋" w:cs="仿宋"/>
                <w:sz w:val="30"/>
                <w:szCs w:val="30"/>
                <w:shd w:val="clear" w:color="auto" w:fill="auto"/>
              </w:rPr>
            </w:pPr>
            <w:r>
              <w:rPr>
                <w:rFonts w:hint="eastAsia" w:ascii="仿宋" w:hAnsi="仿宋" w:eastAsia="仿宋" w:cs="仿宋"/>
                <w:color w:val="000000"/>
                <w:sz w:val="30"/>
                <w:szCs w:val="30"/>
                <w:shd w:val="clear" w:color="auto" w:fill="auto"/>
              </w:rPr>
              <w:t>告》《竞买须知》《标的物调查表》（仅供参考）</w:t>
            </w:r>
          </w:p>
        </w:tc>
      </w:tr>
    </w:tbl>
    <w:p w14:paraId="71F57CD2">
      <w:pPr>
        <w:pStyle w:val="2"/>
        <w:rPr>
          <w:rFonts w:ascii="仿宋" w:hAnsi="仿宋" w:eastAsia="仿宋" w:cs="仿宋"/>
          <w:sz w:val="30"/>
          <w:szCs w:val="30"/>
        </w:rPr>
      </w:pPr>
    </w:p>
    <w:p w14:paraId="218B083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D9AD8"/>
    <w:rsid w:val="2B9570EA"/>
    <w:rsid w:val="5D7C9482"/>
    <w:rsid w:val="6F7D9AD8"/>
    <w:rsid w:val="7FFD1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keepNext/>
      <w:keepLines/>
      <w:spacing w:line="372" w:lineRule="auto"/>
      <w:outlineLvl w:val="3"/>
    </w:pPr>
    <w:rPr>
      <w:rFonts w:ascii="Arial" w:hAnsi="Arial" w:eastAsia="黑体"/>
      <w:sz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font21"/>
    <w:basedOn w:val="5"/>
    <w:qFormat/>
    <w:uiPriority w:val="0"/>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2024-08-10T13:24:00Z</dcterms:created>
  <dc:creator>钟艳萍律师</dc:creator>
  <cp:lastModifiedBy>钟艳萍律师</cp:lastModifiedBy>
  <dcterms:modified xsi:type="dcterms:W3CDTF">2024-08-10T11:34:04Z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2EBB39FD293FF54D05A8B5664AFE4D63_41</vt:lpwstr>
  </property>
</Properties>
</file>