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BA2B87">
      <w:pPr>
        <w:spacing w:after="156" w:afterLines="50" w:line="520" w:lineRule="exact"/>
        <w:jc w:val="center"/>
        <w:rPr>
          <w:rFonts w:hint="eastAsia" w:ascii="方正小标宋_GBK" w:hAnsi="华文仿宋" w:eastAsia="方正小标宋_GBK" w:cs="华文仿宋"/>
          <w:sz w:val="36"/>
          <w:szCs w:val="36"/>
        </w:rPr>
      </w:pPr>
      <w:bookmarkStart w:id="1" w:name="_GoBack"/>
      <w:bookmarkEnd w:id="1"/>
      <w:r>
        <w:rPr>
          <w:rFonts w:hint="eastAsia" w:ascii="方正小标宋_GBK" w:hAnsi="华文仿宋" w:eastAsia="方正小标宋_GBK" w:cs="华文仿宋"/>
          <w:sz w:val="36"/>
          <w:szCs w:val="36"/>
        </w:rPr>
        <w:t>重庆中农国信置业有限公司破产清算案</w:t>
      </w:r>
    </w:p>
    <w:p w14:paraId="0624ABB8">
      <w:pPr>
        <w:spacing w:after="156" w:afterLines="50" w:line="520" w:lineRule="exact"/>
        <w:jc w:val="center"/>
        <w:rPr>
          <w:rFonts w:hint="eastAsia" w:ascii="方正小标宋_GBK" w:hAnsi="华文仿宋" w:eastAsia="方正小标宋_GBK" w:cs="华文仿宋"/>
          <w:sz w:val="36"/>
          <w:szCs w:val="36"/>
        </w:rPr>
      </w:pPr>
      <w:r>
        <w:rPr>
          <w:rFonts w:hint="eastAsia" w:ascii="方正小标宋_GBK" w:hAnsi="华文仿宋" w:eastAsia="方正小标宋_GBK" w:cs="华文仿宋"/>
          <w:sz w:val="36"/>
          <w:szCs w:val="36"/>
        </w:rPr>
        <w:t>公开聘请拍卖辅助机构中标公告</w:t>
      </w:r>
    </w:p>
    <w:p w14:paraId="6D168D3C">
      <w:pPr>
        <w:spacing w:after="156" w:afterLines="50" w:line="520" w:lineRule="exact"/>
        <w:jc w:val="right"/>
        <w:rPr>
          <w:rFonts w:hint="eastAsia" w:ascii="仿宋_GB2312" w:hAnsi="仿宋_GB2312" w:eastAsia="仿宋_GB2312" w:cs="仿宋_GB2312"/>
          <w:sz w:val="24"/>
        </w:rPr>
      </w:pPr>
      <w:r>
        <w:rPr>
          <w:rFonts w:hint="eastAsia" w:ascii="仿宋_GB2312" w:hAnsi="仿宋_GB2312" w:eastAsia="仿宋_GB2312" w:cs="仿宋_GB2312"/>
          <w:sz w:val="24"/>
        </w:rPr>
        <w:t>（2024）中农国信破管字第049号</w:t>
      </w:r>
    </w:p>
    <w:p w14:paraId="153528EA">
      <w:pPr>
        <w:spacing w:after="156" w:afterLines="50"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重庆市第五中级人民法院于2024年1月19日作出（2024）渝05破申28号民事裁定书，裁定受理重庆中农国信置业有限公司（以下简称：中农国信公司或债务人）的破产清算申请。经竞争选任，指定北京市尚公（重庆）律师事务所、立信会计师事务所（特殊普通合伙）重庆分所为重庆中农国信置业有限公司管理人。</w:t>
      </w:r>
    </w:p>
    <w:p w14:paraId="336F6510">
      <w:pPr>
        <w:spacing w:after="156" w:afterLines="50"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人在人民法院的监督和指导下，在其他方的监督下，依法于2024年8月21日开展选聘工程鉴定机构工作，截止2024年8月26日，共有7家机构报名成功，有6家机构上传有效投标文件，管理人于2024年8月28日组织公开评选，有5家机构到场参加述标。</w:t>
      </w:r>
    </w:p>
    <w:p w14:paraId="5384D84D">
      <w:pPr>
        <w:spacing w:after="156" w:afterLines="50" w:line="52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招标文件、现场述标情况，经评选委员会从资质、业绩、服务方案、从业经验、人员配备、报价等方面综合评定，重庆八方拍网络科技有限公司与重庆乾德拍卖有限公司组成的联合体为本案拍卖辅助机构，收费标准为按《重庆市高级人民法院网络司法拍卖辅助工作费用标准》的55%向买受人收取，以物抵债的收取方式为2000元/笔，累计费用不超过16.5万元。本次备选机构为北京中拓国际拍卖有限公司。</w:t>
      </w:r>
    </w:p>
    <w:p w14:paraId="2A6AD25F">
      <w:pPr>
        <w:spacing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本项目接受债务人及其股东、债权人以及其他与债务人有利害关系的相关人员进行监督。</w:t>
      </w:r>
    </w:p>
    <w:p w14:paraId="5F155C87">
      <w:pPr>
        <w:pStyle w:val="2"/>
        <w:spacing w:before="0"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本项目异议期为本公告发布之日起3日，截至2024年9月1日。若异议期满无人提出异议，管理人将与中标机构签订专项服务合同。</w:t>
      </w:r>
    </w:p>
    <w:p w14:paraId="518B94F6">
      <w:pPr>
        <w:pStyle w:val="2"/>
        <w:spacing w:before="0" w:after="156" w:afterLines="50" w:line="520" w:lineRule="exact"/>
        <w:ind w:firstLine="560"/>
        <w:rPr>
          <w:rFonts w:hint="eastAsia" w:ascii="仿宋" w:hAnsi="仿宋" w:eastAsia="仿宋" w:cs="仿宋"/>
          <w:sz w:val="28"/>
          <w:szCs w:val="28"/>
        </w:rPr>
      </w:pPr>
      <w:r>
        <w:rPr>
          <w:rFonts w:hint="eastAsia" w:ascii="仿宋" w:hAnsi="仿宋" w:eastAsia="仿宋" w:cs="仿宋"/>
          <w:sz w:val="28"/>
          <w:szCs w:val="28"/>
        </w:rPr>
        <w:t>凡对本次公告内容提出询问，请按以下方式联系：</w:t>
      </w:r>
    </w:p>
    <w:p w14:paraId="72DE8D1C">
      <w:pPr>
        <w:spacing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采购单位：</w:t>
      </w:r>
      <w:r>
        <w:rPr>
          <w:rFonts w:hint="eastAsia" w:ascii="仿宋_GB2312" w:hAnsi="仿宋_GB2312" w:eastAsia="仿宋_GB2312" w:cs="仿宋_GB2312"/>
          <w:sz w:val="28"/>
          <w:szCs w:val="28"/>
        </w:rPr>
        <w:t>重庆中农国信置业有限公司管理人</w:t>
      </w:r>
    </w:p>
    <w:p w14:paraId="5ED87304">
      <w:pPr>
        <w:spacing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联 系 人：何老师</w:t>
      </w:r>
    </w:p>
    <w:p w14:paraId="30C1466F">
      <w:pPr>
        <w:spacing w:after="156" w:afterLines="50" w:line="52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联系电话：023-6152 8369</w:t>
      </w:r>
    </w:p>
    <w:p w14:paraId="01B7CBF9">
      <w:pPr>
        <w:spacing w:after="156" w:afterLines="50" w:line="520" w:lineRule="exact"/>
        <w:ind w:firstLine="560" w:firstLineChars="200"/>
        <w:rPr>
          <w:rFonts w:hint="eastAsia" w:ascii="仿宋_GB2312" w:hAnsi="仿宋_GB2312" w:eastAsia="仿宋_GB2312" w:cs="仿宋_GB2312"/>
          <w:sz w:val="28"/>
          <w:szCs w:val="28"/>
        </w:rPr>
      </w:pPr>
    </w:p>
    <w:p w14:paraId="12CE4088">
      <w:pPr>
        <w:spacing w:after="156" w:afterLines="50" w:line="520" w:lineRule="exact"/>
        <w:jc w:val="right"/>
        <w:rPr>
          <w:rFonts w:hint="eastAsia" w:ascii="仿宋_GB2312" w:hAnsi="仿宋_GB2312" w:eastAsia="仿宋_GB2312" w:cs="仿宋_GB2312"/>
          <w:sz w:val="28"/>
          <w:szCs w:val="28"/>
        </w:rPr>
      </w:pPr>
      <w:bookmarkStart w:id="0" w:name="_Hlk57712347"/>
    </w:p>
    <w:p w14:paraId="6599B7EA">
      <w:pPr>
        <w:spacing w:after="156" w:afterLines="50" w:line="520" w:lineRule="exact"/>
        <w:ind w:firstLine="2240" w:firstLineChars="800"/>
        <w:jc w:val="righ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重庆中农国信置业有限公司管理人</w:t>
      </w:r>
    </w:p>
    <w:p w14:paraId="553173B4">
      <w:pPr>
        <w:spacing w:after="156" w:afterLines="50" w:line="520" w:lineRule="exact"/>
        <w:ind w:firstLine="2240" w:firstLineChars="800"/>
        <w:jc w:val="right"/>
        <w:rPr>
          <w:rFonts w:hint="eastAsia" w:ascii="仿宋" w:hAnsi="仿宋" w:eastAsia="仿宋" w:cs="仿宋"/>
          <w:sz w:val="28"/>
          <w:szCs w:val="28"/>
        </w:rPr>
      </w:pPr>
      <w:r>
        <w:rPr>
          <w:rFonts w:hint="eastAsia" w:ascii="仿宋_GB2312" w:hAnsi="仿宋_GB2312" w:eastAsia="仿宋_GB2312" w:cs="仿宋_GB2312"/>
          <w:sz w:val="28"/>
          <w:szCs w:val="28"/>
        </w:rPr>
        <w:t>二〇二四年八月二十九日</w:t>
      </w:r>
      <w:bookmarkEnd w:id="0"/>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w:panose1 w:val="020B0704020202020204"/>
    <w:charset w:val="00"/>
    <w:family w:val="swiss"/>
    <w:pitch w:val="default"/>
    <w:sig w:usb0="E0002AFF" w:usb1="C0007843" w:usb2="00000009" w:usb3="00000000" w:csb0="400001FF" w:csb1="FFFF0000"/>
  </w:font>
  <w:font w:name="方正小标宋_GBK">
    <w:altName w:val="汉仪书宋二KW"/>
    <w:panose1 w:val="03000509000000000000"/>
    <w:charset w:val="86"/>
    <w:family w:val="script"/>
    <w:pitch w:val="default"/>
    <w:sig w:usb0="00000000" w:usb1="00000000" w:usb2="00000010" w:usb3="00000000" w:csb0="00040000" w:csb1="00000000"/>
  </w:font>
  <w:font w:name="华文仿宋">
    <w:altName w:val="方正仿宋_GBK"/>
    <w:panose1 w:val="02010600040101010101"/>
    <w:charset w:val="86"/>
    <w:family w:val="auto"/>
    <w:pitch w:val="default"/>
    <w:sig w:usb0="00000000" w:usb1="00000000" w:usb2="00000010" w:usb3="00000000" w:csb0="0004009F" w:csb1="00000000"/>
  </w:font>
  <w:font w:name="仿宋_GB2312">
    <w:altName w:val="方正仿宋_GBK"/>
    <w:panose1 w:val="02010609030101010101"/>
    <w:charset w:val="86"/>
    <w:family w:val="modern"/>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0EE38C">
    <w:pPr>
      <w:pStyle w:val="4"/>
      <w:pBdr>
        <w:bottom w:val="single" w:color="auto" w:sz="4" w:space="0"/>
      </w:pBdr>
      <w:jc w:val="both"/>
    </w:pPr>
    <w:r>
      <w:drawing>
        <wp:anchor distT="0" distB="0" distL="114300" distR="114300" simplePos="0" relativeHeight="251659264" behindDoc="0" locked="0" layoutInCell="1" allowOverlap="1">
          <wp:simplePos x="0" y="0"/>
          <wp:positionH relativeFrom="column">
            <wp:posOffset>4114800</wp:posOffset>
          </wp:positionH>
          <wp:positionV relativeFrom="paragraph">
            <wp:posOffset>2540</wp:posOffset>
          </wp:positionV>
          <wp:extent cx="1076325" cy="381000"/>
          <wp:effectExtent l="0" t="0" r="0" b="0"/>
          <wp:wrapNone/>
          <wp:docPr id="1255375743" name="图片 1" descr="2ac773cc30b5dbfe42ee179cc02a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375743" name="图片 1" descr="2ac773cc30b5dbfe42ee179cc02a27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076712" cy="381274"/>
                  </a:xfrm>
                  <a:prstGeom prst="rect">
                    <a:avLst/>
                  </a:prstGeom>
                </pic:spPr>
              </pic:pic>
            </a:graphicData>
          </a:graphic>
        </wp:anchor>
      </w:drawing>
    </w:r>
    <w:r>
      <w:drawing>
        <wp:inline distT="0" distB="0" distL="0" distR="0">
          <wp:extent cx="1414780" cy="360045"/>
          <wp:effectExtent l="0" t="0" r="7620" b="8255"/>
          <wp:docPr id="13" name="图片 8" descr="律所分所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descr="律所分所logo"/>
                  <pic:cNvPicPr>
                    <a:picLocks noChangeAspect="1" noChangeArrowheads="1"/>
                  </pic:cNvPicPr>
                </pic:nvPicPr>
                <pic:blipFill>
                  <a:blip r:embed="rId2"/>
                  <a:srcRect/>
                  <a:stretch>
                    <a:fillRect/>
                  </a:stretch>
                </pic:blipFill>
                <pic:spPr>
                  <a:xfrm>
                    <a:off x="0" y="0"/>
                    <a:ext cx="1414780" cy="360045"/>
                  </a:xfrm>
                  <a:prstGeom prst="rect">
                    <a:avLst/>
                  </a:prstGeom>
                  <a:noFill/>
                  <a:ln w="9525">
                    <a:noFill/>
                    <a:miter lim="800000"/>
                    <a:headEnd/>
                    <a:tailEnd/>
                  </a:ln>
                </pic:spPr>
              </pic:pic>
            </a:graphicData>
          </a:graphic>
        </wp:inline>
      </w:drawing>
    </w:r>
    <w:r>
      <w:rPr>
        <w:rFonts w:hint="eastAsia" w:ascii="宋体" w:hAnsi="宋体" w:eastAsia="宋体" w:cs="宋体"/>
        <w:b/>
        <w:sz w:val="28"/>
        <w:szCs w:val="28"/>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dhZGZiYTdlODhiMjZhNTg4YTZhNGRlMzA3NzMyNWEifQ=="/>
  </w:docVars>
  <w:rsids>
    <w:rsidRoot w:val="00141891"/>
    <w:rsid w:val="000B62F1"/>
    <w:rsid w:val="000F14FC"/>
    <w:rsid w:val="0010664E"/>
    <w:rsid w:val="00117684"/>
    <w:rsid w:val="00141891"/>
    <w:rsid w:val="008C0609"/>
    <w:rsid w:val="009C5F8C"/>
    <w:rsid w:val="00A528E6"/>
    <w:rsid w:val="00BF158B"/>
    <w:rsid w:val="00C10BC0"/>
    <w:rsid w:val="00C16B8D"/>
    <w:rsid w:val="00DA2509"/>
    <w:rsid w:val="00E125A9"/>
    <w:rsid w:val="00F0214D"/>
    <w:rsid w:val="00FD4534"/>
    <w:rsid w:val="035F06F1"/>
    <w:rsid w:val="0915567F"/>
    <w:rsid w:val="176A44D1"/>
    <w:rsid w:val="17A95E55"/>
    <w:rsid w:val="26C5384B"/>
    <w:rsid w:val="34D160AA"/>
    <w:rsid w:val="3B4D0727"/>
    <w:rsid w:val="47334BF4"/>
    <w:rsid w:val="536D2FA2"/>
    <w:rsid w:val="714360B4"/>
    <w:rsid w:val="D00DD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oa heading"/>
    <w:basedOn w:val="1"/>
    <w:next w:val="1"/>
    <w:autoRedefine/>
    <w:semiHidden/>
    <w:qFormat/>
    <w:uiPriority w:val="0"/>
    <w:pPr>
      <w:spacing w:before="120"/>
    </w:pPr>
    <w:rPr>
      <w:rFonts w:ascii="Arial" w:hAnsi="Arial" w:cs="Arial"/>
      <w:sz w:val="24"/>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header"/>
    <w:basedOn w:val="1"/>
    <w:link w:val="7"/>
    <w:autoRedefine/>
    <w:qFormat/>
    <w:uiPriority w:val="0"/>
    <w:pPr>
      <w:tabs>
        <w:tab w:val="center" w:pos="4153"/>
        <w:tab w:val="right" w:pos="8306"/>
      </w:tabs>
      <w:snapToGrid w:val="0"/>
      <w:jc w:val="center"/>
    </w:pPr>
    <w:rPr>
      <w:sz w:val="18"/>
      <w:szCs w:val="18"/>
    </w:rPr>
  </w:style>
  <w:style w:type="character" w:customStyle="1" w:styleId="7">
    <w:name w:val="页眉 字符"/>
    <w:basedOn w:val="6"/>
    <w:link w:val="4"/>
    <w:autoRedefine/>
    <w:qFormat/>
    <w:uiPriority w:val="0"/>
    <w:rPr>
      <w:kern w:val="2"/>
      <w:sz w:val="18"/>
      <w:szCs w:val="18"/>
    </w:rPr>
  </w:style>
  <w:style w:type="paragraph" w:customStyle="1" w:styleId="8">
    <w:name w:val="修订1"/>
    <w:autoRedefine/>
    <w:hidden/>
    <w:unhideWhenUsed/>
    <w:qFormat/>
    <w:uiPriority w:val="99"/>
    <w:rPr>
      <w:rFonts w:asciiTheme="minorHAnsi" w:hAnsiTheme="minorHAnsi" w:eastAsiaTheme="minorEastAsia" w:cstheme="minorBidi"/>
      <w:kern w:val="2"/>
      <w:sz w:val="21"/>
      <w:szCs w:val="24"/>
      <w:lang w:val="en-US" w:eastAsia="zh-CN" w:bidi="ar-SA"/>
    </w:rPr>
  </w:style>
  <w:style w:type="paragraph" w:customStyle="1" w:styleId="9">
    <w:name w:val="Revision"/>
    <w:hidden/>
    <w:unhideWhenUsed/>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106</Words>
  <Characters>606</Characters>
  <Lines>5</Lines>
  <Paragraphs>1</Paragraphs>
  <TotalTime>9</TotalTime>
  <ScaleCrop>false</ScaleCrop>
  <LinksUpToDate>false</LinksUpToDate>
  <CharactersWithSpaces>711</CharactersWithSpaces>
  <Application>WPS Office_6.10.1.8873_F1E327BC-269C-435d-A152-05C5408002CA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2024-08-29T14:21:00Z</dcterms:created>
  <dc:creator>Administrator</dc:creator>
  <cp:lastModifiedBy>Yin</cp:lastModifiedBy>
  <cp:lastPrinted>2024-06-07T11:16:00Z</cp:lastPrinted>
  <dcterms:modified xsi:type="dcterms:W3CDTF">2024-08-29T15:14:45Z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2052-6.10.1.8873</vt:lpwstr>
  </property>
  <property fmtid="{D5CDD505-2E9C-101B-9397-08002B2CF9AE}" pid="3" name="ICV">
    <vt:lpwstr>59EBA561A3C145E1E51FD0660B0FA36A_43</vt:lpwstr>
  </property>
</Properties>
</file>