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2B353">
      <w:pPr>
        <w:rPr>
          <w:rFonts w:eastAsia="黑体" w:cs="方正书宋简体" w:asciiTheme="minorEastAsia" w:hAnsiTheme="minorEastAsia"/>
          <w:b/>
          <w:bCs/>
          <w:sz w:val="36"/>
          <w:szCs w:val="36"/>
        </w:rPr>
      </w:pPr>
      <w:r>
        <w:rPr>
          <w:rFonts w:hint="eastAsia" w:ascii="黑体" w:hAnsi="黑体" w:eastAsia="黑体"/>
          <w:sz w:val="24"/>
        </w:rPr>
        <w:t>债权申报材料之六</w:t>
      </w:r>
    </w:p>
    <w:p w14:paraId="26D75D48">
      <w:pPr>
        <w:jc w:val="center"/>
        <w:rPr>
          <w:rFonts w:cs="方正书宋简体" w:asciiTheme="minorEastAsia" w:hAnsiTheme="minorEastAsia"/>
          <w:b/>
          <w:bCs/>
          <w:sz w:val="10"/>
          <w:szCs w:val="10"/>
        </w:rPr>
      </w:pPr>
      <w:r>
        <w:rPr>
          <w:rFonts w:hint="eastAsia" w:cs="方正书宋简体" w:asciiTheme="minorEastAsia" w:hAnsiTheme="minorEastAsia"/>
          <w:b/>
          <w:bCs/>
          <w:sz w:val="36"/>
          <w:szCs w:val="36"/>
        </w:rPr>
        <w:t>债权申报说明</w:t>
      </w:r>
    </w:p>
    <w:p w14:paraId="4F8FAE8F">
      <w:pPr>
        <w:jc w:val="center"/>
        <w:rPr>
          <w:rFonts w:cs="方正书宋简体" w:asciiTheme="minorEastAsia" w:hAnsiTheme="minorEastAsia"/>
          <w:b/>
          <w:bCs/>
          <w:sz w:val="10"/>
          <w:szCs w:val="10"/>
        </w:rPr>
      </w:pPr>
    </w:p>
    <w:p w14:paraId="3474E490">
      <w:p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lang w:val="en-US" w:eastAsia="zh-CN"/>
        </w:rPr>
        <w:t>麻城市</w:t>
      </w:r>
      <w:r>
        <w:rPr>
          <w:rFonts w:hint="eastAsia" w:cs="方正书宋简体" w:asciiTheme="minorEastAsia" w:hAnsiTheme="minorEastAsia"/>
          <w:sz w:val="24"/>
          <w:lang w:eastAsia="zh-CN"/>
        </w:rPr>
        <w:t>人民法院</w:t>
      </w:r>
      <w:r>
        <w:rPr>
          <w:rFonts w:hint="eastAsia" w:cs="方正书宋简体" w:asciiTheme="minorEastAsia" w:hAnsiTheme="minorEastAsia"/>
          <w:sz w:val="24"/>
        </w:rPr>
        <w:t>依法裁定受理</w:t>
      </w:r>
      <w:r>
        <w:rPr>
          <w:rFonts w:hint="eastAsia" w:cs="方正书宋简体" w:asciiTheme="minorEastAsia" w:hAnsiTheme="minorEastAsia"/>
          <w:sz w:val="24"/>
          <w:lang w:eastAsia="zh-CN"/>
        </w:rPr>
        <w:t>麻城市福缘金银珠宝首饰有限责任公司</w:t>
      </w:r>
      <w:r>
        <w:rPr>
          <w:rFonts w:hint="eastAsia" w:cs="方正书宋简体" w:asciiTheme="minorEastAsia" w:hAnsiTheme="minorEastAsia"/>
          <w:sz w:val="24"/>
        </w:rPr>
        <w:t>（以下简称“</w:t>
      </w:r>
      <w:bookmarkStart w:id="0" w:name="_GoBack"/>
      <w:bookmarkEnd w:id="0"/>
      <w:r>
        <w:rPr>
          <w:rFonts w:hint="eastAsia" w:cs="方正书宋简体" w:asciiTheme="minorEastAsia" w:hAnsiTheme="minorEastAsia"/>
          <w:sz w:val="24"/>
          <w:lang w:val="en-US" w:eastAsia="zh-CN"/>
        </w:rPr>
        <w:t>福缘金银珠宝</w:t>
      </w:r>
      <w:r>
        <w:rPr>
          <w:rFonts w:hint="eastAsia" w:cs="方正书宋简体" w:asciiTheme="minorEastAsia" w:hAnsiTheme="minorEastAsia"/>
          <w:sz w:val="24"/>
        </w:rPr>
        <w:t>”）的</w:t>
      </w:r>
      <w:r>
        <w:rPr>
          <w:rFonts w:hint="eastAsia" w:cs="方正书宋简体" w:asciiTheme="minorEastAsia" w:hAnsiTheme="minorEastAsia"/>
          <w:sz w:val="24"/>
          <w:lang w:val="en-US" w:eastAsia="zh-CN"/>
        </w:rPr>
        <w:t>破产清算</w:t>
      </w:r>
      <w:r>
        <w:rPr>
          <w:rFonts w:hint="eastAsia" w:cs="方正书宋简体" w:asciiTheme="minorEastAsia" w:hAnsiTheme="minorEastAsia"/>
          <w:sz w:val="24"/>
        </w:rPr>
        <w:t>申请，并依法指定湖北</w:t>
      </w:r>
      <w:r>
        <w:rPr>
          <w:rFonts w:hint="eastAsia" w:cs="方正书宋简体" w:asciiTheme="minorEastAsia" w:hAnsiTheme="minorEastAsia"/>
          <w:sz w:val="24"/>
          <w:lang w:eastAsia="zh-CN"/>
        </w:rPr>
        <w:t>伟岸</w:t>
      </w:r>
      <w:r>
        <w:rPr>
          <w:rFonts w:hint="eastAsia" w:cs="方正书宋简体" w:asciiTheme="minorEastAsia" w:hAnsiTheme="minorEastAsia"/>
          <w:sz w:val="24"/>
        </w:rPr>
        <w:t>律师事务所担任</w:t>
      </w:r>
      <w:r>
        <w:rPr>
          <w:rFonts w:hint="eastAsia" w:cs="方正书宋简体" w:asciiTheme="minorEastAsia" w:hAnsiTheme="minorEastAsia"/>
          <w:sz w:val="24"/>
          <w:lang w:eastAsia="zh-CN"/>
        </w:rPr>
        <w:t>管理人</w:t>
      </w:r>
      <w:r>
        <w:rPr>
          <w:rFonts w:hint="eastAsia" w:cs="方正书宋简体" w:asciiTheme="minorEastAsia" w:hAnsiTheme="minorEastAsia"/>
          <w:sz w:val="24"/>
        </w:rPr>
        <w:t>。</w:t>
      </w:r>
    </w:p>
    <w:p w14:paraId="5DB07FAF">
      <w:p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为落实人民法院公告规定的债权申报事宜，保证债权人申报工作的顺利进行，</w:t>
      </w:r>
      <w:r>
        <w:rPr>
          <w:rFonts w:hint="eastAsia" w:cs="方正书宋简体" w:asciiTheme="minorEastAsia" w:hAnsiTheme="minorEastAsia"/>
          <w:sz w:val="24"/>
          <w:lang w:eastAsia="zh-CN"/>
        </w:rPr>
        <w:t>管理人</w:t>
      </w:r>
      <w:r>
        <w:rPr>
          <w:rFonts w:hint="eastAsia" w:cs="方正书宋简体" w:asciiTheme="minorEastAsia" w:hAnsiTheme="minorEastAsia"/>
          <w:sz w:val="24"/>
        </w:rPr>
        <w:t>现依据《中华人民共和国企业破产法》、《最高人民法院关于审理企业破产案件指定</w:t>
      </w:r>
      <w:r>
        <w:rPr>
          <w:rFonts w:hint="eastAsia" w:cs="方正书宋简体" w:asciiTheme="minorEastAsia" w:hAnsiTheme="minorEastAsia"/>
          <w:sz w:val="24"/>
          <w:lang w:eastAsia="zh-CN"/>
        </w:rPr>
        <w:t>管理人</w:t>
      </w:r>
      <w:r>
        <w:rPr>
          <w:rFonts w:hint="eastAsia" w:cs="方正书宋简体" w:asciiTheme="minorEastAsia" w:hAnsiTheme="minorEastAsia"/>
          <w:sz w:val="24"/>
        </w:rPr>
        <w:t>的规定》等规定，结合申报工作实际，就债权申报事宜作出如下说明：</w:t>
      </w:r>
    </w:p>
    <w:p w14:paraId="04AE936E">
      <w:pPr>
        <w:numPr>
          <w:ilvl w:val="0"/>
          <w:numId w:val="1"/>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债权申报主体</w:t>
      </w:r>
    </w:p>
    <w:p w14:paraId="349BD789">
      <w:p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lang w:eastAsia="zh-CN"/>
        </w:rPr>
        <w:t>麻城市人民法院</w:t>
      </w:r>
      <w:r>
        <w:rPr>
          <w:rFonts w:hint="eastAsia" w:cs="方正书宋简体" w:asciiTheme="minorEastAsia" w:hAnsiTheme="minorEastAsia"/>
          <w:sz w:val="24"/>
        </w:rPr>
        <w:t>受理</w:t>
      </w:r>
      <w:r>
        <w:rPr>
          <w:rFonts w:hint="eastAsia" w:cs="方正书宋简体" w:asciiTheme="minorEastAsia" w:hAnsiTheme="minorEastAsia"/>
          <w:sz w:val="24"/>
          <w:lang w:val="en-US" w:eastAsia="zh-CN"/>
        </w:rPr>
        <w:t>破产清算</w:t>
      </w:r>
      <w:r>
        <w:rPr>
          <w:rFonts w:hint="eastAsia" w:cs="方正书宋简体" w:asciiTheme="minorEastAsia" w:hAnsiTheme="minorEastAsia"/>
          <w:sz w:val="24"/>
        </w:rPr>
        <w:t>申请时，对</w:t>
      </w:r>
      <w:r>
        <w:rPr>
          <w:rFonts w:hint="eastAsia" w:cs="方正书宋简体" w:asciiTheme="minorEastAsia" w:hAnsiTheme="minorEastAsia"/>
          <w:sz w:val="24"/>
          <w:lang w:eastAsia="zh-CN"/>
        </w:rPr>
        <w:t>福缘金银珠宝</w:t>
      </w:r>
      <w:r>
        <w:rPr>
          <w:rFonts w:hint="eastAsia" w:cs="方正书宋简体" w:asciiTheme="minorEastAsia" w:hAnsiTheme="minorEastAsia"/>
          <w:sz w:val="24"/>
        </w:rPr>
        <w:t>享有到期或未到期债权（未到期债权视为到期）的自然人、法人、其他组织，均可申报债权。债权人为法人或其他组织的债权统称机构债权；债权人为自然人的债权统称个人债权。</w:t>
      </w:r>
    </w:p>
    <w:p w14:paraId="454F9EF6">
      <w:pPr>
        <w:numPr>
          <w:ilvl w:val="0"/>
          <w:numId w:val="1"/>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负责债权申报的登记机构</w:t>
      </w:r>
    </w:p>
    <w:p w14:paraId="3C6B32B0">
      <w:p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lang w:eastAsia="zh-CN"/>
        </w:rPr>
        <w:t>管理人</w:t>
      </w:r>
      <w:r>
        <w:rPr>
          <w:rFonts w:hint="eastAsia" w:cs="方正书宋简体" w:asciiTheme="minorEastAsia" w:hAnsiTheme="minorEastAsia"/>
          <w:sz w:val="24"/>
        </w:rPr>
        <w:t>负责债权申报的登记工作。</w:t>
      </w:r>
    </w:p>
    <w:p w14:paraId="39AF85FB">
      <w:p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三 、债权申报期限</w:t>
      </w:r>
    </w:p>
    <w:p w14:paraId="067F9F50">
      <w:p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lang w:eastAsia="zh-CN"/>
        </w:rPr>
        <w:t>福缘金银珠宝</w:t>
      </w:r>
      <w:r>
        <w:rPr>
          <w:rFonts w:hint="eastAsia" w:cs="方正书宋简体" w:asciiTheme="minorEastAsia" w:hAnsiTheme="minorEastAsia"/>
          <w:sz w:val="24"/>
        </w:rPr>
        <w:t>的债权人应当在</w:t>
      </w:r>
      <w:r>
        <w:rPr>
          <w:rFonts w:hint="eastAsia" w:cs="方正书宋简体" w:asciiTheme="minorEastAsia" w:hAnsiTheme="minorEastAsia"/>
          <w:sz w:val="24"/>
          <w:lang w:eastAsia="zh-CN"/>
        </w:rPr>
        <w:t>麻城市人民法院</w:t>
      </w:r>
      <w:r>
        <w:rPr>
          <w:rFonts w:hint="eastAsia" w:cs="方正书宋简体" w:asciiTheme="minorEastAsia" w:hAnsiTheme="minorEastAsia"/>
          <w:sz w:val="24"/>
        </w:rPr>
        <w:t>公告规定的地点和期限内申报债权，以免延误申报而增加申报人成本，进而影响债权的认定及受偿，最终给债权人造成不必要的损失。</w:t>
      </w:r>
    </w:p>
    <w:p w14:paraId="32B1E945">
      <w:pPr>
        <w:numPr>
          <w:ilvl w:val="0"/>
          <w:numId w:val="2"/>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债权申报流程</w:t>
      </w:r>
    </w:p>
    <w:p w14:paraId="2AA8EF37">
      <w:p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债权人申报债权时应当按申报要求，在排号处领取《债权申报说明》、《债权申报表》和《债权申报材料清单》；按要求填写《债权申报表》，按规定备齐申报材料原件并复印后在排号处领取《债权申报顺序号》，根据序号依序在登记审核处提交申报资料；经审核后对符合要求且与原件一致的申报资料复印件由审核人员登记立卷归档，申报资料原件由审核人员交扫描处进行扫描；扫描完成后由申报人和登记审核人在《申报材料清单》上签字，申报人收回申报材料原件（《债权申报表》、《申报材料清单》等需</w:t>
      </w:r>
      <w:r>
        <w:rPr>
          <w:rFonts w:hint="eastAsia" w:cs="方正书宋简体" w:asciiTheme="minorEastAsia" w:hAnsiTheme="minorEastAsia"/>
          <w:sz w:val="24"/>
          <w:lang w:eastAsia="zh-CN"/>
        </w:rPr>
        <w:t>管理人</w:t>
      </w:r>
      <w:r>
        <w:rPr>
          <w:rFonts w:hint="eastAsia" w:cs="方正书宋简体" w:asciiTheme="minorEastAsia" w:hAnsiTheme="minorEastAsia"/>
          <w:sz w:val="24"/>
        </w:rPr>
        <w:t>保管的原件除外），债权申报即告完成。</w:t>
      </w:r>
    </w:p>
    <w:p w14:paraId="75B25478">
      <w:p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审核人员认为不符合申报要求的，由申报人自行补充完善申报资料，重新排队申报。</w:t>
      </w:r>
    </w:p>
    <w:p w14:paraId="319514F5">
      <w:p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债权申报后，不免除债权人其后应</w:t>
      </w:r>
      <w:r>
        <w:rPr>
          <w:rFonts w:hint="eastAsia" w:cs="方正书宋简体" w:asciiTheme="minorEastAsia" w:hAnsiTheme="minorEastAsia"/>
          <w:sz w:val="24"/>
          <w:lang w:eastAsia="zh-CN"/>
        </w:rPr>
        <w:t>麻城市人民法院</w:t>
      </w:r>
      <w:r>
        <w:rPr>
          <w:rFonts w:hint="eastAsia" w:cs="方正书宋简体" w:asciiTheme="minorEastAsia" w:hAnsiTheme="minorEastAsia"/>
          <w:sz w:val="24"/>
        </w:rPr>
        <w:t>或</w:t>
      </w:r>
      <w:r>
        <w:rPr>
          <w:rFonts w:hint="eastAsia" w:cs="方正书宋简体" w:asciiTheme="minorEastAsia" w:hAnsiTheme="minorEastAsia"/>
          <w:sz w:val="24"/>
          <w:lang w:eastAsia="zh-CN"/>
        </w:rPr>
        <w:t>管理人</w:t>
      </w:r>
      <w:r>
        <w:rPr>
          <w:rFonts w:hint="eastAsia" w:cs="方正书宋简体" w:asciiTheme="minorEastAsia" w:hAnsiTheme="minorEastAsia"/>
          <w:sz w:val="24"/>
        </w:rPr>
        <w:t>要求，履行对债权形成及其证据等接受询问调查或补充提交证据等义务。</w:t>
      </w:r>
    </w:p>
    <w:p w14:paraId="497BE3EF">
      <w:p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五、债权申报所需提交的资料</w:t>
      </w:r>
    </w:p>
    <w:p w14:paraId="3787A032">
      <w:p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债权人申报债权时必须提交以下材料：</w:t>
      </w:r>
    </w:p>
    <w:p w14:paraId="325857A6">
      <w:pPr>
        <w:numPr>
          <w:ilvl w:val="0"/>
          <w:numId w:val="3"/>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《债权申报表》</w:t>
      </w:r>
    </w:p>
    <w:p w14:paraId="066EDBF8">
      <w:p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（1）规范、清晰填写《债权申报表》中列明需要填写的事项。</w:t>
      </w:r>
    </w:p>
    <w:p w14:paraId="77FE6F5A">
      <w:p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（2）在《债权申报表》背面 “债权形成基本情况”一栏中应当详细说明：债权人、债务人、保证人、连带权利人、连带义务人等主体情况；主张债权的类型（主张给付金钱、交付房屋等）；债权标的，包括但不限于债权原始数额、余额、各种利息、罚息、违约及损失赔偿金、案件受理费、保全费、执行费等；债权形成的事实和理由，包括但不限于债权的产生、变更、担保、转移、履行、抵销、清偿或部分清偿、诉讼、仲裁、调解、保全、执行等全部经过。</w:t>
      </w:r>
    </w:p>
    <w:p w14:paraId="7E096AAA">
      <w:p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（3）申报机构债权时，《债权申报表》需法定代表人、负责人或代理人签字并加盖单位公章；申报个人债权时，登记表需由债权人本人或代理人签名。</w:t>
      </w:r>
    </w:p>
    <w:p w14:paraId="5C0064FC">
      <w:pPr>
        <w:numPr>
          <w:ilvl w:val="0"/>
          <w:numId w:val="3"/>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证明债权申报人主体资格的材料</w:t>
      </w:r>
    </w:p>
    <w:p w14:paraId="2AF71B45">
      <w:pPr>
        <w:numPr>
          <w:ilvl w:val="0"/>
          <w:numId w:val="4"/>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机构债权人需提交的材料：有效的企业法人营业执照、事业和社团法人登记证书等原件及复印件、法定代表人或负责人身份证明原件；如发生单位名称变更或法定代表人变更的，必须提交变更的法律文件或证明文件原件及复印件。</w:t>
      </w:r>
    </w:p>
    <w:p w14:paraId="2A3208F6">
      <w:pPr>
        <w:numPr>
          <w:ilvl w:val="0"/>
          <w:numId w:val="4"/>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个人债权人需提交的材料：债权人身份证、户口簿等个人有效证件原件及债权人签名捺印的复印件。</w:t>
      </w:r>
    </w:p>
    <w:p w14:paraId="602D0A77">
      <w:pPr>
        <w:numPr>
          <w:ilvl w:val="0"/>
          <w:numId w:val="4"/>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委托代理申报还需提交的材料：机构债权人委托代理申报的，提交授权委托书（法定代表人或负责人签字并加盖公章）原件、代理人的身份证等个人有效证件原件及加盖公章的复印件；个人债权人委托他人申报的，还需提交授权委托书原件和债权人、代理人的身份证等个人有效证件原件及身份证持有人签名捺印的复印件。</w:t>
      </w:r>
    </w:p>
    <w:p w14:paraId="193C404C">
      <w:pPr>
        <w:numPr>
          <w:ilvl w:val="0"/>
          <w:numId w:val="5"/>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证明债权发生事实及主张债权类型的材料</w:t>
      </w:r>
    </w:p>
    <w:p w14:paraId="234423DC">
      <w:pPr>
        <w:numPr>
          <w:ilvl w:val="0"/>
          <w:numId w:val="6"/>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各类合同、协议、借据、欠据、结算书、决算书、审计或鉴证报告等债权原始材料；交款收据、发票；银行付款单据、对账单等原始履行凭证。</w:t>
      </w:r>
    </w:p>
    <w:p w14:paraId="5FD1B910">
      <w:pPr>
        <w:numPr>
          <w:ilvl w:val="0"/>
          <w:numId w:val="6"/>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债权如有备案、预告登记或担保的，还须提交备案、预告登记手续，抵押合同、质押合同、保证合同等相关合同及相关的登记手续（包括但不限于他项权利证书）等担保材料。</w:t>
      </w:r>
    </w:p>
    <w:p w14:paraId="2CB4B5E5">
      <w:pPr>
        <w:numPr>
          <w:ilvl w:val="0"/>
          <w:numId w:val="6"/>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债权的发生及变更，包括但不限于债权转移、债务承担、合同转让、债权债务重组、抵销、清偿等原始材料。</w:t>
      </w:r>
    </w:p>
    <w:p w14:paraId="6EC2F4F2">
      <w:pPr>
        <w:numPr>
          <w:ilvl w:val="0"/>
          <w:numId w:val="6"/>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债权如涉及诉讼、仲裁、调解、保全、执行，则须提交诉讼、仲裁、调解、保全、执行有关的文书，包括但不限于正在执行或正在进行中的案件的起诉书、仲裁申请书、诉讼保全申请书、保全裁定书等；生效判决书、调解书、裁决书、执行申请书、法院执行裁定书、决定书、法院执行案件通知书等原始材料。</w:t>
      </w:r>
    </w:p>
    <w:p w14:paraId="7E0C3898">
      <w:pPr>
        <w:numPr>
          <w:ilvl w:val="0"/>
          <w:numId w:val="6"/>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债权人主张债权的相关证明资料，如催款、催收通知等。</w:t>
      </w:r>
    </w:p>
    <w:p w14:paraId="57FBA6A8">
      <w:pPr>
        <w:numPr>
          <w:ilvl w:val="0"/>
          <w:numId w:val="6"/>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债权如涉及建筑工程勘察、设计、施工等价款争议，须提交图纸及签证资料等与价款结算有关的全部资料。</w:t>
      </w:r>
    </w:p>
    <w:p w14:paraId="406E125B">
      <w:pPr>
        <w:numPr>
          <w:ilvl w:val="0"/>
          <w:numId w:val="6"/>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关于利息、违约及损失赔偿金的计算方法及过程的书面说明。</w:t>
      </w:r>
    </w:p>
    <w:p w14:paraId="72530220">
      <w:pPr>
        <w:numPr>
          <w:ilvl w:val="0"/>
          <w:numId w:val="6"/>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相关公证文书（如有）。</w:t>
      </w:r>
    </w:p>
    <w:p w14:paraId="54F27AD1">
      <w:pPr>
        <w:numPr>
          <w:ilvl w:val="0"/>
          <w:numId w:val="6"/>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能够证明债权发生、变更、存续、诉讼时效中止、中断、延长等情况的其他原始材料。</w:t>
      </w:r>
    </w:p>
    <w:p w14:paraId="0AD389BA">
      <w:pPr>
        <w:numPr>
          <w:ilvl w:val="0"/>
          <w:numId w:val="6"/>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其他与债权形成有关的材料。</w:t>
      </w:r>
    </w:p>
    <w:p w14:paraId="1DC03774">
      <w:pPr>
        <w:numPr>
          <w:ilvl w:val="0"/>
          <w:numId w:val="7"/>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债权人认为需要提交的其他材料</w:t>
      </w:r>
    </w:p>
    <w:p w14:paraId="6F56C44C">
      <w:pPr>
        <w:numPr>
          <w:ilvl w:val="0"/>
          <w:numId w:val="8"/>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提交材料时的有关注意事项</w:t>
      </w:r>
    </w:p>
    <w:p w14:paraId="550178F0">
      <w:pPr>
        <w:numPr>
          <w:ilvl w:val="0"/>
          <w:numId w:val="9"/>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提交申报材料时，应提交全部原件以及与原件核对相符的复印件一套。对于债权人提交的复印件，债权人为机构的，在复印件上加盖单位公章及骑缝章，债权人为自然人的，由债权人本人或代理人在复印件上签字捺印，写明原件复印件一致等字样。</w:t>
      </w:r>
    </w:p>
    <w:p w14:paraId="76DE6419">
      <w:pPr>
        <w:numPr>
          <w:ilvl w:val="0"/>
          <w:numId w:val="9"/>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提供复印件统一用A4型纸张复印。申报材料是复印件的，复印件一并复印扫描。</w:t>
      </w:r>
    </w:p>
    <w:p w14:paraId="57A1968A">
      <w:pPr>
        <w:numPr>
          <w:ilvl w:val="0"/>
          <w:numId w:val="9"/>
        </w:numPr>
        <w:spacing w:line="320" w:lineRule="exact"/>
        <w:ind w:firstLine="480" w:firstLineChars="200"/>
        <w:rPr>
          <w:rFonts w:cs="方正书宋简体" w:asciiTheme="minorEastAsia" w:hAnsiTheme="minorEastAsia"/>
          <w:sz w:val="24"/>
        </w:rPr>
      </w:pPr>
      <w:r>
        <w:rPr>
          <w:rFonts w:hint="eastAsia" w:cs="方正书宋简体" w:asciiTheme="minorEastAsia" w:hAnsiTheme="minorEastAsia"/>
          <w:sz w:val="24"/>
        </w:rPr>
        <w:t>提交申报材料的时间为法定工作日及工作时间（上午9:00-12:00，下午2:</w:t>
      </w:r>
      <w:r>
        <w:rPr>
          <w:rFonts w:hint="eastAsia" w:cs="方正书宋简体" w:asciiTheme="minorEastAsia" w:hAnsiTheme="minorEastAsia"/>
          <w:sz w:val="24"/>
          <w:lang w:val="en-US" w:eastAsia="zh-CN"/>
        </w:rPr>
        <w:t>3</w:t>
      </w:r>
      <w:r>
        <w:rPr>
          <w:rFonts w:hint="eastAsia" w:cs="方正书宋简体" w:asciiTheme="minorEastAsia" w:hAnsiTheme="minorEastAsia"/>
          <w:sz w:val="24"/>
        </w:rPr>
        <w:t>0-5:30）。</w:t>
      </w:r>
    </w:p>
    <w:p w14:paraId="323EC422">
      <w:pPr>
        <w:spacing w:line="320" w:lineRule="exact"/>
        <w:ind w:left="560"/>
        <w:rPr>
          <w:rFonts w:cs="方正书宋简体" w:asciiTheme="minorEastAsia" w:hAnsiTheme="minorEastAsia"/>
          <w:sz w:val="24"/>
        </w:rPr>
      </w:pPr>
      <w:r>
        <w:rPr>
          <w:rFonts w:hint="eastAsia" w:cs="方正书宋简体" w:asciiTheme="minorEastAsia" w:hAnsiTheme="minorEastAsia"/>
          <w:sz w:val="24"/>
        </w:rPr>
        <w:t>七、《债权申报说明》由</w:t>
      </w:r>
      <w:r>
        <w:rPr>
          <w:rFonts w:hint="eastAsia" w:cs="方正书宋简体" w:asciiTheme="minorEastAsia" w:hAnsiTheme="minorEastAsia"/>
          <w:sz w:val="24"/>
          <w:lang w:eastAsia="zh-CN"/>
        </w:rPr>
        <w:t>麻城市福缘金银珠宝首饰有限责任公司管理人</w:t>
      </w:r>
      <w:r>
        <w:rPr>
          <w:rFonts w:hint="eastAsia" w:cs="方正书宋简体" w:asciiTheme="minorEastAsia" w:hAnsiTheme="minorEastAsia"/>
          <w:sz w:val="24"/>
        </w:rPr>
        <w:t>负责解释。</w:t>
      </w:r>
    </w:p>
    <w:p w14:paraId="265D7D19">
      <w:pPr>
        <w:spacing w:line="320" w:lineRule="exact"/>
        <w:jc w:val="right"/>
        <w:rPr>
          <w:rFonts w:hint="eastAsia" w:cs="方正书宋简体" w:asciiTheme="minorEastAsia" w:hAnsiTheme="minorEastAsia"/>
          <w:sz w:val="24"/>
          <w:lang w:eastAsia="zh-CN"/>
        </w:rPr>
      </w:pPr>
    </w:p>
    <w:p w14:paraId="08DDAD4A">
      <w:pPr>
        <w:spacing w:line="320" w:lineRule="exact"/>
        <w:jc w:val="right"/>
        <w:rPr>
          <w:rFonts w:hint="eastAsia" w:cs="方正书宋简体" w:asciiTheme="minorEastAsia" w:hAnsiTheme="minorEastAsia" w:eastAsiaTheme="minorEastAsia"/>
          <w:sz w:val="24"/>
          <w:lang w:eastAsia="zh-CN"/>
        </w:rPr>
      </w:pPr>
      <w:r>
        <w:rPr>
          <w:rFonts w:hint="eastAsia" w:cs="方正书宋简体" w:asciiTheme="minorEastAsia" w:hAnsiTheme="minorEastAsia"/>
          <w:sz w:val="24"/>
          <w:lang w:eastAsia="zh-CN"/>
        </w:rPr>
        <w:t>麻城市福缘金银珠宝首饰有限责任公司管理人</w:t>
      </w:r>
    </w:p>
    <w:p w14:paraId="7670CC13">
      <w:pPr>
        <w:spacing w:line="320" w:lineRule="exact"/>
        <w:ind w:left="560"/>
        <w:jc w:val="right"/>
        <w:rPr>
          <w:rFonts w:cs="方正书宋简体" w:asciiTheme="minorEastAsia" w:hAnsiTheme="minorEastAsia"/>
          <w:sz w:val="24"/>
        </w:rPr>
      </w:pPr>
      <w:r>
        <w:rPr>
          <w:rFonts w:hint="eastAsia" w:cs="方正书宋简体" w:asciiTheme="minorEastAsia" w:hAnsiTheme="minorEastAsia"/>
          <w:sz w:val="24"/>
        </w:rPr>
        <w:t xml:space="preserve">                                  20</w:t>
      </w:r>
      <w:r>
        <w:rPr>
          <w:rFonts w:hint="eastAsia" w:cs="方正书宋简体" w:asciiTheme="minorEastAsia" w:hAnsiTheme="minorEastAsia"/>
          <w:sz w:val="24"/>
          <w:lang w:val="en-US" w:eastAsia="zh-CN"/>
        </w:rPr>
        <w:t>24</w:t>
      </w:r>
      <w:r>
        <w:rPr>
          <w:rFonts w:hint="eastAsia" w:cs="方正书宋简体" w:asciiTheme="minorEastAsia" w:hAnsiTheme="minorEastAsia"/>
          <w:sz w:val="24"/>
        </w:rPr>
        <w:t>年</w:t>
      </w:r>
      <w:r>
        <w:rPr>
          <w:rFonts w:hint="eastAsia" w:cs="方正书宋简体" w:asciiTheme="minorEastAsia" w:hAnsiTheme="minorEastAsia"/>
          <w:sz w:val="24"/>
          <w:lang w:val="en-US" w:eastAsia="zh-CN"/>
        </w:rPr>
        <w:t>8</w:t>
      </w:r>
      <w:r>
        <w:rPr>
          <w:rFonts w:hint="eastAsia" w:cs="方正书宋简体" w:asciiTheme="minorEastAsia" w:hAnsiTheme="minorEastAsia"/>
          <w:sz w:val="24"/>
        </w:rPr>
        <w:t>月</w:t>
      </w:r>
      <w:r>
        <w:rPr>
          <w:rFonts w:hint="eastAsia" w:cs="方正书宋简体" w:asciiTheme="minorEastAsia" w:hAnsiTheme="minorEastAsia"/>
          <w:sz w:val="24"/>
          <w:lang w:val="en-US" w:eastAsia="zh-CN"/>
        </w:rPr>
        <w:t>12</w:t>
      </w:r>
      <w:r>
        <w:rPr>
          <w:rFonts w:hint="eastAsia" w:cs="方正书宋简体" w:asciiTheme="minorEastAsia" w:hAnsiTheme="minorEastAsia"/>
          <w:sz w:val="24"/>
        </w:rPr>
        <w:t>日</w:t>
      </w:r>
    </w:p>
    <w:sectPr>
      <w:pgSz w:w="11906" w:h="16838"/>
      <w:pgMar w:top="1327" w:right="1689" w:bottom="1043"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A7EB0"/>
    <w:multiLevelType w:val="singleLevel"/>
    <w:tmpl w:val="598A7EB0"/>
    <w:lvl w:ilvl="0" w:tentative="0">
      <w:start w:val="1"/>
      <w:numFmt w:val="chineseCounting"/>
      <w:suff w:val="nothing"/>
      <w:lvlText w:val="%1、"/>
      <w:lvlJc w:val="left"/>
    </w:lvl>
  </w:abstractNum>
  <w:abstractNum w:abstractNumId="1">
    <w:nsid w:val="598A83E6"/>
    <w:multiLevelType w:val="singleLevel"/>
    <w:tmpl w:val="598A83E6"/>
    <w:lvl w:ilvl="0" w:tentative="0">
      <w:start w:val="4"/>
      <w:numFmt w:val="chineseCounting"/>
      <w:suff w:val="nothing"/>
      <w:lvlText w:val="%1、"/>
      <w:lvlJc w:val="left"/>
    </w:lvl>
  </w:abstractNum>
  <w:abstractNum w:abstractNumId="2">
    <w:nsid w:val="598A85C7"/>
    <w:multiLevelType w:val="singleLevel"/>
    <w:tmpl w:val="598A85C7"/>
    <w:lvl w:ilvl="0" w:tentative="0">
      <w:start w:val="1"/>
      <w:numFmt w:val="decimal"/>
      <w:suff w:val="nothing"/>
      <w:lvlText w:val="%1、"/>
      <w:lvlJc w:val="left"/>
    </w:lvl>
  </w:abstractNum>
  <w:abstractNum w:abstractNumId="3">
    <w:nsid w:val="598A8CF1"/>
    <w:multiLevelType w:val="singleLevel"/>
    <w:tmpl w:val="598A8CF1"/>
    <w:lvl w:ilvl="0" w:tentative="0">
      <w:start w:val="1"/>
      <w:numFmt w:val="decimal"/>
      <w:suff w:val="nothing"/>
      <w:lvlText w:val="（%1）"/>
      <w:lvlJc w:val="left"/>
    </w:lvl>
  </w:abstractNum>
  <w:abstractNum w:abstractNumId="4">
    <w:nsid w:val="598A8F61"/>
    <w:multiLevelType w:val="singleLevel"/>
    <w:tmpl w:val="598A8F61"/>
    <w:lvl w:ilvl="0" w:tentative="0">
      <w:start w:val="3"/>
      <w:numFmt w:val="decimal"/>
      <w:suff w:val="nothing"/>
      <w:lvlText w:val="%1、"/>
      <w:lvlJc w:val="left"/>
    </w:lvl>
  </w:abstractNum>
  <w:abstractNum w:abstractNumId="5">
    <w:nsid w:val="598A9044"/>
    <w:multiLevelType w:val="singleLevel"/>
    <w:tmpl w:val="598A9044"/>
    <w:lvl w:ilvl="0" w:tentative="0">
      <w:start w:val="1"/>
      <w:numFmt w:val="decimal"/>
      <w:suff w:val="nothing"/>
      <w:lvlText w:val="(%1）"/>
      <w:lvlJc w:val="left"/>
    </w:lvl>
  </w:abstractNum>
  <w:abstractNum w:abstractNumId="6">
    <w:nsid w:val="598A9657"/>
    <w:multiLevelType w:val="singleLevel"/>
    <w:tmpl w:val="598A9657"/>
    <w:lvl w:ilvl="0" w:tentative="0">
      <w:start w:val="4"/>
      <w:numFmt w:val="decimal"/>
      <w:suff w:val="nothing"/>
      <w:lvlText w:val="%1、"/>
      <w:lvlJc w:val="left"/>
    </w:lvl>
  </w:abstractNum>
  <w:abstractNum w:abstractNumId="7">
    <w:nsid w:val="598A9697"/>
    <w:multiLevelType w:val="singleLevel"/>
    <w:tmpl w:val="598A9697"/>
    <w:lvl w:ilvl="0" w:tentative="0">
      <w:start w:val="6"/>
      <w:numFmt w:val="chineseCounting"/>
      <w:suff w:val="nothing"/>
      <w:lvlText w:val="%1、"/>
      <w:lvlJc w:val="left"/>
    </w:lvl>
  </w:abstractNum>
  <w:abstractNum w:abstractNumId="8">
    <w:nsid w:val="598A97D6"/>
    <w:multiLevelType w:val="singleLevel"/>
    <w:tmpl w:val="598A97D6"/>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k1OGMzMGY5NWFlMzZjMGY2ZjkyNGQwNmZhOGM4NGMifQ=="/>
  </w:docVars>
  <w:rsids>
    <w:rsidRoot w:val="00EB7F1F"/>
    <w:rsid w:val="00052862"/>
    <w:rsid w:val="000951FB"/>
    <w:rsid w:val="00115853"/>
    <w:rsid w:val="0016680C"/>
    <w:rsid w:val="0017767B"/>
    <w:rsid w:val="00221735"/>
    <w:rsid w:val="00251AC1"/>
    <w:rsid w:val="002C3FC4"/>
    <w:rsid w:val="002C43D7"/>
    <w:rsid w:val="002C696F"/>
    <w:rsid w:val="002E6345"/>
    <w:rsid w:val="003A079B"/>
    <w:rsid w:val="004465FE"/>
    <w:rsid w:val="0048519C"/>
    <w:rsid w:val="004B2A41"/>
    <w:rsid w:val="005465ED"/>
    <w:rsid w:val="00716918"/>
    <w:rsid w:val="0075583D"/>
    <w:rsid w:val="007F2133"/>
    <w:rsid w:val="00874C0D"/>
    <w:rsid w:val="008F62F6"/>
    <w:rsid w:val="00A17441"/>
    <w:rsid w:val="00A850E4"/>
    <w:rsid w:val="00AE7FDF"/>
    <w:rsid w:val="00BE76BE"/>
    <w:rsid w:val="00BF579C"/>
    <w:rsid w:val="00C17D7D"/>
    <w:rsid w:val="00C35D5A"/>
    <w:rsid w:val="00C74B81"/>
    <w:rsid w:val="00C96E2D"/>
    <w:rsid w:val="00CE63C4"/>
    <w:rsid w:val="00DD36C1"/>
    <w:rsid w:val="00DD4C46"/>
    <w:rsid w:val="00EB77B8"/>
    <w:rsid w:val="00EB7F1F"/>
    <w:rsid w:val="00EF64FE"/>
    <w:rsid w:val="00F03654"/>
    <w:rsid w:val="00FA1C3E"/>
    <w:rsid w:val="00FE1E4E"/>
    <w:rsid w:val="01042517"/>
    <w:rsid w:val="070E720B"/>
    <w:rsid w:val="161F3206"/>
    <w:rsid w:val="1C104C8B"/>
    <w:rsid w:val="266031B1"/>
    <w:rsid w:val="26617499"/>
    <w:rsid w:val="31BF78BF"/>
    <w:rsid w:val="32E351D1"/>
    <w:rsid w:val="336264C0"/>
    <w:rsid w:val="41054C42"/>
    <w:rsid w:val="413D214A"/>
    <w:rsid w:val="45383ED3"/>
    <w:rsid w:val="49A006BF"/>
    <w:rsid w:val="4B3F38B9"/>
    <w:rsid w:val="4EA578BA"/>
    <w:rsid w:val="50F479E5"/>
    <w:rsid w:val="56D86D4F"/>
    <w:rsid w:val="59465241"/>
    <w:rsid w:val="5BD7107F"/>
    <w:rsid w:val="6393565B"/>
    <w:rsid w:val="65452702"/>
    <w:rsid w:val="67CD4483"/>
    <w:rsid w:val="696A60E0"/>
    <w:rsid w:val="78A462D9"/>
    <w:rsid w:val="7BFF046D"/>
    <w:rsid w:val="7C8963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2147</Words>
  <Characters>2169</Characters>
  <Lines>16</Lines>
  <Paragraphs>4</Paragraphs>
  <TotalTime>6</TotalTime>
  <ScaleCrop>false</ScaleCrop>
  <LinksUpToDate>false</LinksUpToDate>
  <CharactersWithSpaces>2205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2018-07-24T15:17:00Z</dcterms:created>
  <dc:creator>Administrator</dc:creator>
  <cp:lastModifiedBy>不良人</cp:lastModifiedBy>
  <cp:lastPrinted>2017-08-14T08:17:00Z</cp:lastPrinted>
  <dcterms:modified xsi:type="dcterms:W3CDTF">2024-08-12T14:47:54Z</dcterms:modified>
  <dc:title>债权人申报说明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35041940E59D42218DEA56A2D0AB6E3B_12</vt:lpwstr>
  </property>
</Properties>
</file>