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CCA548">
      <w:pPr>
        <w:spacing w:before="156" w:beforeLines="50" w:line="380" w:lineRule="exact"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债权申报须知</w:t>
      </w:r>
    </w:p>
    <w:p w14:paraId="7E7A8C4D">
      <w:pPr>
        <w:spacing w:before="156" w:beforeLines="50" w:line="380" w:lineRule="exact"/>
        <w:rPr>
          <w:rFonts w:ascii="宋体" w:hAnsi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eastAsia="zh-CN"/>
        </w:rPr>
        <w:t>南京梁海住房租赁有限公司</w:t>
      </w:r>
      <w:r>
        <w:rPr>
          <w:rFonts w:hint="eastAsia" w:ascii="宋体" w:hAnsi="宋体" w:cs="宋体"/>
          <w:b/>
          <w:sz w:val="24"/>
          <w:szCs w:val="24"/>
        </w:rPr>
        <w:t>各债权人：</w:t>
      </w:r>
    </w:p>
    <w:p w14:paraId="5DD9B75E">
      <w:pPr>
        <w:spacing w:before="156" w:beforeLines="50" w:line="380" w:lineRule="exact"/>
        <w:ind w:firstLine="480" w:firstLineChars="200"/>
        <w:rPr>
          <w:rFonts w:ascii="宋体" w:hAnsi="宋体" w:cs="宋体"/>
          <w:bCs/>
          <w:sz w:val="24"/>
          <w:szCs w:val="24"/>
          <w:u w:val="single"/>
        </w:rPr>
      </w:pP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2024年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6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月2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7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日</w:t>
      </w:r>
      <w:r>
        <w:rPr>
          <w:rFonts w:hint="eastAsia" w:ascii="宋体" w:hAnsi="宋体" w:cs="宋体"/>
          <w:sz w:val="24"/>
          <w:szCs w:val="24"/>
        </w:rPr>
        <w:t>，</w:t>
      </w:r>
      <w:r>
        <w:rPr>
          <w:rFonts w:hint="eastAsia" w:ascii="宋体" w:hAnsi="宋体" w:cs="宋体"/>
          <w:sz w:val="24"/>
          <w:szCs w:val="24"/>
          <w:lang w:eastAsia="zh-CN"/>
        </w:rPr>
        <w:t>江宁经济技术开发区</w:t>
      </w:r>
      <w:r>
        <w:rPr>
          <w:rFonts w:hint="eastAsia" w:ascii="宋体" w:hAnsi="宋体" w:cs="宋体"/>
          <w:sz w:val="24"/>
          <w:szCs w:val="24"/>
        </w:rPr>
        <w:t>人民法院</w:t>
      </w:r>
      <w:r>
        <w:rPr>
          <w:rFonts w:hint="eastAsia" w:ascii="宋体" w:hAnsi="宋体" w:cs="宋体"/>
          <w:bCs/>
          <w:sz w:val="24"/>
          <w:szCs w:val="24"/>
        </w:rPr>
        <w:t>于依法裁定受理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南京梁海住房租赁有限公司</w:t>
      </w:r>
      <w:r>
        <w:rPr>
          <w:rFonts w:hint="eastAsia" w:ascii="宋体" w:hAnsi="宋体" w:cs="宋体"/>
          <w:bCs/>
          <w:sz w:val="24"/>
          <w:szCs w:val="24"/>
        </w:rPr>
        <w:t>破产清算一案,并于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2024年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6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月2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7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日</w:t>
      </w:r>
      <w:r>
        <w:rPr>
          <w:rFonts w:hint="eastAsia" w:ascii="宋体" w:hAnsi="宋体" w:cs="宋体"/>
          <w:bCs/>
          <w:sz w:val="24"/>
          <w:szCs w:val="24"/>
        </w:rPr>
        <w:t>指定</w:t>
      </w:r>
      <w:r>
        <w:rPr>
          <w:rFonts w:hint="eastAsia" w:ascii="宋体" w:hAnsi="宋体" w:cs="宋体"/>
          <w:bCs/>
          <w:sz w:val="24"/>
          <w:szCs w:val="24"/>
          <w:u w:val="single"/>
        </w:rPr>
        <w:t>北京市炜衡（南京）律师事务所</w:t>
      </w:r>
      <w:r>
        <w:rPr>
          <w:rFonts w:hint="eastAsia" w:ascii="宋体" w:hAnsi="宋体" w:cs="宋体"/>
          <w:bCs/>
          <w:sz w:val="24"/>
          <w:szCs w:val="24"/>
        </w:rPr>
        <w:t>为管理人。为了保证破产清算工作的顺利进行,现就有关事项告知如下:</w:t>
      </w:r>
    </w:p>
    <w:p w14:paraId="17D0EA83">
      <w:pPr>
        <w:spacing w:before="156" w:beforeLines="50" w:line="380" w:lineRule="exact"/>
        <w:ind w:firstLine="482" w:firstLineChars="200"/>
        <w:rPr>
          <w:rFonts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一、申报债权的范围</w:t>
      </w:r>
    </w:p>
    <w:p w14:paraId="04B1B7BB">
      <w:pPr>
        <w:spacing w:before="156" w:beforeLines="50" w:line="380" w:lineRule="exact"/>
        <w:ind w:firstLine="480" w:firstLineChars="200"/>
        <w:rPr>
          <w:rFonts w:ascii="宋体" w:hAnsi="宋体" w:cs="宋体"/>
          <w:bCs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1、人民法院受理破产清算申请时即</w:t>
      </w:r>
      <w:r>
        <w:rPr>
          <w:rFonts w:hint="eastAsia" w:ascii="宋体" w:hAnsi="宋体" w:cs="宋体"/>
          <w:bCs/>
          <w:sz w:val="24"/>
          <w:szCs w:val="24"/>
          <w:u w:val="single"/>
        </w:rPr>
        <w:t xml:space="preserve"> </w:t>
      </w:r>
      <w:r>
        <w:rPr>
          <w:rFonts w:hint="eastAsia" w:ascii="宋体" w:hAnsi="宋体" w:cs="宋体"/>
          <w:bCs/>
          <w:sz w:val="24"/>
          <w:szCs w:val="24"/>
          <w:u w:val="single"/>
          <w:lang w:eastAsia="zh-CN"/>
        </w:rPr>
        <w:t>2024年</w:t>
      </w:r>
      <w:r>
        <w:rPr>
          <w:rFonts w:hint="eastAsia" w:ascii="宋体" w:hAnsi="宋体" w:cs="宋体"/>
          <w:bCs/>
          <w:sz w:val="24"/>
          <w:szCs w:val="24"/>
          <w:u w:val="single"/>
          <w:lang w:val="en-US" w:eastAsia="zh-CN"/>
        </w:rPr>
        <w:t>6</w:t>
      </w:r>
      <w:r>
        <w:rPr>
          <w:rFonts w:hint="eastAsia" w:ascii="宋体" w:hAnsi="宋体" w:cs="宋体"/>
          <w:bCs/>
          <w:sz w:val="24"/>
          <w:szCs w:val="24"/>
          <w:u w:val="single"/>
          <w:lang w:eastAsia="zh-CN"/>
        </w:rPr>
        <w:t>月2</w:t>
      </w:r>
      <w:r>
        <w:rPr>
          <w:rFonts w:hint="eastAsia" w:ascii="宋体" w:hAnsi="宋体" w:cs="宋体"/>
          <w:bCs/>
          <w:sz w:val="24"/>
          <w:szCs w:val="24"/>
          <w:u w:val="single"/>
          <w:lang w:val="en-US" w:eastAsia="zh-CN"/>
        </w:rPr>
        <w:t>7</w:t>
      </w:r>
      <w:r>
        <w:rPr>
          <w:rFonts w:hint="eastAsia" w:ascii="宋体" w:hAnsi="宋体" w:cs="宋体"/>
          <w:bCs/>
          <w:sz w:val="24"/>
          <w:szCs w:val="24"/>
          <w:u w:val="single"/>
          <w:lang w:eastAsia="zh-CN"/>
        </w:rPr>
        <w:t>日</w:t>
      </w:r>
      <w:r>
        <w:rPr>
          <w:rFonts w:hint="eastAsia" w:ascii="宋体" w:hAnsi="宋体" w:cs="宋体"/>
          <w:bCs/>
          <w:sz w:val="24"/>
          <w:szCs w:val="24"/>
        </w:rPr>
        <w:t>对债务人享有债权的债权人,均有权向管理人申报债权。</w:t>
      </w:r>
    </w:p>
    <w:p w14:paraId="05494C8B">
      <w:pPr>
        <w:spacing w:before="156" w:beforeLines="50" w:line="380" w:lineRule="exact"/>
        <w:ind w:firstLine="480" w:firstLineChars="200"/>
        <w:rPr>
          <w:rFonts w:ascii="宋体" w:hAnsi="宋体" w:cs="宋体"/>
          <w:bCs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2、连带债权人可以由其中一人代表全体连带债权人申报债权,也可以共同申报债权。</w:t>
      </w:r>
    </w:p>
    <w:p w14:paraId="52419BCF">
      <w:pPr>
        <w:spacing w:before="156" w:beforeLines="50" w:line="380" w:lineRule="exact"/>
        <w:ind w:firstLine="480" w:firstLineChars="200"/>
        <w:rPr>
          <w:rFonts w:ascii="宋体" w:hAnsi="宋体" w:cs="宋体"/>
          <w:bCs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3、债务人的保证人或者其他连带债务人已经代替债务人清偿债务的,以其对债务人的求偿权申报债权。</w:t>
      </w:r>
    </w:p>
    <w:p w14:paraId="5933FF22">
      <w:pPr>
        <w:spacing w:before="156" w:beforeLines="50" w:line="380" w:lineRule="exact"/>
        <w:ind w:firstLine="480" w:firstLineChars="200"/>
        <w:rPr>
          <w:rFonts w:ascii="宋体" w:hAnsi="宋体" w:cs="宋体"/>
          <w:bCs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债务人的保证人或者其他连带债务人尚未代替债务人清偿债务的,以其对债务人的将来求偿权申报债权。但是,债权人已经向管理人申报全部债权的除外。</w:t>
      </w:r>
    </w:p>
    <w:p w14:paraId="08D7832E">
      <w:pPr>
        <w:spacing w:before="156" w:beforeLines="50" w:line="380" w:lineRule="exact"/>
        <w:ind w:firstLine="480" w:firstLineChars="200"/>
        <w:rPr>
          <w:rFonts w:ascii="宋体" w:hAnsi="宋体" w:cs="宋体"/>
          <w:bCs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4、连带债务人数人被裁定适用《破产法》规定的程序的,其债权人有权就全部债权分别在各破产案件中申报债权。</w:t>
      </w:r>
    </w:p>
    <w:p w14:paraId="3A2EDAB4">
      <w:pPr>
        <w:spacing w:before="156" w:beforeLines="50" w:line="380" w:lineRule="exact"/>
        <w:ind w:firstLine="480" w:firstLineChars="200"/>
        <w:rPr>
          <w:rFonts w:ascii="宋体" w:hAnsi="宋体" w:cs="宋体"/>
          <w:bCs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5、管理人或者债务人依照《破产法》规定解除合同的,对方当事人以因合同解除所产生的损害赔偿请求权申报债权。</w:t>
      </w:r>
    </w:p>
    <w:p w14:paraId="1F365CBE">
      <w:pPr>
        <w:spacing w:before="156" w:beforeLines="50" w:line="380" w:lineRule="exact"/>
        <w:ind w:firstLine="480" w:firstLineChars="200"/>
        <w:rPr>
          <w:rFonts w:ascii="宋体" w:hAnsi="宋体" w:cs="宋体"/>
          <w:bCs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6、债务人是委托合同的委托人,被裁定适用《破产法》规定的程序,受托人不知该事实，继续处理委托事务的，受托人以由此产生的请求权申报债权。</w:t>
      </w:r>
    </w:p>
    <w:p w14:paraId="2F727855">
      <w:pPr>
        <w:spacing w:before="156" w:beforeLines="50" w:line="380" w:lineRule="exact"/>
        <w:ind w:firstLine="480" w:firstLineChars="200"/>
        <w:rPr>
          <w:rFonts w:ascii="宋体" w:hAnsi="宋体" w:cs="宋体"/>
          <w:bCs/>
          <w:sz w:val="24"/>
          <w:szCs w:val="24"/>
        </w:rPr>
      </w:pPr>
      <w:r>
        <w:rPr>
          <w:rFonts w:ascii="宋体" w:hAnsi="宋体" w:cs="宋体"/>
          <w:bCs/>
          <w:sz w:val="24"/>
          <w:szCs w:val="24"/>
        </w:rPr>
        <w:t>7</w:t>
      </w:r>
      <w:r>
        <w:rPr>
          <w:rFonts w:hint="eastAsia" w:ascii="宋体" w:hAnsi="宋体" w:cs="宋体"/>
          <w:bCs/>
          <w:sz w:val="24"/>
          <w:szCs w:val="24"/>
        </w:rPr>
        <w:t>、债务人是票据的出票人，被裁定适用《破产法》规定的程序，该票据的付款人继续付款或者承兑的，付款人以由此产生的请求权申报债权。</w:t>
      </w:r>
    </w:p>
    <w:p w14:paraId="57DC3E03">
      <w:pPr>
        <w:spacing w:before="156" w:beforeLines="50" w:line="380" w:lineRule="exact"/>
        <w:ind w:firstLine="480" w:firstLineChars="200"/>
        <w:rPr>
          <w:rFonts w:ascii="宋体" w:hAnsi="宋体" w:cs="宋体"/>
          <w:bCs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8、附条件、附期限的债权和诉讼、仲裁未决的债权，债权人可以申报。</w:t>
      </w:r>
    </w:p>
    <w:p w14:paraId="212E8F5A">
      <w:pPr>
        <w:spacing w:before="156" w:beforeLines="50" w:line="380" w:lineRule="exact"/>
        <w:ind w:firstLine="480" w:firstLineChars="200"/>
        <w:rPr>
          <w:rFonts w:ascii="宋体" w:hAnsi="宋体" w:cs="宋体"/>
          <w:bCs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9、未到期债权，在破产清算申请受理时视为已到期；附利息的债权自破产清算申请受理时停止计息。</w:t>
      </w:r>
    </w:p>
    <w:p w14:paraId="4F76073C">
      <w:pPr>
        <w:spacing w:before="156" w:beforeLines="50" w:line="380" w:lineRule="exact"/>
        <w:ind w:firstLine="480" w:firstLineChars="200"/>
        <w:rPr>
          <w:rFonts w:ascii="宋体" w:hAnsi="宋体" w:cs="宋体"/>
          <w:bCs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10、法律规定其他可以申报的债权,债权人应当予以申报。</w:t>
      </w:r>
    </w:p>
    <w:p w14:paraId="147417F2">
      <w:pPr>
        <w:spacing w:before="156" w:beforeLines="50" w:line="380" w:lineRule="exact"/>
        <w:ind w:firstLine="482" w:firstLineChars="200"/>
        <w:rPr>
          <w:rFonts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二、申报债权应提交的材料及顺序的要求</w:t>
      </w:r>
    </w:p>
    <w:p w14:paraId="1A9F810C">
      <w:pPr>
        <w:spacing w:before="156" w:beforeLines="50" w:line="380" w:lineRule="exact"/>
        <w:ind w:firstLine="480" w:firstLineChars="200"/>
        <w:rPr>
          <w:rFonts w:ascii="宋体" w:hAnsi="宋体" w:cs="宋体"/>
          <w:bCs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(一)申报债权时应按要求提供以下材料：</w:t>
      </w:r>
    </w:p>
    <w:p w14:paraId="7B31C459">
      <w:pPr>
        <w:spacing w:before="156" w:beforeLines="50" w:line="380" w:lineRule="exact"/>
        <w:ind w:firstLine="480" w:firstLineChars="200"/>
        <w:rPr>
          <w:rFonts w:ascii="宋体" w:hAnsi="宋体" w:cs="宋体"/>
          <w:bCs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1、债权人已年检的营业执照复印件(加盖公章)、法定代表人或负责人身份证明(原件)、法定代表人或负责人身份证复印件(签字确认)；债权人为自然人的,提供居民身份证复印件(复印件签字确认)；委托代理人申报的，须提交授权委托书(原件)及代理人身份证复印件(复印件签字确认)；委托代理人是律师的，还应提交律所公函。</w:t>
      </w:r>
    </w:p>
    <w:p w14:paraId="561D627A">
      <w:pPr>
        <w:spacing w:before="156" w:beforeLines="50" w:line="380" w:lineRule="exact"/>
        <w:ind w:firstLine="480" w:firstLineChars="200"/>
        <w:rPr>
          <w:rFonts w:ascii="宋体" w:hAnsi="宋体" w:cs="宋体"/>
          <w:bCs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2、债权申报表、申报材料清单。</w:t>
      </w:r>
    </w:p>
    <w:p w14:paraId="548CFCA5">
      <w:pPr>
        <w:spacing w:before="156" w:beforeLines="50" w:line="380" w:lineRule="exact"/>
        <w:ind w:firstLine="480" w:firstLineChars="200"/>
        <w:rPr>
          <w:rFonts w:ascii="宋体" w:hAnsi="宋体" w:cs="宋体"/>
          <w:bCs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3、申报债权的证据材料的复印件(如:合同、协议、往来帐及相关凭证、收款或付款凭证、对账单、结算书、判决书、裁决书、调解书、裁定书、利息或违约金计算说明等书面材料)并加盖公章或签字确认。</w:t>
      </w:r>
    </w:p>
    <w:p w14:paraId="4F202301">
      <w:pPr>
        <w:spacing w:before="156" w:beforeLines="50" w:line="380" w:lineRule="exact"/>
        <w:ind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（</w:t>
      </w:r>
      <w:r>
        <w:rPr>
          <w:rFonts w:ascii="宋体" w:hAnsi="宋体" w:cs="宋体"/>
          <w:sz w:val="24"/>
          <w:szCs w:val="24"/>
        </w:rPr>
        <w:t>1</w:t>
      </w:r>
      <w:r>
        <w:rPr>
          <w:rFonts w:hint="eastAsia" w:ascii="宋体" w:hAnsi="宋体" w:cs="宋体"/>
          <w:sz w:val="24"/>
          <w:szCs w:val="24"/>
        </w:rPr>
        <w:t>）债权如有担保的，还须提交抵押合同、质押合同、保证合同等相关合同及相关的登记证件（包括但不限于他项权利证）等担保原始材料复印件；</w:t>
      </w:r>
    </w:p>
    <w:p w14:paraId="1BEE0B59">
      <w:pPr>
        <w:spacing w:before="156" w:beforeLines="50" w:line="380" w:lineRule="exact"/>
        <w:ind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（</w:t>
      </w:r>
      <w:r>
        <w:rPr>
          <w:rFonts w:ascii="宋体" w:hAnsi="宋体" w:cs="宋体"/>
          <w:sz w:val="24"/>
          <w:szCs w:val="24"/>
        </w:rPr>
        <w:t>2</w:t>
      </w:r>
      <w:r>
        <w:rPr>
          <w:rFonts w:hint="eastAsia" w:ascii="宋体" w:hAnsi="宋体" w:cs="宋体"/>
          <w:sz w:val="24"/>
          <w:szCs w:val="24"/>
        </w:rPr>
        <w:t>）债权的发生及变更（包括但不限于债权转移、债务承担、合同转让、债权债务重组、抵销、清偿）等原始材料复印件；</w:t>
      </w:r>
    </w:p>
    <w:p w14:paraId="507612C3">
      <w:pPr>
        <w:spacing w:before="156" w:beforeLines="50" w:line="380" w:lineRule="exact"/>
        <w:ind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（</w:t>
      </w:r>
      <w:r>
        <w:rPr>
          <w:rFonts w:ascii="宋体" w:hAnsi="宋体" w:cs="宋体"/>
          <w:sz w:val="24"/>
          <w:szCs w:val="24"/>
        </w:rPr>
        <w:t>3</w:t>
      </w:r>
      <w:r>
        <w:rPr>
          <w:rFonts w:hint="eastAsia" w:ascii="宋体" w:hAnsi="宋体" w:cs="宋体"/>
          <w:sz w:val="24"/>
          <w:szCs w:val="24"/>
        </w:rPr>
        <w:t>）债权如涉及诉讼、仲裁、调解、保全、执行，则须提交诉讼、仲裁、调解、保全、执行有关的文件（包括但不限于已经判决正在执行或正在进行中的案件的起诉书、仲裁申请书、诉讼保全申请书、保全裁定书、生效判决书、调解书、裁决书、执行申请书、法院执行裁定书、法院执行案件通知书等）复印件；</w:t>
      </w:r>
    </w:p>
    <w:p w14:paraId="3B1001AC">
      <w:pPr>
        <w:spacing w:before="156" w:beforeLines="50" w:line="380" w:lineRule="exact"/>
        <w:ind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（</w:t>
      </w:r>
      <w:r>
        <w:rPr>
          <w:rFonts w:ascii="宋体" w:hAnsi="宋体" w:cs="宋体"/>
          <w:sz w:val="24"/>
          <w:szCs w:val="24"/>
        </w:rPr>
        <w:t>4</w:t>
      </w:r>
      <w:r>
        <w:rPr>
          <w:rFonts w:hint="eastAsia" w:ascii="宋体" w:hAnsi="宋体" w:cs="宋体"/>
          <w:sz w:val="24"/>
          <w:szCs w:val="24"/>
        </w:rPr>
        <w:t>）债权人主张债权的相关证明资料，如催款、催收通知等复印件；</w:t>
      </w:r>
    </w:p>
    <w:p w14:paraId="599DC825">
      <w:pPr>
        <w:spacing w:before="156" w:beforeLines="50" w:line="380" w:lineRule="exact"/>
        <w:ind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（</w:t>
      </w:r>
      <w:r>
        <w:rPr>
          <w:rFonts w:ascii="宋体" w:hAnsi="宋体" w:cs="宋体"/>
          <w:sz w:val="24"/>
          <w:szCs w:val="24"/>
        </w:rPr>
        <w:t>5</w:t>
      </w:r>
      <w:r>
        <w:rPr>
          <w:rFonts w:hint="eastAsia" w:ascii="宋体" w:hAnsi="宋体" w:cs="宋体"/>
          <w:sz w:val="24"/>
          <w:szCs w:val="24"/>
        </w:rPr>
        <w:t>）能够证明债权发生、变更、存续、诉讼时效中止、中断、延长及其金额等情况的其他材料复印件。</w:t>
      </w:r>
    </w:p>
    <w:p w14:paraId="173CFCB8">
      <w:pPr>
        <w:spacing w:before="156" w:beforeLines="50" w:line="380" w:lineRule="exact"/>
        <w:ind w:firstLine="480" w:firstLineChars="200"/>
        <w:rPr>
          <w:rFonts w:ascii="宋体" w:hAnsi="宋体" w:cs="宋体"/>
          <w:bCs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4、债权人申报债权时,应在《债权人基本信息确认书》中明确申报人的通讯地址、邮编、电话、联系人等。</w:t>
      </w:r>
    </w:p>
    <w:p w14:paraId="034DBB70">
      <w:pPr>
        <w:spacing w:before="156" w:beforeLines="50" w:line="380" w:lineRule="exact"/>
        <w:ind w:firstLine="480" w:firstLineChars="200"/>
        <w:rPr>
          <w:rFonts w:ascii="宋体" w:hAnsi="宋体" w:cs="宋体"/>
          <w:bCs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5、债权人申报债权时应提交相关文件材料以证明债权存在以及金额,简要陈述该债权的形成经过；若涉及合同关系，则该合同是否已经履行完毕要填写清楚。管理人如认为其提交文件材料不完整, 可要求债权人补充提交文件材料。申报孳息或违约金涉及多笔债权的,应分别列明每笔债权孳息或违约金计算说明。</w:t>
      </w:r>
    </w:p>
    <w:p w14:paraId="09F07C38">
      <w:pPr>
        <w:spacing w:before="156" w:beforeLines="50" w:line="380" w:lineRule="exact"/>
        <w:ind w:firstLine="482" w:firstLineChars="200"/>
        <w:rPr>
          <w:rFonts w:ascii="宋体" w:hAnsi="宋体" w:cs="宋体"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6、债权人提交的申报材料，须提交相关原件，并提交核对无误的复印件一份，</w:t>
      </w:r>
      <w:r>
        <w:rPr>
          <w:rFonts w:hint="eastAsia" w:ascii="宋体" w:hAnsi="宋体" w:cs="宋体"/>
          <w:bCs/>
          <w:sz w:val="24"/>
          <w:szCs w:val="24"/>
        </w:rPr>
        <w:t>债权人有义务保证其提交的文件资料与原件相一致，并在其提交的复印件上由债权人或其受托人签名或盖章。(进入司法程序或仲裁程序的，同时提交司法机关或仲裁机构出具的相关法律文书）</w:t>
      </w:r>
    </w:p>
    <w:p w14:paraId="68076BE0">
      <w:pPr>
        <w:spacing w:before="156" w:beforeLines="50" w:line="380" w:lineRule="exact"/>
        <w:ind w:firstLine="480" w:firstLineChars="200"/>
        <w:rPr>
          <w:rFonts w:ascii="宋体" w:hAnsi="宋体" w:cs="宋体"/>
          <w:bCs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7、审查债权过程中,管理人如要求审查证据原件的,申报人应根据管理人的要求提交证据原件。</w:t>
      </w:r>
    </w:p>
    <w:p w14:paraId="05D574B9">
      <w:pPr>
        <w:spacing w:before="156" w:beforeLines="50" w:line="380" w:lineRule="exact"/>
        <w:ind w:firstLine="480" w:firstLineChars="200"/>
        <w:rPr>
          <w:rFonts w:ascii="宋体" w:hAnsi="宋体" w:cs="宋体"/>
          <w:bCs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8、提交材料的纸张规格为A4纸,书写均应用蓝墨或炭素墨水笔,以上材料均需一式二份。</w:t>
      </w:r>
    </w:p>
    <w:p w14:paraId="6B1E6CC3">
      <w:pPr>
        <w:spacing w:before="156" w:beforeLines="50" w:line="380" w:lineRule="exact"/>
        <w:ind w:firstLine="480" w:firstLineChars="200"/>
        <w:rPr>
          <w:rFonts w:ascii="宋体" w:hAnsi="宋体" w:cs="宋体"/>
          <w:bCs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(二)材料装订顺序要求：请按《债权申报材料清单》所载材料的顺序装订成册,装订时加封面。</w:t>
      </w:r>
    </w:p>
    <w:p w14:paraId="1F85A272">
      <w:pPr>
        <w:spacing w:before="156" w:beforeLines="50" w:line="380" w:lineRule="exact"/>
        <w:ind w:firstLine="482" w:firstLineChars="200"/>
        <w:rPr>
          <w:rFonts w:hint="eastAsia" w:ascii="宋体" w:hAnsi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</w:rPr>
        <w:t>*</w:t>
      </w:r>
      <w:r>
        <w:rPr>
          <w:rFonts w:ascii="宋体" w:hAnsi="宋体" w:cs="宋体"/>
          <w:b/>
          <w:sz w:val="24"/>
          <w:szCs w:val="24"/>
        </w:rPr>
        <w:t>**</w:t>
      </w:r>
      <w:r>
        <w:rPr>
          <w:rFonts w:hint="eastAsia" w:ascii="宋体" w:hAnsi="宋体" w:cs="宋体"/>
          <w:b/>
          <w:sz w:val="24"/>
          <w:szCs w:val="24"/>
        </w:rPr>
        <w:t>以上材料均需扫描一份电子档，电子档名称为姓名</w:t>
      </w:r>
      <w:r>
        <w:rPr>
          <w:rFonts w:ascii="宋体" w:hAnsi="宋体" w:cs="宋体"/>
          <w:b/>
          <w:sz w:val="24"/>
          <w:szCs w:val="24"/>
        </w:rPr>
        <w:t>+</w:t>
      </w:r>
      <w:r>
        <w:rPr>
          <w:rFonts w:hint="eastAsia" w:ascii="宋体" w:hAnsi="宋体" w:cs="宋体"/>
          <w:b/>
          <w:sz w:val="24"/>
          <w:szCs w:val="24"/>
        </w:rPr>
        <w:t>申报债权，</w:t>
      </w:r>
      <w:r>
        <w:fldChar w:fldCharType="begin"/>
      </w:r>
      <w:r>
        <w:instrText xml:space="preserve"> HYPERLINK "mailto:2021年8月20日前发送至2512278890@qq.com" </w:instrText>
      </w:r>
      <w:r>
        <w:fldChar w:fldCharType="separate"/>
      </w:r>
      <w:r>
        <w:rPr>
          <w:rFonts w:hint="eastAsia" w:ascii="宋体" w:hAnsi="宋体" w:cs="宋体"/>
          <w:sz w:val="24"/>
          <w:szCs w:val="24"/>
          <w:highlight w:val="none"/>
          <w:u w:val="single"/>
          <w:lang w:eastAsia="zh-CN"/>
        </w:rPr>
        <w:t>2024年</w:t>
      </w:r>
      <w:r>
        <w:rPr>
          <w:rFonts w:hint="eastAsia" w:ascii="宋体" w:hAnsi="宋体" w:cs="宋体"/>
          <w:sz w:val="24"/>
          <w:szCs w:val="24"/>
          <w:highlight w:val="none"/>
          <w:u w:val="single"/>
          <w:lang w:val="en-US" w:eastAsia="zh-CN"/>
        </w:rPr>
        <w:t>9</w:t>
      </w:r>
      <w:r>
        <w:rPr>
          <w:rFonts w:hint="eastAsia" w:ascii="宋体" w:hAnsi="宋体" w:cs="宋体"/>
          <w:sz w:val="24"/>
          <w:szCs w:val="24"/>
          <w:highlight w:val="none"/>
          <w:u w:val="single"/>
          <w:lang w:eastAsia="zh-CN"/>
        </w:rPr>
        <w:t>月20日</w:t>
      </w:r>
      <w:r>
        <w:rPr>
          <w:rStyle w:val="6"/>
          <w:rFonts w:ascii="宋体" w:hAnsi="宋体" w:cs="宋体"/>
          <w:b/>
          <w:sz w:val="24"/>
          <w:szCs w:val="24"/>
        </w:rPr>
        <w:t>前发送至</w:t>
      </w:r>
      <w:r>
        <w:rPr>
          <w:rStyle w:val="6"/>
          <w:rFonts w:hint="eastAsia" w:ascii="宋体" w:hAnsi="宋体" w:cs="宋体"/>
          <w:b/>
          <w:color w:val="0000FF"/>
          <w:sz w:val="24"/>
          <w:szCs w:val="24"/>
          <w:lang w:val="en-US" w:eastAsia="zh-CN"/>
        </w:rPr>
        <w:t>1822465395</w:t>
      </w:r>
      <w:r>
        <w:rPr>
          <w:rStyle w:val="6"/>
          <w:rFonts w:ascii="宋体" w:hAnsi="宋体" w:cs="宋体"/>
          <w:b/>
          <w:sz w:val="24"/>
          <w:szCs w:val="24"/>
        </w:rPr>
        <w:t>@qq.com</w:t>
      </w:r>
      <w:r>
        <w:rPr>
          <w:rStyle w:val="6"/>
          <w:rFonts w:ascii="宋体" w:hAnsi="宋体" w:cs="宋体"/>
          <w:b/>
          <w:sz w:val="24"/>
          <w:szCs w:val="24"/>
        </w:rPr>
        <w:fldChar w:fldCharType="end"/>
      </w:r>
      <w:r>
        <w:rPr>
          <w:rFonts w:hint="eastAsia" w:ascii="宋体" w:hAnsi="宋体" w:cs="宋体"/>
          <w:b/>
          <w:sz w:val="24"/>
          <w:szCs w:val="24"/>
        </w:rPr>
        <w:t>。</w:t>
      </w:r>
    </w:p>
    <w:p w14:paraId="4C90B296">
      <w:pPr>
        <w:spacing w:before="156" w:beforeLines="50" w:line="380" w:lineRule="exact"/>
        <w:ind w:firstLine="482" w:firstLineChars="200"/>
        <w:rPr>
          <w:rFonts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三、申报需注意的问题及未申报或逾期申报债权的法律后果</w:t>
      </w:r>
    </w:p>
    <w:p w14:paraId="38FAC00A">
      <w:pPr>
        <w:spacing w:before="156" w:beforeLines="50" w:line="380" w:lineRule="exact"/>
        <w:ind w:firstLine="480" w:firstLineChars="200"/>
        <w:rPr>
          <w:rFonts w:ascii="宋体" w:hAnsi="宋体" w:cs="宋体"/>
          <w:bCs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1、债权人应当在人民法院确定的债权申报期限内向管理人申报债权。在人民法院确定的债权申报期限内，债权人未申报债权的，可以在破产财产最后分配前补充申报；但是，此前已进行的分配，不再对其补充分配。为审查和确认补充申报债权的费用，由补充申报人承担。</w:t>
      </w:r>
    </w:p>
    <w:p w14:paraId="39F4D723">
      <w:pPr>
        <w:spacing w:before="156" w:beforeLines="50" w:line="380" w:lineRule="exact"/>
        <w:ind w:firstLine="480" w:firstLineChars="200"/>
        <w:rPr>
          <w:rFonts w:ascii="宋体" w:hAnsi="宋体" w:cs="宋体"/>
          <w:bCs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2、债权人未依照《破产法》规定申报债权的,不得依照该法规定的程序行使权利。</w:t>
      </w:r>
    </w:p>
    <w:p w14:paraId="7F6ADE7E">
      <w:pPr>
        <w:spacing w:before="156" w:beforeLines="50" w:line="380" w:lineRule="exact"/>
        <w:ind w:firstLine="480" w:firstLineChars="200"/>
        <w:rPr>
          <w:rFonts w:ascii="宋体" w:hAnsi="宋体" w:cs="宋体"/>
          <w:bCs/>
          <w:sz w:val="24"/>
          <w:szCs w:val="24"/>
        </w:rPr>
      </w:pPr>
      <w:r>
        <w:rPr>
          <w:rFonts w:ascii="宋体" w:hAnsi="宋体" w:cs="宋体"/>
          <w:bCs/>
          <w:sz w:val="24"/>
          <w:szCs w:val="24"/>
        </w:rPr>
        <w:t>3</w:t>
      </w:r>
      <w:r>
        <w:rPr>
          <w:rFonts w:hint="eastAsia" w:ascii="宋体" w:hAnsi="宋体" w:cs="宋体"/>
          <w:bCs/>
          <w:sz w:val="24"/>
          <w:szCs w:val="24"/>
        </w:rPr>
        <w:t>、申报债权必须是在诉讼时效内的债权，凡超过诉讼时效或执行时效的，又无时效中断或中止的证据，不予确认。</w:t>
      </w:r>
    </w:p>
    <w:p w14:paraId="73A726A9">
      <w:pPr>
        <w:spacing w:before="156" w:beforeLines="50" w:line="380" w:lineRule="exact"/>
        <w:ind w:firstLine="480" w:firstLineChars="200"/>
        <w:rPr>
          <w:rFonts w:ascii="宋体" w:hAnsi="宋体" w:cs="宋体"/>
          <w:bCs/>
          <w:sz w:val="24"/>
          <w:szCs w:val="24"/>
          <w:u w:val="single"/>
        </w:rPr>
      </w:pPr>
      <w:r>
        <w:rPr>
          <w:rFonts w:hint="eastAsia" w:ascii="宋体" w:hAnsi="宋体" w:cs="宋体"/>
          <w:bCs/>
          <w:sz w:val="24"/>
          <w:szCs w:val="24"/>
          <w:u w:val="single"/>
        </w:rPr>
        <w:t>4、申报债权的金额必须确定,外币必须转换成人民币计值,</w:t>
      </w:r>
      <w:r>
        <w:rPr>
          <w:rFonts w:hint="eastAsia" w:ascii="宋体" w:hAnsi="宋体" w:cs="宋体"/>
          <w:b/>
          <w:bCs/>
          <w:sz w:val="24"/>
          <w:szCs w:val="24"/>
          <w:u w:val="single"/>
        </w:rPr>
        <w:t xml:space="preserve">汇率以破产受理日即 </w:t>
      </w:r>
      <w:r>
        <w:rPr>
          <w:rFonts w:hint="eastAsia" w:ascii="宋体" w:hAnsi="宋体" w:cs="宋体"/>
          <w:b/>
          <w:bCs/>
          <w:sz w:val="24"/>
          <w:szCs w:val="24"/>
          <w:u w:val="single"/>
          <w:lang w:eastAsia="zh-CN"/>
        </w:rPr>
        <w:t>2024年</w:t>
      </w:r>
      <w:r>
        <w:rPr>
          <w:rFonts w:hint="eastAsia" w:ascii="宋体" w:hAnsi="宋体" w:cs="宋体"/>
          <w:b/>
          <w:bCs/>
          <w:sz w:val="24"/>
          <w:szCs w:val="24"/>
          <w:u w:val="single"/>
          <w:lang w:val="en-US" w:eastAsia="zh-CN"/>
        </w:rPr>
        <w:t>6</w:t>
      </w:r>
      <w:r>
        <w:rPr>
          <w:rFonts w:hint="eastAsia" w:ascii="宋体" w:hAnsi="宋体" w:cs="宋体"/>
          <w:b/>
          <w:bCs/>
          <w:sz w:val="24"/>
          <w:szCs w:val="24"/>
          <w:u w:val="single"/>
          <w:lang w:eastAsia="zh-CN"/>
        </w:rPr>
        <w:t>月2</w:t>
      </w:r>
      <w:r>
        <w:rPr>
          <w:rFonts w:hint="eastAsia" w:ascii="宋体" w:hAnsi="宋体" w:cs="宋体"/>
          <w:b/>
          <w:bCs/>
          <w:sz w:val="24"/>
          <w:szCs w:val="24"/>
          <w:u w:val="single"/>
          <w:lang w:val="en-US" w:eastAsia="zh-CN"/>
        </w:rPr>
        <w:t>7</w:t>
      </w:r>
      <w:r>
        <w:rPr>
          <w:rFonts w:hint="eastAsia" w:ascii="宋体" w:hAnsi="宋体" w:cs="宋体"/>
          <w:b/>
          <w:bCs/>
          <w:sz w:val="24"/>
          <w:szCs w:val="24"/>
          <w:u w:val="single"/>
          <w:lang w:eastAsia="zh-CN"/>
        </w:rPr>
        <w:t>日</w:t>
      </w:r>
      <w:r>
        <w:rPr>
          <w:rFonts w:hint="eastAsia" w:ascii="宋体" w:hAnsi="宋体" w:cs="宋体"/>
          <w:b/>
          <w:bCs/>
          <w:sz w:val="24"/>
          <w:szCs w:val="24"/>
          <w:u w:val="single"/>
        </w:rPr>
        <w:t>公布的市场交易中间价为准</w:t>
      </w:r>
      <w:r>
        <w:rPr>
          <w:rFonts w:hint="eastAsia" w:ascii="宋体" w:hAnsi="宋体" w:cs="宋体"/>
          <w:bCs/>
          <w:sz w:val="24"/>
          <w:szCs w:val="24"/>
          <w:u w:val="single"/>
        </w:rPr>
        <w:t>(并请提交银行出具的汇率证明)。</w:t>
      </w:r>
    </w:p>
    <w:p w14:paraId="6EAAFE03">
      <w:pPr>
        <w:spacing w:before="156" w:beforeLines="50" w:line="380" w:lineRule="exact"/>
        <w:ind w:firstLine="480" w:firstLineChars="200"/>
        <w:rPr>
          <w:rFonts w:ascii="宋体" w:hAnsi="宋体" w:cs="宋体"/>
          <w:bCs/>
          <w:sz w:val="24"/>
          <w:szCs w:val="24"/>
          <w:u w:val="single"/>
        </w:rPr>
      </w:pPr>
      <w:r>
        <w:rPr>
          <w:rFonts w:hint="eastAsia" w:ascii="宋体" w:hAnsi="宋体" w:cs="宋体"/>
          <w:bCs/>
          <w:sz w:val="24"/>
          <w:szCs w:val="24"/>
          <w:u w:val="single"/>
        </w:rPr>
        <w:t>5、债权申报时包括利息、罚息、违约金、滞纳金的,</w:t>
      </w:r>
      <w:r>
        <w:rPr>
          <w:rFonts w:hint="eastAsia" w:ascii="宋体" w:hAnsi="宋体" w:cs="宋体"/>
          <w:b/>
          <w:bCs/>
          <w:sz w:val="24"/>
          <w:szCs w:val="24"/>
          <w:u w:val="single"/>
        </w:rPr>
        <w:t xml:space="preserve">其计算到破产受理日即 </w:t>
      </w:r>
      <w:r>
        <w:rPr>
          <w:rFonts w:hint="eastAsia" w:ascii="宋体" w:hAnsi="宋体" w:cs="宋体"/>
          <w:b/>
          <w:bCs/>
          <w:sz w:val="24"/>
          <w:szCs w:val="24"/>
          <w:u w:val="single"/>
          <w:lang w:eastAsia="zh-CN"/>
        </w:rPr>
        <w:t>2024年</w:t>
      </w:r>
      <w:r>
        <w:rPr>
          <w:rFonts w:hint="eastAsia" w:ascii="宋体" w:hAnsi="宋体" w:cs="宋体"/>
          <w:b/>
          <w:bCs/>
          <w:sz w:val="24"/>
          <w:szCs w:val="24"/>
          <w:u w:val="single"/>
          <w:lang w:val="en-US" w:eastAsia="zh-CN"/>
        </w:rPr>
        <w:t>6</w:t>
      </w:r>
      <w:r>
        <w:rPr>
          <w:rFonts w:hint="eastAsia" w:ascii="宋体" w:hAnsi="宋体" w:cs="宋体"/>
          <w:b/>
          <w:bCs/>
          <w:sz w:val="24"/>
          <w:szCs w:val="24"/>
          <w:u w:val="single"/>
          <w:lang w:eastAsia="zh-CN"/>
        </w:rPr>
        <w:t>月2</w:t>
      </w:r>
      <w:r>
        <w:rPr>
          <w:rFonts w:hint="eastAsia" w:ascii="宋体" w:hAnsi="宋体" w:cs="宋体"/>
          <w:b/>
          <w:bCs/>
          <w:sz w:val="24"/>
          <w:szCs w:val="24"/>
          <w:u w:val="single"/>
          <w:lang w:val="en-US" w:eastAsia="zh-CN"/>
        </w:rPr>
        <w:t>7</w:t>
      </w:r>
      <w:r>
        <w:rPr>
          <w:rFonts w:hint="eastAsia" w:ascii="宋体" w:hAnsi="宋体" w:cs="宋体"/>
          <w:b/>
          <w:bCs/>
          <w:sz w:val="24"/>
          <w:szCs w:val="24"/>
          <w:u w:val="single"/>
          <w:lang w:eastAsia="zh-CN"/>
        </w:rPr>
        <w:t>日</w:t>
      </w:r>
      <w:r>
        <w:rPr>
          <w:rFonts w:hint="eastAsia" w:ascii="宋体" w:hAnsi="宋体" w:cs="宋体"/>
          <w:b/>
          <w:bCs/>
          <w:sz w:val="24"/>
          <w:szCs w:val="24"/>
          <w:u w:val="single"/>
        </w:rPr>
        <w:t>为止</w:t>
      </w:r>
      <w:r>
        <w:rPr>
          <w:rFonts w:hint="eastAsia" w:ascii="宋体" w:hAnsi="宋体" w:cs="宋体"/>
          <w:bCs/>
          <w:sz w:val="24"/>
          <w:szCs w:val="24"/>
          <w:u w:val="single"/>
        </w:rPr>
        <w:t>。申报债权时未申报应付利息和违约金的,推定其放弃申报。</w:t>
      </w:r>
    </w:p>
    <w:p w14:paraId="71B8BBA9">
      <w:pPr>
        <w:spacing w:before="156" w:beforeLines="50" w:line="380" w:lineRule="exact"/>
        <w:ind w:firstLine="482" w:firstLineChars="200"/>
        <w:rPr>
          <w:rFonts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四、申报方式：</w:t>
      </w:r>
    </w:p>
    <w:p w14:paraId="09B40B8C">
      <w:pPr>
        <w:spacing w:before="156" w:beforeLines="50" w:line="380" w:lineRule="exact"/>
        <w:ind w:firstLine="480" w:firstLineChars="200"/>
        <w:rPr>
          <w:rFonts w:ascii="宋体" w:hAnsi="宋体" w:cs="宋体"/>
          <w:bCs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1、本次债权申报时间：</w:t>
      </w:r>
      <w:r>
        <w:rPr>
          <w:rFonts w:hint="eastAsia" w:ascii="宋体" w:hAnsi="宋体" w:cs="宋体"/>
          <w:b/>
          <w:bCs/>
          <w:sz w:val="24"/>
          <w:szCs w:val="24"/>
          <w:highlight w:val="none"/>
          <w:u w:val="single"/>
        </w:rPr>
        <w:t>从法院出具公告之日起至</w:t>
      </w:r>
      <w:r>
        <w:rPr>
          <w:rFonts w:hint="eastAsia" w:ascii="宋体" w:hAnsi="宋体" w:cs="宋体"/>
          <w:b/>
          <w:bCs/>
          <w:sz w:val="24"/>
          <w:szCs w:val="24"/>
          <w:highlight w:val="none"/>
          <w:u w:val="single"/>
          <w:lang w:eastAsia="zh-CN"/>
        </w:rPr>
        <w:t>2024年</w:t>
      </w:r>
      <w:r>
        <w:rPr>
          <w:rFonts w:hint="eastAsia" w:ascii="宋体" w:hAnsi="宋体" w:cs="宋体"/>
          <w:b/>
          <w:bCs/>
          <w:sz w:val="24"/>
          <w:szCs w:val="24"/>
          <w:highlight w:val="none"/>
          <w:u w:val="single"/>
          <w:lang w:val="en-US" w:eastAsia="zh-CN"/>
        </w:rPr>
        <w:t>9</w:t>
      </w:r>
      <w:r>
        <w:rPr>
          <w:rFonts w:hint="eastAsia" w:ascii="宋体" w:hAnsi="宋体" w:cs="宋体"/>
          <w:b/>
          <w:bCs/>
          <w:sz w:val="24"/>
          <w:szCs w:val="24"/>
          <w:highlight w:val="none"/>
          <w:u w:val="single"/>
          <w:lang w:eastAsia="zh-CN"/>
        </w:rPr>
        <w:t>月20日</w:t>
      </w:r>
      <w:r>
        <w:rPr>
          <w:rFonts w:hint="eastAsia" w:ascii="宋体" w:hAnsi="宋体" w:cs="宋体"/>
          <w:b/>
          <w:bCs/>
          <w:color w:val="000000" w:themeColor="text1"/>
          <w:sz w:val="24"/>
          <w:szCs w:val="24"/>
          <w:highlight w:val="none"/>
          <w:u w:val="single"/>
          <w14:textFill>
            <w14:solidFill>
              <w14:schemeClr w14:val="tx1"/>
            </w14:solidFill>
          </w14:textFill>
        </w:rPr>
        <w:t>止</w:t>
      </w:r>
      <w:r>
        <w:rPr>
          <w:rFonts w:hint="eastAsia" w:ascii="宋体" w:hAnsi="宋体" w:cs="宋体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（周</w:t>
      </w:r>
      <w:r>
        <w:rPr>
          <w:rFonts w:hint="eastAsia" w:ascii="宋体" w:hAnsi="宋体" w:cs="宋体"/>
          <w:bCs/>
          <w:sz w:val="24"/>
          <w:szCs w:val="24"/>
        </w:rPr>
        <w:t>一至周五)。</w:t>
      </w:r>
    </w:p>
    <w:p w14:paraId="4152986F">
      <w:pPr>
        <w:wordWrap w:val="0"/>
        <w:spacing w:before="156" w:beforeLines="50" w:line="380" w:lineRule="exact"/>
        <w:ind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2、申报地址：</w:t>
      </w:r>
      <w:r>
        <w:rPr>
          <w:rFonts w:hint="eastAsia" w:ascii="宋体" w:hAnsi="宋体" w:cs="宋体"/>
          <w:sz w:val="24"/>
          <w:szCs w:val="24"/>
        </w:rPr>
        <w:t>南京市建邺区奥体大街6</w:t>
      </w:r>
      <w:r>
        <w:rPr>
          <w:rFonts w:ascii="宋体" w:hAnsi="宋体" w:cs="宋体"/>
          <w:sz w:val="24"/>
          <w:szCs w:val="24"/>
        </w:rPr>
        <w:t>8</w:t>
      </w:r>
      <w:r>
        <w:rPr>
          <w:rFonts w:hint="eastAsia" w:ascii="宋体" w:hAnsi="宋体" w:cs="宋体"/>
          <w:sz w:val="24"/>
          <w:szCs w:val="24"/>
        </w:rPr>
        <w:t>号5</w:t>
      </w:r>
      <w:r>
        <w:rPr>
          <w:rFonts w:ascii="宋体" w:hAnsi="宋体" w:cs="宋体"/>
          <w:sz w:val="24"/>
          <w:szCs w:val="24"/>
        </w:rPr>
        <w:t>A</w:t>
      </w:r>
      <w:r>
        <w:rPr>
          <w:rFonts w:hint="eastAsia" w:ascii="宋体" w:hAnsi="宋体" w:cs="宋体"/>
          <w:sz w:val="24"/>
          <w:szCs w:val="24"/>
        </w:rPr>
        <w:t>栋1</w:t>
      </w:r>
      <w:r>
        <w:rPr>
          <w:rFonts w:ascii="宋体" w:hAnsi="宋体" w:cs="宋体"/>
          <w:sz w:val="24"/>
          <w:szCs w:val="24"/>
        </w:rPr>
        <w:t>5</w:t>
      </w:r>
      <w:r>
        <w:rPr>
          <w:rFonts w:hint="eastAsia" w:ascii="宋体" w:hAnsi="宋体" w:cs="宋体"/>
          <w:sz w:val="24"/>
          <w:szCs w:val="24"/>
        </w:rPr>
        <w:t>层，邮编：2</w:t>
      </w:r>
      <w:r>
        <w:rPr>
          <w:rFonts w:ascii="宋体" w:hAnsi="宋体" w:cs="宋体"/>
          <w:sz w:val="24"/>
          <w:szCs w:val="24"/>
        </w:rPr>
        <w:t>10019</w:t>
      </w:r>
      <w:r>
        <w:rPr>
          <w:rFonts w:ascii="宋体" w:hAnsi="宋体" w:cs="宋体"/>
          <w:bCs/>
          <w:sz w:val="24"/>
          <w:szCs w:val="24"/>
        </w:rPr>
        <w:t xml:space="preserve"> </w:t>
      </w:r>
    </w:p>
    <w:p w14:paraId="02F63F14">
      <w:pPr>
        <w:wordWrap w:val="0"/>
        <w:spacing w:before="156" w:beforeLines="50" w:line="380" w:lineRule="exact"/>
        <w:ind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3、联系人：</w:t>
      </w:r>
      <w:r>
        <w:rPr>
          <w:rFonts w:hint="eastAsia" w:ascii="宋体" w:hAnsi="宋体" w:cs="宋体"/>
          <w:sz w:val="24"/>
          <w:szCs w:val="24"/>
          <w:lang w:eastAsia="zh-CN"/>
        </w:rPr>
        <w:t>南京梁海住房租赁有限公司</w:t>
      </w:r>
      <w:r>
        <w:rPr>
          <w:rFonts w:hint="eastAsia" w:ascii="宋体" w:hAnsi="宋体" w:cs="宋体"/>
          <w:sz w:val="24"/>
          <w:szCs w:val="24"/>
        </w:rPr>
        <w:t xml:space="preserve">管理人 </w:t>
      </w:r>
    </w:p>
    <w:p w14:paraId="4D5366DF">
      <w:pPr>
        <w:wordWrap w:val="0"/>
        <w:spacing w:before="156" w:beforeLines="50" w:line="380" w:lineRule="exact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</w:rPr>
        <w:t xml:space="preserve">         </w:t>
      </w:r>
      <w:r>
        <w:rPr>
          <w:rFonts w:ascii="宋体" w:hAnsi="宋体" w:cs="宋体"/>
          <w:sz w:val="24"/>
          <w:szCs w:val="24"/>
        </w:rPr>
        <w:t xml:space="preserve">    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</w:rPr>
        <w:t xml:space="preserve"> </w:t>
      </w:r>
      <w:r>
        <w:rPr>
          <w:rFonts w:hint="eastAsia" w:ascii="宋体" w:hAnsi="宋体" w:cs="宋体"/>
          <w:sz w:val="24"/>
          <w:szCs w:val="24"/>
          <w:lang w:eastAsia="zh-CN"/>
        </w:rPr>
        <w:t>潘玉婷</w:t>
      </w:r>
      <w:r>
        <w:rPr>
          <w:rFonts w:hint="eastAsia" w:ascii="宋体" w:hAnsi="宋体" w:cs="宋体"/>
          <w:sz w:val="24"/>
          <w:szCs w:val="24"/>
        </w:rPr>
        <w:t xml:space="preserve"> 律师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13801588264（微信同</w:t>
      </w:r>
      <w:bookmarkStart w:id="0" w:name="_GoBack"/>
      <w:bookmarkEnd w:id="0"/>
      <w:r>
        <w:rPr>
          <w:rFonts w:hint="eastAsia" w:ascii="宋体" w:hAnsi="宋体" w:cs="宋体"/>
          <w:sz w:val="24"/>
          <w:szCs w:val="24"/>
          <w:lang w:val="en-US" w:eastAsia="zh-CN"/>
        </w:rPr>
        <w:t>）</w:t>
      </w:r>
    </w:p>
    <w:p w14:paraId="5B076ED7">
      <w:pPr>
        <w:spacing w:before="156" w:beforeLines="50" w:line="380" w:lineRule="exact"/>
        <w:ind w:firstLine="480" w:firstLineChars="200"/>
        <w:rPr>
          <w:rFonts w:ascii="宋体" w:hAnsi="宋体" w:cs="宋体"/>
          <w:bCs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欢迎预约。</w:t>
      </w:r>
    </w:p>
    <w:p w14:paraId="32DC54C8">
      <w:pPr>
        <w:spacing w:before="156" w:beforeLines="50" w:line="380" w:lineRule="exact"/>
        <w:ind w:firstLine="482" w:firstLineChars="200"/>
        <w:rPr>
          <w:rFonts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五、第一次债权人会议定</w:t>
      </w:r>
      <w:r>
        <w:rPr>
          <w:rFonts w:hint="eastAsia" w:ascii="宋体" w:hAnsi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于</w:t>
      </w:r>
      <w:r>
        <w:rPr>
          <w:rFonts w:hint="eastAsia" w:ascii="宋体" w:hAnsi="宋体" w:cs="宋体"/>
          <w:b/>
          <w:bCs/>
          <w:color w:val="0070C0"/>
          <w:sz w:val="24"/>
          <w:szCs w:val="24"/>
          <w:highlight w:val="none"/>
          <w:u w:val="single"/>
        </w:rPr>
        <w:t xml:space="preserve"> 2024年 9月 25日上午 9时 30分在江苏省江宁经济技术开发区人民法院第十一法庭（地址：南京市江宁区将军大道 37号）召开第一次债权人会议</w:t>
      </w:r>
      <w:r>
        <w:rPr>
          <w:rFonts w:hint="eastAsia" w:ascii="宋体" w:hAnsi="宋体" w:cs="宋体"/>
          <w:b/>
          <w:bCs/>
          <w:sz w:val="24"/>
          <w:szCs w:val="24"/>
        </w:rPr>
        <w:t>召开,请各位债权人准时参加,参加时请携带有效证件。</w:t>
      </w:r>
    </w:p>
    <w:p w14:paraId="32A63BFB">
      <w:pPr>
        <w:spacing w:before="156" w:beforeLines="50" w:line="380" w:lineRule="exact"/>
        <w:ind w:firstLine="482" w:firstLineChars="200"/>
        <w:rPr>
          <w:rFonts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六、管理人特别提示</w:t>
      </w:r>
    </w:p>
    <w:p w14:paraId="7169050E">
      <w:pPr>
        <w:spacing w:before="156" w:beforeLines="50" w:line="380" w:lineRule="exact"/>
        <w:ind w:firstLine="480" w:firstLineChars="200"/>
        <w:rPr>
          <w:rFonts w:ascii="宋体" w:hAnsi="宋体" w:cs="宋体"/>
          <w:bCs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1、本《申报债权须知》只是针对债权人申报债权时注意事项及风险告知的特别提示，文本中加粗字体请债权人予以合理关注。本告知不视为出具给债权人的法律意见。</w:t>
      </w:r>
    </w:p>
    <w:p w14:paraId="3624B5E9">
      <w:pPr>
        <w:spacing w:before="156" w:beforeLines="50" w:line="380" w:lineRule="exact"/>
        <w:ind w:firstLine="480" w:firstLineChars="200"/>
        <w:rPr>
          <w:rFonts w:ascii="宋体" w:hAnsi="宋体" w:cs="宋体"/>
          <w:bCs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2、债权人虚假申报债权或提供虚假申报材料,损害其他债权人利益的,管理人将依法移送公安机关或人民法院追究其法律责任。</w:t>
      </w:r>
    </w:p>
    <w:p w14:paraId="426FBEAA">
      <w:pPr>
        <w:spacing w:before="156" w:beforeLines="50" w:line="380" w:lineRule="exact"/>
        <w:ind w:firstLine="480" w:firstLineChars="200"/>
        <w:rPr>
          <w:rFonts w:ascii="宋体" w:hAnsi="宋体" w:cs="宋体"/>
          <w:bCs/>
          <w:sz w:val="24"/>
          <w:szCs w:val="24"/>
        </w:rPr>
      </w:pPr>
    </w:p>
    <w:p w14:paraId="1BA8FA34">
      <w:pPr>
        <w:wordWrap w:val="0"/>
        <w:spacing w:before="156" w:beforeLines="50" w:line="380" w:lineRule="exact"/>
        <w:ind w:firstLine="1205" w:firstLineChars="500"/>
        <w:jc w:val="right"/>
        <w:rPr>
          <w:rFonts w:ascii="宋体" w:hAnsi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eastAsia="zh-CN"/>
        </w:rPr>
        <w:t>南京梁海住房租赁有限公司</w:t>
      </w:r>
      <w:r>
        <w:rPr>
          <w:rFonts w:hint="eastAsia" w:ascii="宋体" w:hAnsi="宋体" w:cs="宋体"/>
          <w:b/>
          <w:sz w:val="24"/>
          <w:szCs w:val="24"/>
        </w:rPr>
        <w:t>管理人</w:t>
      </w:r>
    </w:p>
    <w:p w14:paraId="0DB5C897">
      <w:pPr>
        <w:wordWrap w:val="0"/>
        <w:spacing w:before="156" w:beforeLines="50" w:line="380" w:lineRule="exact"/>
        <w:ind w:firstLine="1205" w:firstLineChars="500"/>
        <w:jc w:val="right"/>
        <w:rPr>
          <w:rFonts w:hint="default" w:ascii="宋体" w:hAnsi="宋体" w:eastAsia="宋体" w:cs="宋体"/>
          <w:b/>
          <w:bCs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宋体" w:hAnsi="宋体" w:cs="宋体"/>
          <w:b/>
          <w:sz w:val="24"/>
          <w:szCs w:val="24"/>
          <w:highlight w:val="none"/>
          <w:lang w:val="en-US" w:eastAsia="zh-CN"/>
        </w:rPr>
        <w:t>2024</w:t>
      </w:r>
      <w:r>
        <w:rPr>
          <w:rFonts w:hint="eastAsia" w:ascii="宋体" w:hAnsi="宋体" w:cs="宋体"/>
          <w:b/>
          <w:sz w:val="24"/>
          <w:szCs w:val="24"/>
          <w:highlight w:val="none"/>
        </w:rPr>
        <w:t>年</w:t>
      </w:r>
      <w:r>
        <w:rPr>
          <w:rFonts w:hint="eastAsia" w:ascii="宋体" w:hAnsi="宋体" w:cs="宋体"/>
          <w:b/>
          <w:sz w:val="24"/>
          <w:szCs w:val="24"/>
          <w:highlight w:val="none"/>
          <w:lang w:val="en-US" w:eastAsia="zh-CN"/>
        </w:rPr>
        <w:t>6月27日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CC6ECB"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 w14:paraId="7BC5616B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JiYzRjZDg4ODIxMmZkMzVjYzYxNzIzMDEwYjJjY2IifQ=="/>
  </w:docVars>
  <w:rsids>
    <w:rsidRoot w:val="00787792"/>
    <w:rsid w:val="00047220"/>
    <w:rsid w:val="00061F9E"/>
    <w:rsid w:val="00064792"/>
    <w:rsid w:val="00093BA4"/>
    <w:rsid w:val="000B420C"/>
    <w:rsid w:val="00116B98"/>
    <w:rsid w:val="001445C3"/>
    <w:rsid w:val="00146A0E"/>
    <w:rsid w:val="00162051"/>
    <w:rsid w:val="00196BF0"/>
    <w:rsid w:val="001A2B68"/>
    <w:rsid w:val="002253A3"/>
    <w:rsid w:val="00270FC4"/>
    <w:rsid w:val="00285FA6"/>
    <w:rsid w:val="00292515"/>
    <w:rsid w:val="00296287"/>
    <w:rsid w:val="002F333E"/>
    <w:rsid w:val="00360D8A"/>
    <w:rsid w:val="0037078C"/>
    <w:rsid w:val="003831B3"/>
    <w:rsid w:val="003A0C0E"/>
    <w:rsid w:val="003B650C"/>
    <w:rsid w:val="003E26F3"/>
    <w:rsid w:val="003F7989"/>
    <w:rsid w:val="00407EF4"/>
    <w:rsid w:val="00426991"/>
    <w:rsid w:val="00431A48"/>
    <w:rsid w:val="0047197F"/>
    <w:rsid w:val="004F1843"/>
    <w:rsid w:val="00545307"/>
    <w:rsid w:val="0055171B"/>
    <w:rsid w:val="005721A6"/>
    <w:rsid w:val="00590F00"/>
    <w:rsid w:val="005931AB"/>
    <w:rsid w:val="005A37E2"/>
    <w:rsid w:val="005C6AFE"/>
    <w:rsid w:val="0062414A"/>
    <w:rsid w:val="00647120"/>
    <w:rsid w:val="006717B3"/>
    <w:rsid w:val="006717F8"/>
    <w:rsid w:val="00684495"/>
    <w:rsid w:val="006851F3"/>
    <w:rsid w:val="006947CE"/>
    <w:rsid w:val="006F140E"/>
    <w:rsid w:val="006F6AC2"/>
    <w:rsid w:val="00705729"/>
    <w:rsid w:val="0071492E"/>
    <w:rsid w:val="00735190"/>
    <w:rsid w:val="00750024"/>
    <w:rsid w:val="00787792"/>
    <w:rsid w:val="00793007"/>
    <w:rsid w:val="0079536E"/>
    <w:rsid w:val="007C3525"/>
    <w:rsid w:val="007E5F7B"/>
    <w:rsid w:val="00834177"/>
    <w:rsid w:val="008A4BDC"/>
    <w:rsid w:val="00904DEC"/>
    <w:rsid w:val="00937A3A"/>
    <w:rsid w:val="00975743"/>
    <w:rsid w:val="009E05B6"/>
    <w:rsid w:val="009E366D"/>
    <w:rsid w:val="009E4E61"/>
    <w:rsid w:val="00A371CB"/>
    <w:rsid w:val="00A42CD7"/>
    <w:rsid w:val="00AA609C"/>
    <w:rsid w:val="00AB6672"/>
    <w:rsid w:val="00AC08D0"/>
    <w:rsid w:val="00AF6EE0"/>
    <w:rsid w:val="00B172E7"/>
    <w:rsid w:val="00B55141"/>
    <w:rsid w:val="00B72D59"/>
    <w:rsid w:val="00BA6433"/>
    <w:rsid w:val="00BC11C5"/>
    <w:rsid w:val="00BD6211"/>
    <w:rsid w:val="00C06801"/>
    <w:rsid w:val="00CA6E65"/>
    <w:rsid w:val="00CA7038"/>
    <w:rsid w:val="00D1272F"/>
    <w:rsid w:val="00D22BE7"/>
    <w:rsid w:val="00D25D55"/>
    <w:rsid w:val="00D2706A"/>
    <w:rsid w:val="00D536CB"/>
    <w:rsid w:val="00D565DC"/>
    <w:rsid w:val="00D61FC1"/>
    <w:rsid w:val="00DA5CE7"/>
    <w:rsid w:val="00DF7819"/>
    <w:rsid w:val="00E15910"/>
    <w:rsid w:val="00E3255D"/>
    <w:rsid w:val="00E520DF"/>
    <w:rsid w:val="00E60F2A"/>
    <w:rsid w:val="00EC1ADC"/>
    <w:rsid w:val="00F11E55"/>
    <w:rsid w:val="00F73B29"/>
    <w:rsid w:val="00FC5DDC"/>
    <w:rsid w:val="00FD3D4A"/>
    <w:rsid w:val="01320079"/>
    <w:rsid w:val="01DF5DA9"/>
    <w:rsid w:val="02892DFF"/>
    <w:rsid w:val="05CD222A"/>
    <w:rsid w:val="070C15DE"/>
    <w:rsid w:val="14EE58A4"/>
    <w:rsid w:val="1ABF7B37"/>
    <w:rsid w:val="250A5AE9"/>
    <w:rsid w:val="285350F9"/>
    <w:rsid w:val="2EC71899"/>
    <w:rsid w:val="33577393"/>
    <w:rsid w:val="347660F6"/>
    <w:rsid w:val="3806663E"/>
    <w:rsid w:val="3D89645B"/>
    <w:rsid w:val="3EAC6167"/>
    <w:rsid w:val="406558F8"/>
    <w:rsid w:val="49D14709"/>
    <w:rsid w:val="4F9311BF"/>
    <w:rsid w:val="51D677D0"/>
    <w:rsid w:val="5C5B574E"/>
    <w:rsid w:val="5FC260EB"/>
    <w:rsid w:val="72E932AB"/>
    <w:rsid w:val="75A1188D"/>
    <w:rsid w:val="7FA44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字符"/>
    <w:link w:val="3"/>
    <w:qFormat/>
    <w:locked/>
    <w:uiPriority w:val="99"/>
    <w:rPr>
      <w:sz w:val="18"/>
      <w:szCs w:val="18"/>
    </w:rPr>
  </w:style>
  <w:style w:type="character" w:customStyle="1" w:styleId="8">
    <w:name w:val="页脚 字符"/>
    <w:link w:val="2"/>
    <w:qFormat/>
    <w:locked/>
    <w:uiPriority w:val="99"/>
    <w:rPr>
      <w:sz w:val="18"/>
      <w:szCs w:val="18"/>
    </w:rPr>
  </w:style>
  <w:style w:type="character" w:customStyle="1" w:styleId="9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2507</Words>
  <Characters>2583</Characters>
  <Lines>19</Lines>
  <Paragraphs>5</Paragraphs>
  <TotalTime>11</TotalTime>
  <ScaleCrop>false</ScaleCrop>
  <LinksUpToDate>false</LinksUpToDate>
  <CharactersWithSpaces>2614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2021-06-21T17:28:00Z</dcterms:created>
  <dc:creator>sunqiujuan</dc:creator>
  <cp:lastModifiedBy>office11</cp:lastModifiedBy>
  <cp:lastPrinted>2019-02-22T06:32:00Z</cp:lastPrinted>
  <dcterms:modified xsi:type="dcterms:W3CDTF">2024-08-02T07:46:42Z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20603B55A6BD4B309F6E8A57EA42E8A6_12</vt:lpwstr>
  </property>
</Properties>
</file>