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DF3257"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汉风生态园大名县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有限公司</w:t>
      </w:r>
    </w:p>
    <w:p w14:paraId="1DA55281"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管理人文件</w:t>
      </w:r>
    </w:p>
    <w:p w14:paraId="021E4BAB"/>
    <w:p w14:paraId="430AB9AE">
      <w:pPr>
        <w:ind w:firstLine="420"/>
        <w:jc w:val="center"/>
        <w:rPr>
          <w:rFonts w:ascii="黑体" w:hAnsi="黑体" w:eastAsia="黑体" w:cs="黑体"/>
          <w:szCs w:val="28"/>
        </w:rPr>
      </w:pPr>
      <w:r>
        <w:rPr>
          <w:rFonts w:hint="eastAsia" w:ascii="黑体" w:hAnsi="黑体" w:eastAsia="黑体" w:cs="黑体"/>
          <w:szCs w:val="28"/>
          <w:lang w:val="en-US" w:eastAsia="zh-CN"/>
        </w:rPr>
        <w:t>汉风生态园</w:t>
      </w:r>
      <w:r>
        <w:rPr>
          <w:rFonts w:hint="eastAsia" w:ascii="黑体" w:hAnsi="黑体" w:eastAsia="黑体" w:cs="黑体"/>
          <w:szCs w:val="28"/>
        </w:rPr>
        <w:t>破管[2024]第1-2号</w:t>
      </w:r>
    </w:p>
    <w:p w14:paraId="29EA3262">
      <w:pPr>
        <w:rPr>
          <w:rFonts w:ascii="黑体" w:hAnsi="宋体" w:eastAsia="黑体" w:cs="黑体"/>
          <w:sz w:val="30"/>
          <w:szCs w:val="30"/>
          <w:u w:val="single"/>
        </w:rPr>
      </w:pPr>
      <w:r>
        <w:rPr>
          <w:rFonts w:ascii="黑体" w:hAnsi="宋体" w:eastAsia="黑体" w:cs="黑体"/>
          <w:sz w:val="30"/>
          <w:szCs w:val="30"/>
          <w:u w:val="single"/>
        </w:rPr>
        <w:t xml:space="preserve">                                                       </w:t>
      </w:r>
      <w:r>
        <w:rPr>
          <w:rFonts w:hint="eastAsia" w:ascii="黑体" w:hAnsi="宋体" w:eastAsia="黑体" w:cs="黑体"/>
          <w:sz w:val="30"/>
          <w:szCs w:val="30"/>
          <w:u w:val="single"/>
        </w:rPr>
        <w:t xml:space="preserve"> </w:t>
      </w:r>
    </w:p>
    <w:p w14:paraId="2EF4356D">
      <w:pPr>
        <w:pStyle w:val="5"/>
      </w:pPr>
    </w:p>
    <w:p w14:paraId="19CD973A">
      <w:pPr>
        <w:jc w:val="center"/>
        <w:rPr>
          <w:rFonts w:ascii="黑体" w:hAnsi="黑体" w:eastAsia="黑体" w:cs="黑体"/>
          <w:b/>
          <w:bCs/>
          <w:sz w:val="40"/>
          <w:szCs w:val="36"/>
        </w:rPr>
      </w:pPr>
      <w:r>
        <w:rPr>
          <w:rFonts w:hint="eastAsia" w:ascii="黑体" w:hAnsi="黑体" w:eastAsia="黑体" w:cs="黑体"/>
          <w:b/>
          <w:bCs/>
          <w:sz w:val="40"/>
          <w:szCs w:val="36"/>
        </w:rPr>
        <w:t>财产状况调查报告</w:t>
      </w:r>
    </w:p>
    <w:p w14:paraId="12A3A302">
      <w:pPr>
        <w:rPr>
          <w:b/>
          <w:bCs/>
        </w:rPr>
      </w:pPr>
    </w:p>
    <w:p w14:paraId="13B89460">
      <w:r>
        <w:rPr>
          <w:rFonts w:hint="eastAsia"/>
          <w:b/>
          <w:bCs/>
        </w:rPr>
        <w:t>河北省</w:t>
      </w:r>
      <w:r>
        <w:rPr>
          <w:rFonts w:hint="eastAsia"/>
          <w:b/>
          <w:bCs/>
          <w:lang w:val="en-US" w:eastAsia="zh-CN"/>
        </w:rPr>
        <w:t>邯郸市中级</w:t>
      </w:r>
      <w:r>
        <w:rPr>
          <w:rFonts w:hint="eastAsia"/>
          <w:b/>
          <w:bCs/>
        </w:rPr>
        <w:t>人民法院</w:t>
      </w:r>
      <w:r>
        <w:rPr>
          <w:rFonts w:hint="eastAsia"/>
        </w:rPr>
        <w:t>：</w:t>
      </w:r>
    </w:p>
    <w:p w14:paraId="316AF2C9">
      <w:r>
        <w:rPr>
          <w:rFonts w:hint="eastAsia"/>
          <w:b/>
          <w:bCs/>
          <w:lang w:val="en-US" w:eastAsia="zh-CN"/>
        </w:rPr>
        <w:t>汉风生态园大名县有限公司</w:t>
      </w:r>
      <w:r>
        <w:rPr>
          <w:rFonts w:hint="eastAsia"/>
          <w:b/>
          <w:bCs/>
        </w:rPr>
        <w:t>债权人会议</w:t>
      </w:r>
      <w:r>
        <w:rPr>
          <w:rFonts w:hint="eastAsia"/>
        </w:rPr>
        <w:t>：</w:t>
      </w:r>
    </w:p>
    <w:p w14:paraId="4D198E15">
      <w:pPr>
        <w:ind w:firstLine="560"/>
      </w:pPr>
      <w:r>
        <w:rPr>
          <w:rFonts w:hint="eastAsia" w:ascii="仿宋" w:hAnsi="仿宋" w:cs="仿宋"/>
          <w:color w:val="000000" w:themeColor="text1"/>
          <w:szCs w:val="28"/>
          <w14:textFill>
            <w14:solidFill>
              <w14:schemeClr w14:val="tx1"/>
            </w14:solidFill>
          </w14:textFill>
        </w:rPr>
        <w:t>2024年</w:t>
      </w:r>
      <w:r>
        <w:rPr>
          <w:rFonts w:hint="eastAsia" w:ascii="仿宋" w:hAnsi="仿宋" w:cs="仿宋"/>
          <w:color w:val="000000" w:themeColor="text1"/>
          <w:szCs w:val="28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cs="仿宋"/>
          <w:color w:val="000000" w:themeColor="text1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cs="仿宋"/>
          <w:color w:val="000000" w:themeColor="text1"/>
          <w:szCs w:val="28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" w:hAnsi="仿宋" w:cs="仿宋"/>
          <w:color w:val="000000" w:themeColor="text1"/>
          <w:szCs w:val="28"/>
          <w14:textFill>
            <w14:solidFill>
              <w14:schemeClr w14:val="tx1"/>
            </w14:solidFill>
          </w14:textFill>
        </w:rPr>
        <w:t>日，</w:t>
      </w:r>
      <w:r>
        <w:rPr>
          <w:rFonts w:hint="eastAsia"/>
        </w:rPr>
        <w:t>河北省</w:t>
      </w:r>
      <w:r>
        <w:rPr>
          <w:rFonts w:hint="eastAsia"/>
          <w:lang w:val="en-US" w:eastAsia="zh-CN"/>
        </w:rPr>
        <w:t>邯郸市中级</w:t>
      </w:r>
      <w:r>
        <w:rPr>
          <w:rFonts w:hint="eastAsia"/>
        </w:rPr>
        <w:t>人民法院（以下简称：“</w:t>
      </w:r>
      <w:r>
        <w:rPr>
          <w:rFonts w:hint="eastAsia"/>
          <w:lang w:val="en-US" w:eastAsia="zh-CN"/>
        </w:rPr>
        <w:t>邯郸中</w:t>
      </w:r>
      <w:r>
        <w:rPr>
          <w:rFonts w:hint="eastAsia"/>
        </w:rPr>
        <w:t>院”）</w:t>
      </w:r>
      <w:r>
        <w:rPr>
          <w:rFonts w:hint="eastAsia" w:ascii="仿宋" w:hAnsi="仿宋" w:cs="仿宋"/>
          <w:color w:val="000000" w:themeColor="text1"/>
          <w:szCs w:val="28"/>
          <w14:textFill>
            <w14:solidFill>
              <w14:schemeClr w14:val="tx1"/>
            </w14:solidFill>
          </w14:textFill>
        </w:rPr>
        <w:t>作出（202</w:t>
      </w:r>
      <w:r>
        <w:rPr>
          <w:rFonts w:hint="eastAsia" w:ascii="仿宋" w:hAnsi="仿宋" w:cs="仿宋"/>
          <w:color w:val="000000" w:themeColor="text1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cs="仿宋"/>
          <w:color w:val="000000" w:themeColor="text1"/>
          <w:szCs w:val="28"/>
          <w14:textFill>
            <w14:solidFill>
              <w14:schemeClr w14:val="tx1"/>
            </w14:solidFill>
          </w14:textFill>
        </w:rPr>
        <w:t>）冀</w:t>
      </w:r>
      <w:r>
        <w:rPr>
          <w:rFonts w:hint="eastAsia" w:ascii="仿宋" w:hAnsi="仿宋" w:cs="仿宋"/>
          <w:color w:val="000000" w:themeColor="text1"/>
          <w:szCs w:val="28"/>
          <w:lang w:val="en-US" w:eastAsia="zh-CN"/>
          <w14:textFill>
            <w14:solidFill>
              <w14:schemeClr w14:val="tx1"/>
            </w14:solidFill>
          </w14:textFill>
        </w:rPr>
        <w:t>04</w:t>
      </w:r>
      <w:r>
        <w:rPr>
          <w:rFonts w:hint="eastAsia" w:ascii="仿宋" w:hAnsi="仿宋" w:cs="仿宋"/>
          <w:color w:val="000000" w:themeColor="text1"/>
          <w:szCs w:val="28"/>
          <w14:textFill>
            <w14:solidFill>
              <w14:schemeClr w14:val="tx1"/>
            </w14:solidFill>
          </w14:textFill>
        </w:rPr>
        <w:t>破</w:t>
      </w:r>
      <w:r>
        <w:rPr>
          <w:rFonts w:hint="eastAsia" w:ascii="仿宋" w:hAnsi="仿宋" w:cs="仿宋"/>
          <w:color w:val="000000" w:themeColor="text1"/>
          <w:szCs w:val="28"/>
          <w:lang w:val="en-US" w:eastAsia="zh-CN"/>
          <w14:textFill>
            <w14:solidFill>
              <w14:schemeClr w14:val="tx1"/>
            </w14:solidFill>
          </w14:textFill>
        </w:rPr>
        <w:t>申66</w:t>
      </w:r>
      <w:r>
        <w:rPr>
          <w:rFonts w:hint="eastAsia" w:ascii="仿宋" w:hAnsi="仿宋" w:cs="仿宋"/>
          <w:color w:val="000000" w:themeColor="text1"/>
          <w:szCs w:val="28"/>
          <w14:textFill>
            <w14:solidFill>
              <w14:schemeClr w14:val="tx1"/>
            </w14:solidFill>
          </w14:textFill>
        </w:rPr>
        <w:t>号《民事裁定书》，依法裁定受理</w:t>
      </w:r>
      <w:r>
        <w:rPr>
          <w:rFonts w:hint="eastAsia" w:ascii="仿宋" w:hAnsi="仿宋" w:cs="仿宋"/>
          <w:color w:val="000000" w:themeColor="text1"/>
          <w:szCs w:val="28"/>
          <w:lang w:val="en-US" w:eastAsia="zh-CN"/>
          <w14:textFill>
            <w14:solidFill>
              <w14:schemeClr w14:val="tx1"/>
            </w14:solidFill>
          </w14:textFill>
        </w:rPr>
        <w:t>汉风生态园大名县</w:t>
      </w:r>
      <w:r>
        <w:rPr>
          <w:rFonts w:hint="eastAsia" w:ascii="仿宋" w:hAnsi="仿宋" w:cs="仿宋"/>
          <w:color w:val="000000" w:themeColor="text1"/>
          <w:szCs w:val="28"/>
          <w14:textFill>
            <w14:solidFill>
              <w14:schemeClr w14:val="tx1"/>
            </w14:solidFill>
          </w14:textFill>
        </w:rPr>
        <w:t>有限公司（以下简称：“</w:t>
      </w:r>
      <w:r>
        <w:rPr>
          <w:rFonts w:hint="eastAsia" w:ascii="仿宋" w:hAnsi="仿宋" w:cs="仿宋"/>
          <w:color w:val="000000" w:themeColor="text1"/>
          <w:szCs w:val="28"/>
          <w:lang w:val="en-US" w:eastAsia="zh-CN"/>
          <w14:textFill>
            <w14:solidFill>
              <w14:schemeClr w14:val="tx1"/>
            </w14:solidFill>
          </w14:textFill>
        </w:rPr>
        <w:t>汉风生态园</w:t>
      </w:r>
      <w:r>
        <w:rPr>
          <w:rFonts w:hint="eastAsia" w:ascii="仿宋" w:hAnsi="仿宋" w:cs="仿宋"/>
          <w:color w:val="000000" w:themeColor="text1"/>
          <w:szCs w:val="28"/>
          <w14:textFill>
            <w14:solidFill>
              <w14:schemeClr w14:val="tx1"/>
            </w14:solidFill>
          </w14:textFill>
        </w:rPr>
        <w:t>”）破产清算一案。2024年</w:t>
      </w:r>
      <w:r>
        <w:rPr>
          <w:rFonts w:hint="eastAsia" w:ascii="仿宋" w:hAnsi="仿宋" w:cs="仿宋"/>
          <w:color w:val="000000" w:themeColor="text1"/>
          <w:szCs w:val="28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cs="仿宋"/>
          <w:color w:val="000000" w:themeColor="text1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cs="仿宋"/>
          <w:color w:val="000000" w:themeColor="text1"/>
          <w:szCs w:val="28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仿宋" w:hAnsi="仿宋" w:cs="仿宋"/>
          <w:color w:val="000000" w:themeColor="text1"/>
          <w:szCs w:val="28"/>
          <w14:textFill>
            <w14:solidFill>
              <w14:schemeClr w14:val="tx1"/>
            </w14:solidFill>
          </w14:textFill>
        </w:rPr>
        <w:t>日，</w:t>
      </w:r>
      <w:r>
        <w:rPr>
          <w:rFonts w:hint="eastAsia" w:ascii="仿宋" w:hAnsi="仿宋" w:cs="仿宋"/>
          <w:color w:val="000000" w:themeColor="text1"/>
          <w:szCs w:val="28"/>
          <w:lang w:val="en-US" w:eastAsia="zh-CN"/>
          <w14:textFill>
            <w14:solidFill>
              <w14:schemeClr w14:val="tx1"/>
            </w14:solidFill>
          </w14:textFill>
        </w:rPr>
        <w:t>邯郸中院</w:t>
      </w:r>
      <w:r>
        <w:rPr>
          <w:rFonts w:hint="eastAsia" w:ascii="仿宋" w:hAnsi="仿宋" w:cs="仿宋"/>
          <w:color w:val="000000" w:themeColor="text1"/>
          <w:szCs w:val="28"/>
          <w14:textFill>
            <w14:solidFill>
              <w14:schemeClr w14:val="tx1"/>
            </w14:solidFill>
          </w14:textFill>
        </w:rPr>
        <w:t>作出（2024）冀</w:t>
      </w:r>
      <w:r>
        <w:rPr>
          <w:rFonts w:hint="eastAsia" w:ascii="仿宋" w:hAnsi="仿宋" w:cs="仿宋"/>
          <w:color w:val="000000" w:themeColor="text1"/>
          <w:szCs w:val="28"/>
          <w:lang w:val="en-US" w:eastAsia="zh-CN"/>
          <w14:textFill>
            <w14:solidFill>
              <w14:schemeClr w14:val="tx1"/>
            </w14:solidFill>
          </w14:textFill>
        </w:rPr>
        <w:t>04</w:t>
      </w:r>
      <w:r>
        <w:rPr>
          <w:rFonts w:hint="eastAsia" w:ascii="仿宋" w:hAnsi="仿宋" w:cs="仿宋"/>
          <w:color w:val="000000" w:themeColor="text1"/>
          <w:szCs w:val="28"/>
          <w14:textFill>
            <w14:solidFill>
              <w14:schemeClr w14:val="tx1"/>
            </w14:solidFill>
          </w14:textFill>
        </w:rPr>
        <w:t>破</w:t>
      </w:r>
      <w:r>
        <w:rPr>
          <w:rFonts w:hint="eastAsia" w:ascii="仿宋" w:hAnsi="仿宋" w:cs="仿宋"/>
          <w:color w:val="000000" w:themeColor="text1"/>
          <w:szCs w:val="28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仿宋" w:hAnsi="仿宋" w:cs="仿宋"/>
          <w:color w:val="000000" w:themeColor="text1"/>
          <w:szCs w:val="28"/>
          <w14:textFill>
            <w14:solidFill>
              <w14:schemeClr w14:val="tx1"/>
            </w14:solidFill>
          </w14:textFill>
        </w:rPr>
        <w:t>号《决定书》依法指定三河市华信达清算有限公司担任</w:t>
      </w:r>
      <w:r>
        <w:rPr>
          <w:rFonts w:hint="eastAsia" w:ascii="仿宋" w:hAnsi="仿宋" w:cs="仿宋"/>
          <w:color w:val="000000" w:themeColor="text1"/>
          <w:szCs w:val="28"/>
          <w:lang w:val="en-US" w:eastAsia="zh-CN"/>
          <w14:textFill>
            <w14:solidFill>
              <w14:schemeClr w14:val="tx1"/>
            </w14:solidFill>
          </w14:textFill>
        </w:rPr>
        <w:t>汉风生态园</w:t>
      </w:r>
      <w:r>
        <w:rPr>
          <w:rFonts w:hint="eastAsia" w:ascii="仿宋" w:hAnsi="仿宋" w:cs="仿宋"/>
          <w:color w:val="000000" w:themeColor="text1"/>
          <w:szCs w:val="28"/>
          <w14:textFill>
            <w14:solidFill>
              <w14:schemeClr w14:val="tx1"/>
            </w14:solidFill>
          </w14:textFill>
        </w:rPr>
        <w:t>破产清算一案的管理人。</w:t>
      </w:r>
    </w:p>
    <w:p w14:paraId="63BD1687">
      <w:pPr>
        <w:ind w:firstLine="560"/>
      </w:pPr>
      <w:r>
        <w:rPr>
          <w:rFonts w:hint="eastAsia" w:ascii="仿宋" w:hAnsi="仿宋" w:cs="仿宋"/>
          <w:color w:val="000000" w:themeColor="text1"/>
          <w:szCs w:val="28"/>
          <w:lang w:val="en-US" w:eastAsia="zh-CN"/>
          <w14:textFill>
            <w14:solidFill>
              <w14:schemeClr w14:val="tx1"/>
            </w14:solidFill>
          </w14:textFill>
        </w:rPr>
        <w:t>汉风生态园大名县有限公司</w:t>
      </w:r>
      <w:r>
        <w:rPr>
          <w:rFonts w:hint="eastAsia"/>
        </w:rPr>
        <w:t>管理人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以下简称“管理人”</w:t>
      </w:r>
      <w:r>
        <w:rPr>
          <w:rFonts w:hint="eastAsia"/>
          <w:lang w:eastAsia="zh-CN"/>
        </w:rPr>
        <w:t>）</w:t>
      </w:r>
      <w:r>
        <w:rPr>
          <w:rFonts w:hint="eastAsia"/>
        </w:rPr>
        <w:t>接受指定后，根据《中华人民共和国企业破产法》的相关规定以及</w:t>
      </w:r>
      <w:r>
        <w:rPr>
          <w:rFonts w:hint="eastAsia"/>
          <w:lang w:val="en-US" w:eastAsia="zh-CN"/>
        </w:rPr>
        <w:t>邯郸中院</w:t>
      </w:r>
      <w:r>
        <w:rPr>
          <w:rFonts w:hint="eastAsia"/>
        </w:rPr>
        <w:t>具体指导和要求，结合管理人过往办理企业破产案件工作的相关经验，勤勉尽责地履行管理人各项工作职责。</w:t>
      </w:r>
    </w:p>
    <w:p w14:paraId="736656D4">
      <w:pPr>
        <w:ind w:firstLine="560"/>
      </w:pPr>
      <w:r>
        <w:rPr>
          <w:rFonts w:hint="eastAsia"/>
        </w:rPr>
        <w:t>现向</w:t>
      </w:r>
      <w:r>
        <w:rPr>
          <w:rFonts w:hint="eastAsia"/>
          <w:lang w:val="en-US" w:eastAsia="zh-CN"/>
        </w:rPr>
        <w:t>邯郸中院</w:t>
      </w:r>
      <w:r>
        <w:rPr>
          <w:rFonts w:hint="eastAsia"/>
        </w:rPr>
        <w:t>及</w:t>
      </w:r>
      <w:r>
        <w:rPr>
          <w:rFonts w:hint="eastAsia"/>
          <w:lang w:val="en-US" w:eastAsia="zh-CN"/>
        </w:rPr>
        <w:t>汉风生态园</w:t>
      </w:r>
      <w:r>
        <w:rPr>
          <w:rFonts w:hint="eastAsia"/>
        </w:rPr>
        <w:t>债权人会议（以下简称：“债权人会议”）就管理人调查的</w:t>
      </w:r>
      <w:r>
        <w:rPr>
          <w:rFonts w:hint="eastAsia"/>
          <w:lang w:val="en-US" w:eastAsia="zh-CN"/>
        </w:rPr>
        <w:t>汉风生态园</w:t>
      </w:r>
      <w:r>
        <w:rPr>
          <w:rFonts w:hint="eastAsia"/>
        </w:rPr>
        <w:t>财产情况汇报如下：</w:t>
      </w:r>
    </w:p>
    <w:p w14:paraId="28CD00C3">
      <w:pPr>
        <w:ind w:firstLine="560" w:firstLineChars="200"/>
        <w:rPr>
          <w:rFonts w:hint="eastAsia"/>
          <w:lang w:val="en-US" w:eastAsia="zh-CN"/>
        </w:rPr>
      </w:pPr>
      <w:r>
        <w:rPr>
          <w:rFonts w:hint="eastAsia"/>
        </w:rPr>
        <w:t>经管理人</w:t>
      </w:r>
      <w:r>
        <w:rPr>
          <w:rFonts w:hint="eastAsia"/>
          <w:lang w:val="en-US" w:eastAsia="zh-CN"/>
        </w:rPr>
        <w:t>查证，汉风生态园在金融机构开立的账户有3个，分别是中国银行股份有限公司大名支行1个、中国建设银行肌份有限公司大名支行0个、邯郸银行股份有限公司大名支行0个、张家口</w:t>
      </w:r>
      <w:bookmarkStart w:id="0" w:name="_GoBack"/>
      <w:bookmarkEnd w:id="0"/>
      <w:r>
        <w:rPr>
          <w:rFonts w:hint="eastAsia"/>
          <w:lang w:val="en-US" w:eastAsia="zh-CN"/>
        </w:rPr>
        <w:t>银行股份有限公司大名支行0个、河北大名农村商业银行股份有限公司1个；中国农业银行银行股份有限公司大名支行1个，上述账户</w:t>
      </w:r>
      <w:r>
        <w:rPr>
          <w:rFonts w:hint="eastAsia"/>
          <w:color w:val="auto"/>
          <w:lang w:val="en-US" w:eastAsia="zh-CN"/>
        </w:rPr>
        <w:t xml:space="preserve">资金合计   </w:t>
      </w:r>
      <w:r>
        <w:rPr>
          <w:rFonts w:hint="eastAsia" w:ascii="仿宋" w:hAnsi="仿宋" w:cs="仿宋"/>
          <w:color w:val="auto"/>
          <w:sz w:val="30"/>
          <w:szCs w:val="30"/>
          <w:lang w:val="en-US" w:eastAsia="zh-CN"/>
        </w:rPr>
        <w:t>107.36元</w:t>
      </w:r>
      <w:r>
        <w:rPr>
          <w:rFonts w:hint="eastAsia"/>
          <w:color w:val="auto"/>
          <w:lang w:val="en-US" w:eastAsia="zh-CN"/>
        </w:rPr>
        <w:t>元</w:t>
      </w:r>
      <w:r>
        <w:rPr>
          <w:rFonts w:hint="eastAsia"/>
          <w:lang w:val="en-US" w:eastAsia="zh-CN"/>
        </w:rPr>
        <w:t>，管理人正在与银行沟通协调资金接管事宜，确保不影响破产财产的分配工作。</w:t>
      </w:r>
    </w:p>
    <w:p w14:paraId="425A9061">
      <w:pPr>
        <w:ind w:firstLine="560" w:firstLineChars="200"/>
      </w:pPr>
      <w:r>
        <w:rPr>
          <w:rFonts w:hint="eastAsia"/>
          <w:lang w:val="en-US" w:eastAsia="zh-CN"/>
        </w:rPr>
        <w:t>根据管理人的尽调，结合法院执行查控和管理人对汉风生态园相关人员的核实，汉风生态园现</w:t>
      </w:r>
      <w:r>
        <w:rPr>
          <w:rFonts w:hint="eastAsia" w:ascii="仿宋" w:hAnsi="仿宋" w:cs="仿宋"/>
          <w:color w:val="000000" w:themeColor="text1"/>
          <w:szCs w:val="28"/>
          <w:lang w:val="en-US" w:eastAsia="zh-CN"/>
          <w14:textFill>
            <w14:solidFill>
              <w14:schemeClr w14:val="tx1"/>
            </w14:solidFill>
          </w14:textFill>
        </w:rPr>
        <w:t>无</w:t>
      </w:r>
      <w:r>
        <w:rPr>
          <w:rFonts w:hint="eastAsia"/>
          <w:lang w:val="en-US" w:eastAsia="zh-CN"/>
        </w:rPr>
        <w:t>实物</w:t>
      </w:r>
      <w:r>
        <w:rPr>
          <w:rFonts w:hint="eastAsia"/>
        </w:rPr>
        <w:t>资产</w:t>
      </w:r>
      <w:r>
        <w:rPr>
          <w:rFonts w:hint="eastAsia"/>
          <w:lang w:val="en-US" w:eastAsia="zh-CN"/>
        </w:rPr>
        <w:t>且</w:t>
      </w:r>
      <w:r>
        <w:rPr>
          <w:rFonts w:hint="eastAsia"/>
          <w:b w:val="0"/>
          <w:bCs w:val="0"/>
          <w:lang w:val="en-US" w:eastAsia="zh-CN"/>
        </w:rPr>
        <w:t>无其它任何投资</w:t>
      </w:r>
      <w:r>
        <w:t>。</w:t>
      </w:r>
    </w:p>
    <w:p w14:paraId="7C942B1F">
      <w:pPr>
        <w:pStyle w:val="2"/>
        <w:ind w:firstLine="560" w:firstLineChars="200"/>
        <w:rPr>
          <w:rFonts w:hint="eastAsia"/>
        </w:rPr>
      </w:pPr>
      <w:r>
        <w:rPr>
          <w:rFonts w:hint="eastAsia"/>
          <w:lang w:val="en-US" w:eastAsia="zh-CN"/>
        </w:rPr>
        <w:t>汉风生态园称自2014年停止经营，经营场所租赁关系终止，没有财务账册及相关文书资料可移交</w:t>
      </w:r>
      <w:r>
        <w:rPr>
          <w:rFonts w:hint="eastAsia"/>
        </w:rPr>
        <w:t>管理人，管理人目前仅调取到</w:t>
      </w:r>
      <w:r>
        <w:rPr>
          <w:rFonts w:hint="eastAsia"/>
          <w:lang w:val="en-US" w:eastAsia="zh-CN"/>
        </w:rPr>
        <w:t>汉风生态园</w:t>
      </w:r>
      <w:r>
        <w:rPr>
          <w:rFonts w:hint="eastAsia"/>
        </w:rPr>
        <w:t>的企业征信报告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企业工商登记档案</w:t>
      </w:r>
      <w:r>
        <w:rPr>
          <w:rFonts w:hint="eastAsia"/>
        </w:rPr>
        <w:t>，</w:t>
      </w:r>
      <w:r>
        <w:rPr>
          <w:rFonts w:hint="eastAsia"/>
          <w:lang w:val="en-US" w:eastAsia="zh-CN"/>
        </w:rPr>
        <w:t>及开户</w:t>
      </w:r>
      <w:r>
        <w:rPr>
          <w:rFonts w:hint="eastAsia"/>
        </w:rPr>
        <w:t>银行</w:t>
      </w:r>
      <w:r>
        <w:rPr>
          <w:rFonts w:hint="eastAsia"/>
          <w:lang w:val="en-US" w:eastAsia="zh-CN"/>
        </w:rPr>
        <w:t>的</w:t>
      </w:r>
      <w:r>
        <w:rPr>
          <w:rFonts w:hint="eastAsia"/>
        </w:rPr>
        <w:t>流水，</w:t>
      </w:r>
      <w:r>
        <w:rPr>
          <w:rFonts w:hint="eastAsia"/>
          <w:lang w:val="en-US" w:eastAsia="zh-CN"/>
        </w:rPr>
        <w:t>尚</w:t>
      </w:r>
      <w:r>
        <w:rPr>
          <w:rFonts w:hint="eastAsia"/>
        </w:rPr>
        <w:t>不</w:t>
      </w:r>
      <w:r>
        <w:rPr>
          <w:rFonts w:hint="eastAsia"/>
          <w:lang w:val="en-US" w:eastAsia="zh-CN"/>
        </w:rPr>
        <w:t>能</w:t>
      </w:r>
      <w:r>
        <w:rPr>
          <w:rFonts w:hint="eastAsia"/>
        </w:rPr>
        <w:t>排除</w:t>
      </w:r>
      <w:r>
        <w:rPr>
          <w:rFonts w:hint="eastAsia"/>
          <w:lang w:val="en-US" w:eastAsia="zh-CN"/>
        </w:rPr>
        <w:t>汉风生态园在实缴出资后又</w:t>
      </w:r>
      <w:r>
        <w:rPr>
          <w:rFonts w:hint="eastAsia"/>
        </w:rPr>
        <w:t>抽逃出资</w:t>
      </w:r>
      <w:r>
        <w:rPr>
          <w:rFonts w:hint="eastAsia"/>
          <w:lang w:val="en-US" w:eastAsia="zh-CN"/>
        </w:rPr>
        <w:t>或虚假出资</w:t>
      </w:r>
      <w:r>
        <w:rPr>
          <w:rFonts w:hint="eastAsia"/>
        </w:rPr>
        <w:t>的情况。若</w:t>
      </w:r>
      <w:r>
        <w:rPr>
          <w:rFonts w:hint="eastAsia"/>
          <w:lang w:val="en-US" w:eastAsia="zh-CN"/>
        </w:rPr>
        <w:t>汉风生态园</w:t>
      </w:r>
      <w:r>
        <w:rPr>
          <w:rFonts w:hint="eastAsia"/>
        </w:rPr>
        <w:t>存在抽逃出资</w:t>
      </w:r>
      <w:r>
        <w:rPr>
          <w:rFonts w:hint="eastAsia"/>
          <w:lang w:val="en-US" w:eastAsia="zh-CN"/>
        </w:rPr>
        <w:t>或虚假出资</w:t>
      </w:r>
      <w:r>
        <w:rPr>
          <w:rFonts w:hint="eastAsia"/>
        </w:rPr>
        <w:t>的情况，管理人将以书面形式通知债权人，不再另行开会告知。关于追缴抽逃出资</w:t>
      </w:r>
      <w:r>
        <w:rPr>
          <w:rFonts w:hint="eastAsia"/>
          <w:lang w:val="en-US" w:eastAsia="zh-CN"/>
        </w:rPr>
        <w:t>或虚假出资</w:t>
      </w:r>
      <w:r>
        <w:rPr>
          <w:rFonts w:hint="eastAsia"/>
        </w:rPr>
        <w:t>可能涉及的后续分配事宜，管理人将制作《财产分配方案》书面通知债权人，由债权人书面表决，按照表决通过的分配方案确定的方法、顺序予以分配。</w:t>
      </w:r>
    </w:p>
    <w:p w14:paraId="087AA3E9">
      <w:pPr>
        <w:pStyle w:val="2"/>
        <w:ind w:firstLine="560" w:firstLineChars="200"/>
        <w:rPr>
          <w:rFonts w:hint="eastAsia"/>
        </w:rPr>
      </w:pPr>
      <w:r>
        <w:rPr>
          <w:rFonts w:hint="eastAsia"/>
        </w:rPr>
        <w:t>若</w:t>
      </w:r>
      <w:r>
        <w:rPr>
          <w:rFonts w:hint="eastAsia"/>
          <w:lang w:val="en-US" w:eastAsia="zh-CN"/>
        </w:rPr>
        <w:t>汉风生态园</w:t>
      </w:r>
      <w:r>
        <w:rPr>
          <w:rFonts w:hint="eastAsia"/>
        </w:rPr>
        <w:t>存在抽逃出资</w:t>
      </w:r>
      <w:r>
        <w:rPr>
          <w:rFonts w:hint="eastAsia"/>
          <w:lang w:val="en-US" w:eastAsia="zh-CN"/>
        </w:rPr>
        <w:t>或虚假出资</w:t>
      </w:r>
      <w:r>
        <w:rPr>
          <w:rFonts w:hint="eastAsia"/>
        </w:rPr>
        <w:t>的情况，管理人将提起追缴抽逃出资</w:t>
      </w:r>
      <w:r>
        <w:rPr>
          <w:rFonts w:hint="eastAsia"/>
          <w:lang w:val="en-US" w:eastAsia="zh-CN"/>
        </w:rPr>
        <w:t>或虚假出资</w:t>
      </w:r>
      <w:r>
        <w:rPr>
          <w:rFonts w:hint="eastAsia"/>
        </w:rPr>
        <w:t>的诉讼。</w:t>
      </w:r>
      <w:r>
        <w:rPr>
          <w:rFonts w:hint="eastAsia"/>
          <w:lang w:val="en-US" w:eastAsia="zh-CN"/>
        </w:rPr>
        <w:t>因汉风生态园</w:t>
      </w:r>
      <w:r>
        <w:rPr>
          <w:rFonts w:hint="eastAsia"/>
        </w:rPr>
        <w:t>目前可供分配的破产财产</w:t>
      </w:r>
      <w:r>
        <w:rPr>
          <w:rFonts w:hint="eastAsia"/>
          <w:lang w:val="en-US" w:eastAsia="zh-CN"/>
        </w:rPr>
        <w:t>资金有限</w:t>
      </w:r>
      <w:r>
        <w:rPr>
          <w:rFonts w:hint="eastAsia"/>
        </w:rPr>
        <w:t>，若管理人提起追缴抽逃出资</w:t>
      </w:r>
      <w:r>
        <w:rPr>
          <w:rFonts w:hint="eastAsia"/>
          <w:lang w:val="en-US" w:eastAsia="zh-CN"/>
        </w:rPr>
        <w:t>或虚假出资</w:t>
      </w:r>
      <w:r>
        <w:rPr>
          <w:rFonts w:hint="eastAsia"/>
        </w:rPr>
        <w:t>的诉讼，</w:t>
      </w:r>
      <w:r>
        <w:rPr>
          <w:rFonts w:hint="eastAsia"/>
          <w:lang w:val="en-US" w:eastAsia="zh-CN"/>
        </w:rPr>
        <w:t>管理人将汉风生态园可供分配的财产优先支付诉讼费用，不足部分</w:t>
      </w:r>
      <w:r>
        <w:rPr>
          <w:rFonts w:hint="eastAsia"/>
        </w:rPr>
        <w:t>需由债权人垫付预计所需支出的案件受理费，债权人垫付的案件受理费将作为破产费用，在追回破产财产时优先受偿。</w:t>
      </w:r>
    </w:p>
    <w:p w14:paraId="11C390FA">
      <w:pPr>
        <w:pStyle w:val="2"/>
        <w:ind w:firstLine="560" w:firstLineChars="200"/>
        <w:rPr>
          <w:rFonts w:hint="eastAsia"/>
          <w:lang w:eastAsia="zh-CN"/>
        </w:rPr>
      </w:pPr>
      <w:r>
        <w:rPr>
          <w:rFonts w:hint="eastAsia"/>
        </w:rPr>
        <w:t>在管理人指定的垫付期限内无债权人垫付或垫付费用不足的处理</w:t>
      </w:r>
      <w:r>
        <w:rPr>
          <w:rFonts w:hint="eastAsia"/>
          <w:lang w:eastAsia="zh-CN"/>
        </w:rPr>
        <w:t>：</w:t>
      </w:r>
    </w:p>
    <w:p w14:paraId="507B8A26">
      <w:pPr>
        <w:pStyle w:val="2"/>
        <w:ind w:firstLine="560" w:firstLineChars="200"/>
        <w:rPr>
          <w:rFonts w:hint="eastAsia"/>
        </w:rPr>
      </w:pPr>
      <w:r>
        <w:rPr>
          <w:rFonts w:hint="eastAsia"/>
        </w:rPr>
        <w:t>（1）若债权人同意提起追缴抽逃出资</w:t>
      </w:r>
      <w:r>
        <w:rPr>
          <w:rFonts w:hint="eastAsia"/>
          <w:lang w:val="en-US" w:eastAsia="zh-CN"/>
        </w:rPr>
        <w:t>或虚假出资的</w:t>
      </w:r>
      <w:r>
        <w:rPr>
          <w:rFonts w:hint="eastAsia"/>
        </w:rPr>
        <w:t>诉讼，并同意垫付预计的诉讼费用的，债权人应当在收到管理人书面通知起3日内向管理人提供一审的诉讼费用。</w:t>
      </w:r>
    </w:p>
    <w:p w14:paraId="424602C0">
      <w:pPr>
        <w:pStyle w:val="2"/>
        <w:ind w:firstLine="560" w:firstLineChars="200"/>
      </w:pPr>
      <w:r>
        <w:rPr>
          <w:rFonts w:hint="eastAsia"/>
        </w:rPr>
        <w:t>（2）如在管理人指定的上述垫付期限内，无债权人垫付费用，视为债权人不同意由管理人提起追缴抽逃出资</w:t>
      </w:r>
      <w:r>
        <w:rPr>
          <w:rFonts w:hint="eastAsia"/>
          <w:lang w:val="en-US" w:eastAsia="zh-CN"/>
        </w:rPr>
        <w:t>或虚假出资</w:t>
      </w:r>
      <w:r>
        <w:rPr>
          <w:rFonts w:hint="eastAsia"/>
        </w:rPr>
        <w:t>诉讼，管理人将不再提起追缴抽逃出资</w:t>
      </w:r>
      <w:r>
        <w:rPr>
          <w:rFonts w:hint="eastAsia"/>
          <w:lang w:val="en-US" w:eastAsia="zh-CN"/>
        </w:rPr>
        <w:t>或虚假出资</w:t>
      </w:r>
      <w:r>
        <w:rPr>
          <w:rFonts w:hint="eastAsia"/>
        </w:rPr>
        <w:t>的诉讼。</w:t>
      </w:r>
    </w:p>
    <w:p w14:paraId="1C1D72FC">
      <w:pPr>
        <w:pStyle w:val="2"/>
        <w:ind w:firstLine="56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汉风生态园无无形资产。</w:t>
      </w:r>
    </w:p>
    <w:p w14:paraId="4D73C7A4">
      <w:pPr>
        <w:ind w:left="0" w:leftChars="0" w:firstLine="560" w:firstLineChars="200"/>
        <w:rPr>
          <w:rFonts w:hint="eastAsia"/>
        </w:rPr>
      </w:pPr>
    </w:p>
    <w:p w14:paraId="00BCB0AF">
      <w:pPr>
        <w:ind w:left="0" w:leftChars="0" w:firstLine="560" w:firstLineChars="200"/>
        <w:rPr>
          <w:rFonts w:hint="eastAsia" w:eastAsia="仿宋"/>
          <w:lang w:eastAsia="zh-CN"/>
        </w:rPr>
      </w:pPr>
      <w:r>
        <w:rPr>
          <w:rFonts w:hint="eastAsia"/>
        </w:rPr>
        <w:t>以上报告内容，提请债权人会议审议</w:t>
      </w:r>
      <w:r>
        <w:rPr>
          <w:rFonts w:hint="eastAsia"/>
          <w:lang w:eastAsia="zh-CN"/>
        </w:rPr>
        <w:t>。</w:t>
      </w:r>
    </w:p>
    <w:p w14:paraId="6A479682">
      <w:pPr>
        <w:ind w:left="560" w:leftChars="200"/>
        <w:jc w:val="right"/>
      </w:pPr>
    </w:p>
    <w:p w14:paraId="7654B57F">
      <w:pPr>
        <w:ind w:left="560" w:leftChars="200"/>
        <w:jc w:val="right"/>
      </w:pPr>
      <w:r>
        <w:rPr>
          <w:rFonts w:hint="eastAsia"/>
          <w:b w:val="0"/>
          <w:bCs w:val="0"/>
          <w:lang w:val="en-US" w:eastAsia="zh-CN"/>
        </w:rPr>
        <w:t>汉风生态园大名县有限公司</w:t>
      </w:r>
      <w:r>
        <w:rPr>
          <w:rFonts w:hint="eastAsia"/>
        </w:rPr>
        <w:t>管理人</w:t>
      </w:r>
    </w:p>
    <w:p w14:paraId="0A9381CC">
      <w:pPr>
        <w:ind w:left="560" w:leftChars="200"/>
        <w:jc w:val="center"/>
      </w:pPr>
      <w:r>
        <w:rPr>
          <w:rFonts w:hint="eastAsia"/>
        </w:rPr>
        <w:t xml:space="preserve">                          二〇二四年</w:t>
      </w:r>
      <w:r>
        <w:rPr>
          <w:rFonts w:hint="eastAsia"/>
          <w:lang w:val="en-US" w:eastAsia="zh-CN"/>
        </w:rPr>
        <w:t>八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十二</w:t>
      </w:r>
      <w:r>
        <w:rPr>
          <w:rFonts w:hint="eastAsia"/>
        </w:rPr>
        <w:t>日</w:t>
      </w:r>
    </w:p>
    <w:p w14:paraId="78F9DC32"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E1DEB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F46C080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F46C080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kOTNhNzU2N2ZlZDU3NjY2NzI2YjBhMWQxMjUwNzQifQ=="/>
  </w:docVars>
  <w:rsids>
    <w:rsidRoot w:val="36B90512"/>
    <w:rsid w:val="0204742C"/>
    <w:rsid w:val="038720C2"/>
    <w:rsid w:val="03F72467"/>
    <w:rsid w:val="0C006EB6"/>
    <w:rsid w:val="0D3745F5"/>
    <w:rsid w:val="12D22C2E"/>
    <w:rsid w:val="13A50343"/>
    <w:rsid w:val="153100E0"/>
    <w:rsid w:val="190C28D4"/>
    <w:rsid w:val="193D65B0"/>
    <w:rsid w:val="1966128B"/>
    <w:rsid w:val="198938FB"/>
    <w:rsid w:val="1B137416"/>
    <w:rsid w:val="1CE11E5E"/>
    <w:rsid w:val="1EE02EC6"/>
    <w:rsid w:val="202A40A9"/>
    <w:rsid w:val="21BC068A"/>
    <w:rsid w:val="254734B9"/>
    <w:rsid w:val="27A426D0"/>
    <w:rsid w:val="27CB3BE1"/>
    <w:rsid w:val="28FB2A87"/>
    <w:rsid w:val="2A6D1762"/>
    <w:rsid w:val="36B90512"/>
    <w:rsid w:val="3A05552C"/>
    <w:rsid w:val="3F486303"/>
    <w:rsid w:val="43252782"/>
    <w:rsid w:val="4497145E"/>
    <w:rsid w:val="46BB51AC"/>
    <w:rsid w:val="4DC94652"/>
    <w:rsid w:val="4ECC264C"/>
    <w:rsid w:val="519F5DF6"/>
    <w:rsid w:val="51B86EB8"/>
    <w:rsid w:val="530C1269"/>
    <w:rsid w:val="54CF1025"/>
    <w:rsid w:val="55FB1060"/>
    <w:rsid w:val="58823D7B"/>
    <w:rsid w:val="5B876D01"/>
    <w:rsid w:val="5D641CA2"/>
    <w:rsid w:val="6C467142"/>
    <w:rsid w:val="6D9A32D4"/>
    <w:rsid w:val="6DE24592"/>
    <w:rsid w:val="6E46167B"/>
    <w:rsid w:val="734E63BA"/>
    <w:rsid w:val="74597E7C"/>
    <w:rsid w:val="75596138"/>
    <w:rsid w:val="75F508A8"/>
    <w:rsid w:val="7836450F"/>
    <w:rsid w:val="79252E72"/>
    <w:rsid w:val="AEB93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" w:cstheme="minorBidi"/>
      <w:kern w:val="2"/>
      <w:sz w:val="28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</w:pPr>
    <w:rPr>
      <w:rFonts w:ascii="楷体_GB2312" w:hAnsi="楷体_GB2312"/>
      <w:kern w:val="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1"/>
    <w:qFormat/>
    <w:uiPriority w:val="0"/>
    <w:pPr>
      <w:pBdr>
        <w:top w:val="none" w:color="auto" w:sz="0" w:space="1"/>
        <w:left w:val="none" w:color="auto" w:sz="0" w:space="4"/>
        <w:bottom w:val="none" w:color="4874CB" w:themeColor="accent1" w:sz="0" w:space="4"/>
        <w:right w:val="none" w:color="auto" w:sz="0" w:space="4"/>
      </w:pBdr>
      <w:contextualSpacing/>
      <w:jc w:val="center"/>
    </w:pPr>
    <w:rPr>
      <w:rFonts w:eastAsia="黑体" w:asciiTheme="majorHAnsi" w:hAnsiTheme="majorHAnsi" w:cstheme="majorBidi"/>
      <w:b/>
      <w:color w:val="000000" w:themeColor="text1"/>
      <w:spacing w:val="5"/>
      <w:sz w:val="36"/>
      <w:szCs w:val="52"/>
      <w14:textFill>
        <w14:solidFill>
          <w14:schemeClr w14:val="tx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1740</Words>
  <Characters>1781</Characters>
  <Lines>0</Lines>
  <Paragraphs>0</Paragraphs>
  <TotalTime>36</TotalTime>
  <ScaleCrop>false</ScaleCrop>
  <LinksUpToDate>false</LinksUpToDate>
  <CharactersWithSpaces>1873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2024-08-05T15:21:00Z</dcterms:created>
  <dc:creator>A折腾女王大璇</dc:creator>
  <cp:lastModifiedBy>A折腾女王大璇</cp:lastModifiedBy>
  <dcterms:modified xsi:type="dcterms:W3CDTF">2024-08-11T11:35:12Z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D4DCD0769E504D5EA0861F5ADA381EE0_13</vt:lpwstr>
  </property>
</Properties>
</file>