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D3D6F6">
      <w:pPr>
        <w:jc w:val="center"/>
        <w:rPr>
          <w:rFonts w:ascii="黑体" w:hAnsi="黑体" w:eastAsia="黑体"/>
          <w:b/>
          <w:bCs/>
          <w:sz w:val="36"/>
          <w:szCs w:val="36"/>
        </w:rPr>
      </w:pPr>
      <w:r>
        <w:rPr>
          <w:rFonts w:hint="eastAsia" w:ascii="黑体" w:hAnsi="黑体" w:eastAsia="黑体"/>
          <w:b/>
          <w:bCs/>
          <w:sz w:val="36"/>
          <w:szCs w:val="36"/>
          <w:lang w:eastAsia="zh-CN"/>
        </w:rPr>
        <w:t>成都市鑫河国际酒店有限公司</w:t>
      </w:r>
      <w:r>
        <w:rPr>
          <w:rFonts w:hint="eastAsia" w:ascii="黑体" w:hAnsi="黑体" w:eastAsia="黑体"/>
          <w:b/>
          <w:bCs/>
          <w:sz w:val="36"/>
          <w:szCs w:val="36"/>
          <w:lang w:val="en-US" w:eastAsia="zh-CN"/>
        </w:rPr>
        <w:t>破产清算</w:t>
      </w:r>
      <w:r>
        <w:rPr>
          <w:rFonts w:hint="eastAsia" w:ascii="黑体" w:hAnsi="黑体" w:eastAsia="黑体"/>
          <w:b/>
          <w:bCs/>
          <w:sz w:val="36"/>
          <w:szCs w:val="36"/>
        </w:rPr>
        <w:t>案</w:t>
      </w:r>
    </w:p>
    <w:p w14:paraId="7FC127A9">
      <w:pPr>
        <w:jc w:val="center"/>
        <w:rPr>
          <w:rFonts w:ascii="黑体" w:hAnsi="黑体" w:eastAsia="黑体"/>
          <w:b/>
          <w:bCs/>
          <w:sz w:val="36"/>
          <w:szCs w:val="36"/>
        </w:rPr>
      </w:pPr>
      <w:r>
        <w:rPr>
          <w:rFonts w:hint="eastAsia" w:ascii="黑体" w:hAnsi="黑体" w:eastAsia="黑体"/>
          <w:b/>
          <w:bCs/>
          <w:sz w:val="36"/>
          <w:szCs w:val="36"/>
          <w:lang w:val="en-US" w:eastAsia="zh-CN"/>
        </w:rPr>
        <w:t>关于选聘评估</w:t>
      </w:r>
      <w:r>
        <w:rPr>
          <w:rFonts w:hint="eastAsia" w:ascii="黑体" w:hAnsi="黑体" w:eastAsia="黑体"/>
          <w:b/>
          <w:bCs/>
          <w:sz w:val="36"/>
          <w:szCs w:val="36"/>
        </w:rPr>
        <w:t>机构</w:t>
      </w:r>
      <w:r>
        <w:rPr>
          <w:rFonts w:hint="eastAsia" w:ascii="黑体" w:hAnsi="黑体" w:eastAsia="黑体"/>
          <w:b/>
          <w:bCs/>
          <w:sz w:val="36"/>
          <w:szCs w:val="36"/>
          <w:lang w:val="en-US" w:eastAsia="zh-CN"/>
        </w:rPr>
        <w:t>的</w:t>
      </w:r>
      <w:r>
        <w:rPr>
          <w:rFonts w:hint="eastAsia" w:ascii="黑体" w:hAnsi="黑体" w:eastAsia="黑体"/>
          <w:b/>
          <w:bCs/>
          <w:sz w:val="36"/>
          <w:szCs w:val="36"/>
        </w:rPr>
        <w:t>比选公告</w:t>
      </w:r>
    </w:p>
    <w:p w14:paraId="31369E5C">
      <w:pPr>
        <w:keepNext w:val="0"/>
        <w:keepLines w:val="0"/>
        <w:pageBreakBefore w:val="0"/>
        <w:widowControl w:val="0"/>
        <w:kinsoku/>
        <w:wordWrap/>
        <w:overflowPunct/>
        <w:topLinePunct w:val="0"/>
        <w:autoSpaceDE/>
        <w:autoSpaceDN/>
        <w:bidi w:val="0"/>
        <w:adjustRightInd/>
        <w:snapToGrid w:val="0"/>
        <w:spacing w:line="610" w:lineRule="exact"/>
        <w:ind w:firstLine="640" w:firstLineChars="200"/>
        <w:textAlignment w:val="auto"/>
        <w:rPr>
          <w:rFonts w:hint="eastAsia" w:ascii="方正仿宋_GB2312" w:hAnsi="方正仿宋_GB2312" w:eastAsia="方正仿宋_GB2312" w:cs="方正仿宋_GB2312"/>
          <w:color w:val="auto"/>
          <w:sz w:val="32"/>
          <w:szCs w:val="32"/>
          <w:highlight w:val="none"/>
        </w:rPr>
      </w:pPr>
      <w:r>
        <w:rPr>
          <w:rFonts w:hint="eastAsia" w:ascii="方正仿宋_GB2312" w:hAnsi="方正仿宋_GB2312" w:eastAsia="方正仿宋_GB2312" w:cs="方正仿宋_GB2312"/>
          <w:color w:val="auto"/>
          <w:sz w:val="32"/>
          <w:szCs w:val="32"/>
          <w:highlight w:val="none"/>
        </w:rPr>
        <w:t>202</w:t>
      </w:r>
      <w:r>
        <w:rPr>
          <w:rFonts w:hint="eastAsia" w:ascii="方正仿宋_GB2312" w:hAnsi="方正仿宋_GB2312" w:eastAsia="方正仿宋_GB2312" w:cs="方正仿宋_GB2312"/>
          <w:color w:val="auto"/>
          <w:sz w:val="32"/>
          <w:szCs w:val="32"/>
          <w:highlight w:val="none"/>
          <w:lang w:val="en-US" w:eastAsia="zh-CN"/>
        </w:rPr>
        <w:t>3</w:t>
      </w:r>
      <w:r>
        <w:rPr>
          <w:rFonts w:hint="eastAsia" w:ascii="方正仿宋_GB2312" w:hAnsi="方正仿宋_GB2312" w:eastAsia="方正仿宋_GB2312" w:cs="方正仿宋_GB2312"/>
          <w:color w:val="auto"/>
          <w:sz w:val="32"/>
          <w:szCs w:val="32"/>
          <w:highlight w:val="none"/>
        </w:rPr>
        <w:t>年</w:t>
      </w:r>
      <w:r>
        <w:rPr>
          <w:rFonts w:hint="eastAsia" w:ascii="方正仿宋_GB2312" w:hAnsi="方正仿宋_GB2312" w:eastAsia="方正仿宋_GB2312" w:cs="方正仿宋_GB2312"/>
          <w:color w:val="auto"/>
          <w:sz w:val="32"/>
          <w:szCs w:val="32"/>
          <w:highlight w:val="none"/>
          <w:lang w:val="en-US" w:eastAsia="zh-CN"/>
        </w:rPr>
        <w:t>11</w:t>
      </w:r>
      <w:r>
        <w:rPr>
          <w:rFonts w:hint="eastAsia" w:ascii="方正仿宋_GB2312" w:hAnsi="方正仿宋_GB2312" w:eastAsia="方正仿宋_GB2312" w:cs="方正仿宋_GB2312"/>
          <w:color w:val="auto"/>
          <w:sz w:val="32"/>
          <w:szCs w:val="32"/>
          <w:highlight w:val="none"/>
        </w:rPr>
        <w:t>月</w:t>
      </w:r>
      <w:r>
        <w:rPr>
          <w:rFonts w:hint="eastAsia" w:ascii="方正仿宋_GB2312" w:hAnsi="方正仿宋_GB2312" w:eastAsia="方正仿宋_GB2312" w:cs="方正仿宋_GB2312"/>
          <w:color w:val="auto"/>
          <w:sz w:val="32"/>
          <w:szCs w:val="32"/>
          <w:highlight w:val="none"/>
          <w:lang w:val="en-US" w:eastAsia="zh-CN"/>
        </w:rPr>
        <w:t>23</w:t>
      </w:r>
      <w:r>
        <w:rPr>
          <w:rFonts w:hint="eastAsia" w:ascii="方正仿宋_GB2312" w:hAnsi="方正仿宋_GB2312" w:eastAsia="方正仿宋_GB2312" w:cs="方正仿宋_GB2312"/>
          <w:color w:val="auto"/>
          <w:sz w:val="32"/>
          <w:szCs w:val="32"/>
          <w:highlight w:val="none"/>
        </w:rPr>
        <w:t>日，四川省</w:t>
      </w:r>
      <w:r>
        <w:rPr>
          <w:rFonts w:hint="eastAsia" w:ascii="方正仿宋_GB2312" w:hAnsi="方正仿宋_GB2312" w:eastAsia="方正仿宋_GB2312" w:cs="方正仿宋_GB2312"/>
          <w:color w:val="auto"/>
          <w:sz w:val="32"/>
          <w:szCs w:val="32"/>
          <w:highlight w:val="none"/>
          <w:lang w:val="en-US" w:eastAsia="zh-CN"/>
        </w:rPr>
        <w:t>大邑县</w:t>
      </w:r>
      <w:r>
        <w:rPr>
          <w:rFonts w:hint="eastAsia" w:ascii="方正仿宋_GB2312" w:hAnsi="方正仿宋_GB2312" w:eastAsia="方正仿宋_GB2312" w:cs="方正仿宋_GB2312"/>
          <w:color w:val="auto"/>
          <w:sz w:val="32"/>
          <w:szCs w:val="32"/>
          <w:highlight w:val="none"/>
        </w:rPr>
        <w:t>人民法院（以下简称“</w:t>
      </w:r>
      <w:r>
        <w:rPr>
          <w:rFonts w:hint="eastAsia" w:ascii="方正仿宋_GB2312" w:hAnsi="方正仿宋_GB2312" w:eastAsia="方正仿宋_GB2312" w:cs="方正仿宋_GB2312"/>
          <w:color w:val="auto"/>
          <w:sz w:val="32"/>
          <w:szCs w:val="32"/>
          <w:highlight w:val="none"/>
          <w:lang w:val="en-US" w:eastAsia="zh-CN"/>
        </w:rPr>
        <w:t>大邑县人民法院</w:t>
      </w:r>
      <w:r>
        <w:rPr>
          <w:rFonts w:hint="eastAsia" w:ascii="方正仿宋_GB2312" w:hAnsi="方正仿宋_GB2312" w:eastAsia="方正仿宋_GB2312" w:cs="方正仿宋_GB2312"/>
          <w:color w:val="auto"/>
          <w:sz w:val="32"/>
          <w:szCs w:val="32"/>
          <w:highlight w:val="none"/>
        </w:rPr>
        <w:t>”）作出</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rPr>
        <w:t>202</w:t>
      </w:r>
      <w:r>
        <w:rPr>
          <w:rFonts w:hint="eastAsia" w:ascii="方正仿宋_GB2312" w:hAnsi="方正仿宋_GB2312" w:eastAsia="方正仿宋_GB2312" w:cs="方正仿宋_GB2312"/>
          <w:color w:val="auto"/>
          <w:sz w:val="32"/>
          <w:szCs w:val="32"/>
          <w:highlight w:val="none"/>
          <w:lang w:val="en-US" w:eastAsia="zh-CN"/>
        </w:rPr>
        <w:t>3）</w:t>
      </w:r>
      <w:r>
        <w:rPr>
          <w:rFonts w:hint="eastAsia" w:ascii="方正仿宋_GB2312" w:hAnsi="方正仿宋_GB2312" w:eastAsia="方正仿宋_GB2312" w:cs="方正仿宋_GB2312"/>
          <w:color w:val="auto"/>
          <w:sz w:val="32"/>
          <w:szCs w:val="32"/>
          <w:highlight w:val="none"/>
        </w:rPr>
        <w:t>川</w:t>
      </w:r>
      <w:r>
        <w:rPr>
          <w:rFonts w:hint="eastAsia" w:ascii="方正仿宋_GB2312" w:hAnsi="方正仿宋_GB2312" w:eastAsia="方正仿宋_GB2312" w:cs="方正仿宋_GB2312"/>
          <w:color w:val="auto"/>
          <w:sz w:val="32"/>
          <w:szCs w:val="32"/>
          <w:highlight w:val="none"/>
          <w:lang w:val="en-US" w:eastAsia="zh-CN"/>
        </w:rPr>
        <w:t>0129</w:t>
      </w:r>
      <w:r>
        <w:rPr>
          <w:rFonts w:hint="eastAsia" w:ascii="方正仿宋_GB2312" w:hAnsi="方正仿宋_GB2312" w:eastAsia="方正仿宋_GB2312" w:cs="方正仿宋_GB2312"/>
          <w:color w:val="auto"/>
          <w:sz w:val="32"/>
          <w:szCs w:val="32"/>
          <w:highlight w:val="none"/>
        </w:rPr>
        <w:t>破申</w:t>
      </w:r>
      <w:r>
        <w:rPr>
          <w:rFonts w:hint="eastAsia" w:ascii="方正仿宋_GB2312" w:hAnsi="方正仿宋_GB2312" w:eastAsia="方正仿宋_GB2312" w:cs="方正仿宋_GB2312"/>
          <w:color w:val="auto"/>
          <w:sz w:val="32"/>
          <w:szCs w:val="32"/>
          <w:highlight w:val="none"/>
          <w:lang w:val="en-US" w:eastAsia="zh-CN"/>
        </w:rPr>
        <w:t>8</w:t>
      </w:r>
      <w:r>
        <w:rPr>
          <w:rFonts w:hint="eastAsia" w:ascii="方正仿宋_GB2312" w:hAnsi="方正仿宋_GB2312" w:eastAsia="方正仿宋_GB2312" w:cs="方正仿宋_GB2312"/>
          <w:color w:val="auto"/>
          <w:sz w:val="32"/>
          <w:szCs w:val="32"/>
          <w:highlight w:val="none"/>
        </w:rPr>
        <w:t>号《民事裁定书》，</w:t>
      </w:r>
      <w:r>
        <w:rPr>
          <w:rFonts w:hint="eastAsia" w:ascii="方正仿宋_GB2312" w:hAnsi="方正仿宋_GB2312" w:eastAsia="方正仿宋_GB2312" w:cs="方正仿宋_GB2312"/>
          <w:color w:val="auto"/>
          <w:sz w:val="32"/>
          <w:szCs w:val="32"/>
          <w:highlight w:val="none"/>
          <w:lang w:val="en-US" w:eastAsia="zh-CN"/>
        </w:rPr>
        <w:t>依法</w:t>
      </w:r>
      <w:r>
        <w:rPr>
          <w:rFonts w:hint="eastAsia" w:ascii="方正仿宋_GB2312" w:hAnsi="方正仿宋_GB2312" w:eastAsia="方正仿宋_GB2312" w:cs="方正仿宋_GB2312"/>
          <w:color w:val="auto"/>
          <w:sz w:val="32"/>
          <w:szCs w:val="32"/>
          <w:highlight w:val="none"/>
        </w:rPr>
        <w:t>裁定受理</w:t>
      </w:r>
      <w:r>
        <w:rPr>
          <w:rFonts w:hint="eastAsia" w:ascii="方正仿宋_GB2312" w:hAnsi="方正仿宋_GB2312" w:eastAsia="方正仿宋_GB2312" w:cs="方正仿宋_GB2312"/>
          <w:color w:val="auto"/>
          <w:sz w:val="32"/>
          <w:szCs w:val="32"/>
          <w:highlight w:val="none"/>
          <w:lang w:val="en-US" w:eastAsia="zh-CN"/>
        </w:rPr>
        <w:t>成都市鑫河国际酒店有限公司（</w:t>
      </w:r>
      <w:r>
        <w:rPr>
          <w:rFonts w:hint="eastAsia" w:ascii="方正仿宋_GB2312" w:hAnsi="方正仿宋_GB2312" w:eastAsia="方正仿宋_GB2312" w:cs="方正仿宋_GB2312"/>
          <w:color w:val="auto"/>
          <w:sz w:val="32"/>
          <w:szCs w:val="32"/>
          <w:highlight w:val="none"/>
        </w:rPr>
        <w:t>以下简称“债务人”“公司”或“鑫河公司”</w:t>
      </w:r>
      <w:r>
        <w:rPr>
          <w:rFonts w:hint="eastAsia" w:ascii="方正仿宋_GB2312" w:hAnsi="方正仿宋_GB2312" w:eastAsia="方正仿宋_GB2312" w:cs="方正仿宋_GB2312"/>
          <w:color w:val="auto"/>
          <w:sz w:val="32"/>
          <w:szCs w:val="32"/>
          <w:highlight w:val="none"/>
          <w:lang w:val="en-US" w:eastAsia="zh-CN"/>
        </w:rPr>
        <w:t>）的破产</w:t>
      </w:r>
      <w:r>
        <w:rPr>
          <w:rFonts w:hint="eastAsia" w:ascii="方正仿宋_GB2312" w:hAnsi="方正仿宋_GB2312" w:eastAsia="方正仿宋_GB2312" w:cs="方正仿宋_GB2312"/>
          <w:color w:val="auto"/>
          <w:sz w:val="32"/>
          <w:szCs w:val="32"/>
          <w:highlight w:val="none"/>
        </w:rPr>
        <w:t>清算申请，并</w:t>
      </w:r>
      <w:r>
        <w:rPr>
          <w:rFonts w:hint="eastAsia" w:ascii="方正仿宋_GB2312" w:hAnsi="方正仿宋_GB2312" w:eastAsia="方正仿宋_GB2312" w:cs="方正仿宋_GB2312"/>
          <w:color w:val="auto"/>
          <w:sz w:val="32"/>
          <w:szCs w:val="32"/>
          <w:highlight w:val="none"/>
          <w:lang w:val="en-US" w:eastAsia="zh-CN"/>
        </w:rPr>
        <w:t>于2023年12月13日作出（2023）川0129破8号《决定书》，</w:t>
      </w:r>
      <w:r>
        <w:rPr>
          <w:rFonts w:hint="eastAsia" w:ascii="方正仿宋_GB2312" w:hAnsi="方正仿宋_GB2312" w:eastAsia="方正仿宋_GB2312" w:cs="方正仿宋_GB2312"/>
          <w:color w:val="auto"/>
          <w:sz w:val="32"/>
          <w:szCs w:val="32"/>
          <w:highlight w:val="none"/>
        </w:rPr>
        <w:t>指定</w:t>
      </w:r>
      <w:r>
        <w:rPr>
          <w:rFonts w:hint="eastAsia" w:ascii="方正仿宋_GB2312" w:hAnsi="方正仿宋_GB2312" w:eastAsia="方正仿宋_GB2312" w:cs="方正仿宋_GB2312"/>
          <w:color w:val="auto"/>
          <w:sz w:val="32"/>
          <w:szCs w:val="32"/>
          <w:highlight w:val="none"/>
          <w:lang w:val="en-US" w:eastAsia="zh-CN"/>
        </w:rPr>
        <w:t>北京中银（成都）律师事务所、四川华强会计师事务所有限公司</w:t>
      </w:r>
      <w:r>
        <w:rPr>
          <w:rFonts w:hint="eastAsia" w:ascii="方正仿宋_GB2312" w:hAnsi="方正仿宋_GB2312" w:eastAsia="方正仿宋_GB2312" w:cs="方正仿宋_GB2312"/>
          <w:color w:val="auto"/>
          <w:sz w:val="32"/>
          <w:szCs w:val="32"/>
          <w:highlight w:val="none"/>
        </w:rPr>
        <w:t>担任</w:t>
      </w:r>
      <w:r>
        <w:rPr>
          <w:rFonts w:hint="eastAsia" w:ascii="方正仿宋_GB2312" w:hAnsi="方正仿宋_GB2312" w:eastAsia="方正仿宋_GB2312" w:cs="方正仿宋_GB2312"/>
          <w:color w:val="auto"/>
          <w:sz w:val="32"/>
          <w:szCs w:val="32"/>
          <w:highlight w:val="none"/>
          <w:lang w:val="en-US" w:eastAsia="zh-CN"/>
        </w:rPr>
        <w:t>鑫河公司</w:t>
      </w:r>
      <w:r>
        <w:rPr>
          <w:rFonts w:hint="eastAsia" w:ascii="方正仿宋_GB2312" w:hAnsi="方正仿宋_GB2312" w:eastAsia="方正仿宋_GB2312" w:cs="方正仿宋_GB2312"/>
          <w:color w:val="auto"/>
          <w:sz w:val="32"/>
          <w:szCs w:val="32"/>
          <w:highlight w:val="none"/>
        </w:rPr>
        <w:t>管理人。</w:t>
      </w:r>
    </w:p>
    <w:p w14:paraId="3CB4A53A">
      <w:pPr>
        <w:keepNext w:val="0"/>
        <w:keepLines w:val="0"/>
        <w:pageBreakBefore w:val="0"/>
        <w:widowControl w:val="0"/>
        <w:kinsoku/>
        <w:wordWrap/>
        <w:overflowPunct/>
        <w:topLinePunct w:val="0"/>
        <w:autoSpaceDE/>
        <w:autoSpaceDN/>
        <w:bidi w:val="0"/>
        <w:adjustRightInd/>
        <w:snapToGrid w:val="0"/>
        <w:spacing w:line="610" w:lineRule="exact"/>
        <w:ind w:firstLine="640" w:firstLineChars="200"/>
        <w:textAlignment w:val="auto"/>
        <w:rPr>
          <w:rFonts w:hint="eastAsia" w:ascii="方正仿宋_GB2312" w:hAnsi="方正仿宋_GB2312" w:eastAsia="方正仿宋_GB2312" w:cs="方正仿宋_GB2312"/>
          <w:color w:val="auto"/>
          <w:sz w:val="32"/>
          <w:szCs w:val="32"/>
          <w:highlight w:val="none"/>
          <w:lang w:val="en-US" w:eastAsia="zh-CN"/>
        </w:rPr>
      </w:pPr>
      <w:r>
        <w:rPr>
          <w:rFonts w:hint="eastAsia" w:ascii="方正仿宋_GB2312" w:hAnsi="方正仿宋_GB2312" w:eastAsia="方正仿宋_GB2312" w:cs="方正仿宋_GB2312"/>
          <w:color w:val="auto"/>
          <w:sz w:val="32"/>
          <w:szCs w:val="32"/>
          <w:highlight w:val="none"/>
          <w:lang w:val="en-US" w:eastAsia="zh-CN"/>
        </w:rPr>
        <w:t>根据破产工作需要，管理人拟通过比选方式确定一家评估机构对鑫河公司主要资产鑫河酒店做重置成本评估。现就具体比选事宜公告如下：</w:t>
      </w:r>
    </w:p>
    <w:p w14:paraId="0023F6D9">
      <w:pPr>
        <w:keepNext w:val="0"/>
        <w:keepLines w:val="0"/>
        <w:pageBreakBefore w:val="0"/>
        <w:widowControl w:val="0"/>
        <w:numPr>
          <w:ilvl w:val="0"/>
          <w:numId w:val="1"/>
        </w:numPr>
        <w:kinsoku/>
        <w:wordWrap/>
        <w:overflowPunct/>
        <w:topLinePunct w:val="0"/>
        <w:autoSpaceDE/>
        <w:autoSpaceDN/>
        <w:bidi w:val="0"/>
        <w:adjustRightInd w:val="0"/>
        <w:snapToGrid w:val="0"/>
        <w:spacing w:line="610" w:lineRule="exact"/>
        <w:ind w:firstLine="643" w:firstLineChars="200"/>
        <w:jc w:val="left"/>
        <w:textAlignment w:val="auto"/>
        <w:outlineLvl w:val="0"/>
        <w:rPr>
          <w:rFonts w:hint="eastAsia" w:ascii="方正仿宋_GB2312" w:hAnsi="方正仿宋_GB2312" w:eastAsia="方正仿宋_GB2312" w:cs="方正仿宋_GB2312"/>
          <w:b/>
          <w:bCs/>
          <w:color w:val="auto"/>
          <w:sz w:val="32"/>
          <w:szCs w:val="32"/>
        </w:rPr>
      </w:pPr>
      <w:bookmarkStart w:id="0" w:name="_Toc13532"/>
      <w:bookmarkStart w:id="1" w:name="_Toc31806"/>
      <w:bookmarkStart w:id="2" w:name="_Toc1905"/>
      <w:bookmarkStart w:id="3" w:name="_Toc10268"/>
      <w:r>
        <w:rPr>
          <w:rFonts w:hint="eastAsia" w:ascii="方正仿宋_GB2312" w:hAnsi="方正仿宋_GB2312" w:eastAsia="方正仿宋_GB2312" w:cs="方正仿宋_GB2312"/>
          <w:b/>
          <w:bCs/>
          <w:color w:val="auto"/>
          <w:sz w:val="32"/>
          <w:szCs w:val="32"/>
        </w:rPr>
        <w:t>债务人基本情况</w:t>
      </w:r>
      <w:bookmarkEnd w:id="0"/>
      <w:bookmarkEnd w:id="1"/>
      <w:bookmarkEnd w:id="2"/>
      <w:bookmarkEnd w:id="3"/>
    </w:p>
    <w:p w14:paraId="7CD923D5">
      <w:pPr>
        <w:keepNext w:val="0"/>
        <w:keepLines w:val="0"/>
        <w:pageBreakBefore w:val="0"/>
        <w:widowControl w:val="0"/>
        <w:numPr>
          <w:ilvl w:val="0"/>
          <w:numId w:val="2"/>
        </w:numPr>
        <w:kinsoku/>
        <w:wordWrap/>
        <w:overflowPunct/>
        <w:topLinePunct w:val="0"/>
        <w:autoSpaceDE/>
        <w:autoSpaceDN/>
        <w:bidi w:val="0"/>
        <w:adjustRightInd w:val="0"/>
        <w:snapToGrid w:val="0"/>
        <w:spacing w:line="610" w:lineRule="exact"/>
        <w:ind w:firstLine="643" w:firstLineChars="200"/>
        <w:jc w:val="left"/>
        <w:textAlignment w:val="auto"/>
        <w:rPr>
          <w:rFonts w:hint="eastAsia" w:ascii="方正仿宋_GB2312" w:hAnsi="方正仿宋_GB2312" w:eastAsia="方正仿宋_GB2312" w:cs="方正仿宋_GB2312"/>
          <w:b/>
          <w:bCs/>
          <w:color w:val="auto"/>
          <w:sz w:val="32"/>
          <w:szCs w:val="32"/>
        </w:rPr>
      </w:pPr>
      <w:r>
        <w:rPr>
          <w:rFonts w:hint="eastAsia" w:ascii="方正仿宋_GB2312" w:hAnsi="方正仿宋_GB2312" w:eastAsia="方正仿宋_GB2312" w:cs="方正仿宋_GB2312"/>
          <w:b/>
          <w:bCs/>
          <w:color w:val="auto"/>
          <w:sz w:val="32"/>
          <w:szCs w:val="32"/>
        </w:rPr>
        <w:t>工商登记信息</w:t>
      </w:r>
    </w:p>
    <w:p w14:paraId="676565CF">
      <w:pPr>
        <w:keepNext w:val="0"/>
        <w:keepLines w:val="0"/>
        <w:pageBreakBefore w:val="0"/>
        <w:widowControl w:val="0"/>
        <w:kinsoku/>
        <w:wordWrap/>
        <w:overflowPunct/>
        <w:topLinePunct w:val="0"/>
        <w:autoSpaceDE/>
        <w:autoSpaceDN/>
        <w:bidi w:val="0"/>
        <w:adjustRightInd w:val="0"/>
        <w:snapToGrid w:val="0"/>
        <w:spacing w:line="610" w:lineRule="exact"/>
        <w:ind w:firstLine="640" w:firstLineChars="200"/>
        <w:textAlignment w:val="auto"/>
        <w:rPr>
          <w:rFonts w:hint="eastAsia" w:ascii="方正仿宋_GB2312" w:hAnsi="方正仿宋_GB2312" w:eastAsia="方正仿宋_GB2312" w:cs="方正仿宋_GB2312"/>
          <w:color w:val="auto"/>
          <w:sz w:val="32"/>
          <w:szCs w:val="32"/>
          <w:lang w:eastAsia="zh-CN"/>
        </w:rPr>
      </w:pPr>
      <w:r>
        <w:rPr>
          <w:rFonts w:hint="eastAsia" w:ascii="方正仿宋_GB2312" w:hAnsi="方正仿宋_GB2312" w:eastAsia="方正仿宋_GB2312" w:cs="方正仿宋_GB2312"/>
          <w:color w:val="auto"/>
          <w:sz w:val="32"/>
          <w:szCs w:val="32"/>
        </w:rPr>
        <w:t>企业名称：</w:t>
      </w:r>
      <w:r>
        <w:rPr>
          <w:rFonts w:hint="eastAsia" w:ascii="方正仿宋_GB2312" w:hAnsi="方正仿宋_GB2312" w:eastAsia="方正仿宋_GB2312" w:cs="方正仿宋_GB2312"/>
          <w:color w:val="auto"/>
          <w:sz w:val="32"/>
          <w:szCs w:val="32"/>
          <w:lang w:eastAsia="zh-CN"/>
        </w:rPr>
        <w:t>成都市鑫河国际酒店有限公司</w:t>
      </w:r>
    </w:p>
    <w:p w14:paraId="026EBF4E">
      <w:pPr>
        <w:keepNext w:val="0"/>
        <w:keepLines w:val="0"/>
        <w:pageBreakBefore w:val="0"/>
        <w:widowControl w:val="0"/>
        <w:kinsoku/>
        <w:wordWrap/>
        <w:overflowPunct/>
        <w:topLinePunct w:val="0"/>
        <w:autoSpaceDE/>
        <w:autoSpaceDN/>
        <w:bidi w:val="0"/>
        <w:adjustRightInd w:val="0"/>
        <w:snapToGrid w:val="0"/>
        <w:spacing w:line="610" w:lineRule="exact"/>
        <w:ind w:firstLine="640" w:firstLineChars="200"/>
        <w:textAlignment w:val="auto"/>
        <w:rPr>
          <w:rFonts w:hint="eastAsia" w:ascii="方正仿宋_GB2312" w:hAnsi="方正仿宋_GB2312" w:eastAsia="方正仿宋_GB2312" w:cs="方正仿宋_GB2312"/>
          <w:color w:val="auto"/>
          <w:sz w:val="32"/>
          <w:szCs w:val="32"/>
          <w:lang w:val="en-US" w:eastAsia="zh-CN"/>
        </w:rPr>
      </w:pPr>
      <w:r>
        <w:rPr>
          <w:rFonts w:hint="eastAsia" w:ascii="方正仿宋_GB2312" w:hAnsi="方正仿宋_GB2312" w:eastAsia="方正仿宋_GB2312" w:cs="方正仿宋_GB2312"/>
          <w:color w:val="auto"/>
          <w:sz w:val="32"/>
          <w:szCs w:val="32"/>
          <w:lang w:eastAsia="zh-Hans"/>
        </w:rPr>
        <w:t>企业</w:t>
      </w:r>
      <w:r>
        <w:rPr>
          <w:rFonts w:hint="eastAsia" w:ascii="方正仿宋_GB2312" w:hAnsi="方正仿宋_GB2312" w:eastAsia="方正仿宋_GB2312" w:cs="方正仿宋_GB2312"/>
          <w:color w:val="auto"/>
          <w:sz w:val="32"/>
          <w:szCs w:val="32"/>
        </w:rPr>
        <w:t>注册号：</w:t>
      </w:r>
      <w:r>
        <w:rPr>
          <w:rFonts w:hint="eastAsia" w:ascii="方正仿宋_GB2312" w:hAnsi="方正仿宋_GB2312" w:eastAsia="方正仿宋_GB2312" w:cs="方正仿宋_GB2312"/>
          <w:color w:val="auto"/>
          <w:sz w:val="32"/>
          <w:szCs w:val="32"/>
          <w:lang w:val="en-US" w:eastAsia="zh-CN"/>
        </w:rPr>
        <w:t>510129000027099</w:t>
      </w:r>
    </w:p>
    <w:p w14:paraId="74D07A2F">
      <w:pPr>
        <w:keepNext w:val="0"/>
        <w:keepLines w:val="0"/>
        <w:pageBreakBefore w:val="0"/>
        <w:widowControl w:val="0"/>
        <w:kinsoku/>
        <w:wordWrap/>
        <w:overflowPunct/>
        <w:topLinePunct w:val="0"/>
        <w:autoSpaceDE/>
        <w:autoSpaceDN/>
        <w:bidi w:val="0"/>
        <w:adjustRightInd w:val="0"/>
        <w:snapToGrid w:val="0"/>
        <w:spacing w:line="610" w:lineRule="exact"/>
        <w:ind w:firstLine="640" w:firstLineChars="200"/>
        <w:textAlignment w:val="auto"/>
        <w:rPr>
          <w:rFonts w:hint="eastAsia" w:ascii="方正仿宋_GB2312" w:hAnsi="方正仿宋_GB2312" w:eastAsia="方正仿宋_GB2312" w:cs="方正仿宋_GB2312"/>
          <w:color w:val="auto"/>
          <w:sz w:val="32"/>
          <w:szCs w:val="32"/>
          <w:lang w:val="en-US" w:eastAsia="zh-CN"/>
        </w:rPr>
      </w:pPr>
      <w:r>
        <w:rPr>
          <w:rFonts w:hint="eastAsia" w:ascii="方正仿宋_GB2312" w:hAnsi="方正仿宋_GB2312" w:eastAsia="方正仿宋_GB2312" w:cs="方正仿宋_GB2312"/>
          <w:color w:val="auto"/>
          <w:sz w:val="32"/>
          <w:szCs w:val="32"/>
          <w:lang w:eastAsia="zh-Hans"/>
        </w:rPr>
        <w:t>纳税人识别号：915101</w:t>
      </w:r>
      <w:r>
        <w:rPr>
          <w:rFonts w:hint="eastAsia" w:ascii="方正仿宋_GB2312" w:hAnsi="方正仿宋_GB2312" w:eastAsia="方正仿宋_GB2312" w:cs="方正仿宋_GB2312"/>
          <w:color w:val="auto"/>
          <w:sz w:val="32"/>
          <w:szCs w:val="32"/>
          <w:lang w:val="en-US" w:eastAsia="zh-CN"/>
        </w:rPr>
        <w:t>295849770921</w:t>
      </w:r>
    </w:p>
    <w:p w14:paraId="21641487">
      <w:pPr>
        <w:keepNext w:val="0"/>
        <w:keepLines w:val="0"/>
        <w:pageBreakBefore w:val="0"/>
        <w:widowControl w:val="0"/>
        <w:kinsoku/>
        <w:wordWrap/>
        <w:overflowPunct/>
        <w:topLinePunct w:val="0"/>
        <w:autoSpaceDE/>
        <w:autoSpaceDN/>
        <w:bidi w:val="0"/>
        <w:adjustRightInd w:val="0"/>
        <w:snapToGrid w:val="0"/>
        <w:spacing w:line="610" w:lineRule="exact"/>
        <w:ind w:firstLine="640" w:firstLineChars="200"/>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成立时间：20</w:t>
      </w:r>
      <w:r>
        <w:rPr>
          <w:rFonts w:hint="eastAsia" w:ascii="方正仿宋_GB2312" w:hAnsi="方正仿宋_GB2312" w:eastAsia="方正仿宋_GB2312" w:cs="方正仿宋_GB2312"/>
          <w:color w:val="auto"/>
          <w:sz w:val="32"/>
          <w:szCs w:val="32"/>
          <w:lang w:val="en-US" w:eastAsia="zh-CN"/>
        </w:rPr>
        <w:t>11</w:t>
      </w:r>
      <w:r>
        <w:rPr>
          <w:rFonts w:hint="eastAsia" w:ascii="方正仿宋_GB2312" w:hAnsi="方正仿宋_GB2312" w:eastAsia="方正仿宋_GB2312" w:cs="方正仿宋_GB2312"/>
          <w:color w:val="auto"/>
          <w:sz w:val="32"/>
          <w:szCs w:val="32"/>
        </w:rPr>
        <w:t>年</w:t>
      </w:r>
      <w:r>
        <w:rPr>
          <w:rFonts w:hint="eastAsia" w:ascii="方正仿宋_GB2312" w:hAnsi="方正仿宋_GB2312" w:eastAsia="方正仿宋_GB2312" w:cs="方正仿宋_GB2312"/>
          <w:color w:val="auto"/>
          <w:sz w:val="32"/>
          <w:szCs w:val="32"/>
          <w:lang w:val="en-US" w:eastAsia="zh-CN"/>
        </w:rPr>
        <w:t>11</w:t>
      </w:r>
      <w:r>
        <w:rPr>
          <w:rFonts w:hint="eastAsia" w:ascii="方正仿宋_GB2312" w:hAnsi="方正仿宋_GB2312" w:eastAsia="方正仿宋_GB2312" w:cs="方正仿宋_GB2312"/>
          <w:color w:val="auto"/>
          <w:sz w:val="32"/>
          <w:szCs w:val="32"/>
        </w:rPr>
        <w:t>月</w:t>
      </w:r>
      <w:r>
        <w:rPr>
          <w:rFonts w:hint="eastAsia" w:ascii="方正仿宋_GB2312" w:hAnsi="方正仿宋_GB2312" w:eastAsia="方正仿宋_GB2312" w:cs="方正仿宋_GB2312"/>
          <w:color w:val="auto"/>
          <w:sz w:val="32"/>
          <w:szCs w:val="32"/>
          <w:lang w:val="en-US" w:eastAsia="zh-CN"/>
        </w:rPr>
        <w:t>8</w:t>
      </w:r>
      <w:r>
        <w:rPr>
          <w:rFonts w:hint="eastAsia" w:ascii="方正仿宋_GB2312" w:hAnsi="方正仿宋_GB2312" w:eastAsia="方正仿宋_GB2312" w:cs="方正仿宋_GB2312"/>
          <w:color w:val="auto"/>
          <w:sz w:val="32"/>
          <w:szCs w:val="32"/>
        </w:rPr>
        <w:t>日</w:t>
      </w:r>
    </w:p>
    <w:p w14:paraId="25A6AF9C">
      <w:pPr>
        <w:keepNext w:val="0"/>
        <w:keepLines w:val="0"/>
        <w:pageBreakBefore w:val="0"/>
        <w:widowControl w:val="0"/>
        <w:kinsoku/>
        <w:wordWrap/>
        <w:overflowPunct/>
        <w:topLinePunct w:val="0"/>
        <w:autoSpaceDE/>
        <w:autoSpaceDN/>
        <w:bidi w:val="0"/>
        <w:adjustRightInd w:val="0"/>
        <w:snapToGrid w:val="0"/>
        <w:spacing w:line="610" w:lineRule="exact"/>
        <w:ind w:firstLine="640" w:firstLineChars="200"/>
        <w:textAlignment w:val="auto"/>
        <w:rPr>
          <w:rFonts w:hint="eastAsia" w:ascii="方正仿宋_GB2312" w:hAnsi="方正仿宋_GB2312" w:eastAsia="方正仿宋_GB2312" w:cs="方正仿宋_GB2312"/>
          <w:color w:val="auto"/>
          <w:sz w:val="32"/>
          <w:szCs w:val="32"/>
          <w:lang w:val="en-US" w:eastAsia="zh-CN"/>
        </w:rPr>
      </w:pPr>
      <w:r>
        <w:rPr>
          <w:rFonts w:hint="eastAsia" w:ascii="方正仿宋_GB2312" w:hAnsi="方正仿宋_GB2312" w:eastAsia="方正仿宋_GB2312" w:cs="方正仿宋_GB2312"/>
          <w:color w:val="auto"/>
          <w:sz w:val="32"/>
          <w:szCs w:val="32"/>
        </w:rPr>
        <w:t>法定代表人：</w:t>
      </w:r>
      <w:r>
        <w:rPr>
          <w:rFonts w:hint="eastAsia" w:ascii="方正仿宋_GB2312" w:hAnsi="方正仿宋_GB2312" w:eastAsia="方正仿宋_GB2312" w:cs="方正仿宋_GB2312"/>
          <w:color w:val="auto"/>
          <w:sz w:val="32"/>
          <w:szCs w:val="32"/>
          <w:lang w:val="en-US" w:eastAsia="zh-CN"/>
        </w:rPr>
        <w:t>何鑫</w:t>
      </w:r>
    </w:p>
    <w:p w14:paraId="1B08440D">
      <w:pPr>
        <w:keepNext w:val="0"/>
        <w:keepLines w:val="0"/>
        <w:pageBreakBefore w:val="0"/>
        <w:widowControl w:val="0"/>
        <w:kinsoku/>
        <w:wordWrap/>
        <w:overflowPunct/>
        <w:topLinePunct w:val="0"/>
        <w:autoSpaceDE/>
        <w:autoSpaceDN/>
        <w:bidi w:val="0"/>
        <w:adjustRightInd w:val="0"/>
        <w:snapToGrid w:val="0"/>
        <w:spacing w:line="610" w:lineRule="exact"/>
        <w:ind w:firstLine="640" w:firstLineChars="200"/>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注册资本：</w:t>
      </w:r>
      <w:r>
        <w:rPr>
          <w:rFonts w:hint="eastAsia" w:ascii="方正仿宋_GB2312" w:hAnsi="方正仿宋_GB2312" w:eastAsia="方正仿宋_GB2312" w:cs="方正仿宋_GB2312"/>
          <w:color w:val="auto"/>
          <w:sz w:val="32"/>
          <w:szCs w:val="32"/>
          <w:lang w:val="en-US" w:eastAsia="zh-CN"/>
        </w:rPr>
        <w:t>1000</w:t>
      </w:r>
      <w:r>
        <w:rPr>
          <w:rFonts w:hint="eastAsia" w:ascii="方正仿宋_GB2312" w:hAnsi="方正仿宋_GB2312" w:eastAsia="方正仿宋_GB2312" w:cs="方正仿宋_GB2312"/>
          <w:color w:val="auto"/>
          <w:sz w:val="32"/>
          <w:szCs w:val="32"/>
        </w:rPr>
        <w:t>万元</w:t>
      </w:r>
    </w:p>
    <w:p w14:paraId="719A320C">
      <w:pPr>
        <w:keepNext w:val="0"/>
        <w:keepLines w:val="0"/>
        <w:pageBreakBefore w:val="0"/>
        <w:widowControl w:val="0"/>
        <w:kinsoku/>
        <w:wordWrap/>
        <w:overflowPunct/>
        <w:topLinePunct w:val="0"/>
        <w:autoSpaceDE/>
        <w:autoSpaceDN/>
        <w:bidi w:val="0"/>
        <w:adjustRightInd w:val="0"/>
        <w:snapToGrid w:val="0"/>
        <w:spacing w:line="610" w:lineRule="exact"/>
        <w:ind w:firstLine="640" w:firstLineChars="200"/>
        <w:textAlignment w:val="auto"/>
        <w:rPr>
          <w:rFonts w:hint="eastAsia" w:ascii="方正仿宋_GB2312" w:hAnsi="方正仿宋_GB2312" w:eastAsia="方正仿宋_GB2312" w:cs="方正仿宋_GB2312"/>
          <w:color w:val="auto"/>
          <w:sz w:val="32"/>
          <w:szCs w:val="32"/>
          <w:lang w:val="en-US" w:eastAsia="zh-CN"/>
        </w:rPr>
      </w:pPr>
      <w:r>
        <w:rPr>
          <w:rFonts w:hint="eastAsia" w:ascii="方正仿宋_GB2312" w:hAnsi="方正仿宋_GB2312" w:eastAsia="方正仿宋_GB2312" w:cs="方正仿宋_GB2312"/>
          <w:color w:val="auto"/>
          <w:sz w:val="32"/>
          <w:szCs w:val="32"/>
        </w:rPr>
        <w:t>企业类型：</w:t>
      </w:r>
      <w:r>
        <w:rPr>
          <w:rFonts w:hint="eastAsia" w:ascii="方正仿宋_GB2312" w:hAnsi="方正仿宋_GB2312" w:eastAsia="方正仿宋_GB2312" w:cs="方正仿宋_GB2312"/>
          <w:color w:val="auto"/>
          <w:sz w:val="32"/>
          <w:szCs w:val="32"/>
          <w:lang w:eastAsia="zh-Hans"/>
        </w:rPr>
        <w:t>有限责任公司</w:t>
      </w:r>
    </w:p>
    <w:p w14:paraId="12A16E37">
      <w:pPr>
        <w:keepNext w:val="0"/>
        <w:keepLines w:val="0"/>
        <w:pageBreakBefore w:val="0"/>
        <w:widowControl w:val="0"/>
        <w:kinsoku/>
        <w:wordWrap/>
        <w:overflowPunct/>
        <w:topLinePunct w:val="0"/>
        <w:autoSpaceDE/>
        <w:autoSpaceDN/>
        <w:bidi w:val="0"/>
        <w:adjustRightInd w:val="0"/>
        <w:snapToGrid w:val="0"/>
        <w:spacing w:line="610" w:lineRule="exact"/>
        <w:ind w:firstLine="640" w:firstLineChars="200"/>
        <w:textAlignment w:val="auto"/>
        <w:rPr>
          <w:rFonts w:hint="eastAsia" w:ascii="方正仿宋_GB2312" w:hAnsi="方正仿宋_GB2312" w:eastAsia="方正仿宋_GB2312" w:cs="方正仿宋_GB2312"/>
          <w:color w:val="auto"/>
          <w:sz w:val="32"/>
          <w:szCs w:val="32"/>
          <w:lang w:val="en-US" w:eastAsia="zh-CN"/>
        </w:rPr>
      </w:pPr>
      <w:r>
        <w:rPr>
          <w:rFonts w:hint="eastAsia" w:ascii="方正仿宋_GB2312" w:hAnsi="方正仿宋_GB2312" w:eastAsia="方正仿宋_GB2312" w:cs="方正仿宋_GB2312"/>
          <w:color w:val="auto"/>
          <w:sz w:val="32"/>
          <w:szCs w:val="32"/>
        </w:rPr>
        <w:t>住所地：四川省成都市</w:t>
      </w:r>
      <w:r>
        <w:rPr>
          <w:rFonts w:hint="eastAsia" w:ascii="方正仿宋_GB2312" w:hAnsi="方正仿宋_GB2312" w:eastAsia="方正仿宋_GB2312" w:cs="方正仿宋_GB2312"/>
          <w:color w:val="auto"/>
          <w:sz w:val="32"/>
          <w:szCs w:val="32"/>
          <w:lang w:val="en-US" w:eastAsia="zh-CN"/>
        </w:rPr>
        <w:t>大邑县晋原镇蜀望路118号</w:t>
      </w:r>
    </w:p>
    <w:p w14:paraId="1068B58C">
      <w:pPr>
        <w:keepNext w:val="0"/>
        <w:keepLines w:val="0"/>
        <w:pageBreakBefore w:val="0"/>
        <w:widowControl w:val="0"/>
        <w:kinsoku/>
        <w:wordWrap/>
        <w:overflowPunct/>
        <w:topLinePunct w:val="0"/>
        <w:autoSpaceDE/>
        <w:autoSpaceDN/>
        <w:bidi w:val="0"/>
        <w:adjustRightInd w:val="0"/>
        <w:snapToGrid w:val="0"/>
        <w:spacing w:line="610" w:lineRule="exact"/>
        <w:ind w:firstLine="640" w:firstLineChars="200"/>
        <w:textAlignment w:val="auto"/>
        <w:rPr>
          <w:rFonts w:hint="eastAsia" w:ascii="方正仿宋_GB2312" w:hAnsi="方正仿宋_GB2312" w:eastAsia="方正仿宋_GB2312" w:cs="方正仿宋_GB2312"/>
          <w:color w:val="auto"/>
          <w:sz w:val="32"/>
          <w:szCs w:val="32"/>
          <w:lang w:eastAsia="zh-Hans"/>
        </w:rPr>
      </w:pPr>
      <w:r>
        <w:rPr>
          <w:rFonts w:hint="eastAsia" w:ascii="方正仿宋_GB2312" w:hAnsi="方正仿宋_GB2312" w:eastAsia="方正仿宋_GB2312" w:cs="方正仿宋_GB2312"/>
          <w:color w:val="auto"/>
          <w:sz w:val="32"/>
          <w:szCs w:val="32"/>
        </w:rPr>
        <w:t>经营范围：酒店管理、房屋租赁服务、旅游产品销售；中餐（含凉菜、裱花蛋糕、鲜榨果蔬汁；不含生食海产品）（凭许可证在有效期内经营）；住宿；宾馆，茶楼（凭许可证在有效期内经营）；零售：卷烟、雪茄烟（凭许可证在有效期限内经营）（依法须经批准的项目，经相关部门批准后方可开展经营活动）</w:t>
      </w:r>
    </w:p>
    <w:p w14:paraId="13D871E2">
      <w:pPr>
        <w:keepNext w:val="0"/>
        <w:keepLines w:val="0"/>
        <w:pageBreakBefore w:val="0"/>
        <w:widowControl w:val="0"/>
        <w:kinsoku/>
        <w:wordWrap/>
        <w:overflowPunct/>
        <w:topLinePunct w:val="0"/>
        <w:autoSpaceDE/>
        <w:autoSpaceDN/>
        <w:bidi w:val="0"/>
        <w:adjustRightInd w:val="0"/>
        <w:snapToGrid w:val="0"/>
        <w:spacing w:line="610" w:lineRule="exact"/>
        <w:ind w:firstLine="640" w:firstLineChars="200"/>
        <w:textAlignment w:val="auto"/>
        <w:rPr>
          <w:rFonts w:hint="eastAsia" w:ascii="方正仿宋_GB2312" w:hAnsi="方正仿宋_GB2312" w:eastAsia="方正仿宋_GB2312" w:cs="方正仿宋_GB2312"/>
          <w:color w:val="auto"/>
          <w:sz w:val="32"/>
          <w:szCs w:val="32"/>
          <w:lang w:val="en-US" w:eastAsia="zh-CN"/>
        </w:rPr>
      </w:pPr>
      <w:r>
        <w:rPr>
          <w:rFonts w:hint="eastAsia" w:ascii="方正仿宋_GB2312" w:hAnsi="方正仿宋_GB2312" w:eastAsia="方正仿宋_GB2312" w:cs="方正仿宋_GB2312"/>
          <w:color w:val="auto"/>
          <w:sz w:val="32"/>
          <w:szCs w:val="32"/>
        </w:rPr>
        <w:t>登记机关：成都市</w:t>
      </w:r>
      <w:r>
        <w:rPr>
          <w:rFonts w:hint="eastAsia" w:ascii="方正仿宋_GB2312" w:hAnsi="方正仿宋_GB2312" w:eastAsia="方正仿宋_GB2312" w:cs="方正仿宋_GB2312"/>
          <w:color w:val="auto"/>
          <w:sz w:val="32"/>
          <w:szCs w:val="32"/>
          <w:lang w:val="en-US" w:eastAsia="zh-CN"/>
        </w:rPr>
        <w:t>大邑工商行政管理局</w:t>
      </w:r>
    </w:p>
    <w:p w14:paraId="5C309EF4">
      <w:pPr>
        <w:keepNext w:val="0"/>
        <w:keepLines w:val="0"/>
        <w:pageBreakBefore w:val="0"/>
        <w:widowControl w:val="0"/>
        <w:kinsoku/>
        <w:wordWrap/>
        <w:overflowPunct/>
        <w:topLinePunct w:val="0"/>
        <w:autoSpaceDE/>
        <w:autoSpaceDN/>
        <w:bidi w:val="0"/>
        <w:adjustRightInd w:val="0"/>
        <w:snapToGrid w:val="0"/>
        <w:spacing w:line="610" w:lineRule="exact"/>
        <w:ind w:firstLine="643" w:firstLineChars="200"/>
        <w:textAlignment w:val="auto"/>
        <w:rPr>
          <w:rFonts w:hint="eastAsia" w:ascii="方正仿宋_GB2312" w:hAnsi="方正仿宋_GB2312" w:eastAsia="方正仿宋_GB2312" w:cs="方正仿宋_GB2312"/>
          <w:b/>
          <w:bCs/>
          <w:color w:val="auto"/>
          <w:sz w:val="32"/>
          <w:szCs w:val="32"/>
          <w:lang w:val="en-US" w:eastAsia="zh-CN"/>
        </w:rPr>
      </w:pPr>
      <w:r>
        <w:rPr>
          <w:rFonts w:hint="eastAsia" w:ascii="方正仿宋_GB2312" w:hAnsi="方正仿宋_GB2312" w:eastAsia="方正仿宋_GB2312" w:cs="方正仿宋_GB2312"/>
          <w:b/>
          <w:bCs/>
          <w:color w:val="auto"/>
          <w:sz w:val="32"/>
          <w:szCs w:val="32"/>
          <w:lang w:val="en-US" w:eastAsia="zh-CN"/>
        </w:rPr>
        <w:t>（二）资产情况</w:t>
      </w:r>
    </w:p>
    <w:p w14:paraId="258F6772">
      <w:pPr>
        <w:keepNext w:val="0"/>
        <w:keepLines w:val="0"/>
        <w:pageBreakBefore w:val="0"/>
        <w:widowControl w:val="0"/>
        <w:kinsoku/>
        <w:wordWrap/>
        <w:overflowPunct/>
        <w:topLinePunct w:val="0"/>
        <w:autoSpaceDE/>
        <w:autoSpaceDN/>
        <w:bidi w:val="0"/>
        <w:adjustRightInd w:val="0"/>
        <w:snapToGrid w:val="0"/>
        <w:spacing w:line="610" w:lineRule="exact"/>
        <w:ind w:firstLine="640" w:firstLineChars="200"/>
        <w:textAlignment w:val="auto"/>
        <w:rPr>
          <w:rFonts w:hint="eastAsia" w:ascii="方正仿宋_GB2312" w:hAnsi="方正仿宋_GB2312" w:eastAsia="方正仿宋_GB2312" w:cs="方正仿宋_GB2312"/>
          <w:color w:val="auto"/>
          <w:sz w:val="32"/>
          <w:szCs w:val="32"/>
          <w:lang w:val="en-US" w:eastAsia="zh-CN"/>
        </w:rPr>
      </w:pPr>
      <w:r>
        <w:rPr>
          <w:rFonts w:hint="eastAsia" w:ascii="方正仿宋_GB2312" w:hAnsi="方正仿宋_GB2312" w:eastAsia="方正仿宋_GB2312" w:cs="方正仿宋_GB2312"/>
          <w:color w:val="auto"/>
          <w:sz w:val="32"/>
          <w:szCs w:val="32"/>
          <w:lang w:val="en-US" w:eastAsia="zh-CN"/>
        </w:rPr>
        <w:t>1、鑫河公司名下房屋、土地</w:t>
      </w:r>
    </w:p>
    <w:p w14:paraId="508E0B42">
      <w:pPr>
        <w:keepNext w:val="0"/>
        <w:keepLines w:val="0"/>
        <w:pageBreakBefore w:val="0"/>
        <w:widowControl w:val="0"/>
        <w:kinsoku/>
        <w:wordWrap/>
        <w:overflowPunct/>
        <w:topLinePunct w:val="0"/>
        <w:autoSpaceDE/>
        <w:autoSpaceDN/>
        <w:bidi w:val="0"/>
        <w:adjustRightInd w:val="0"/>
        <w:snapToGrid w:val="0"/>
        <w:spacing w:line="61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color w:val="auto"/>
          <w:sz w:val="32"/>
          <w:szCs w:val="32"/>
          <w:lang w:val="en-US" w:eastAsia="zh-CN"/>
        </w:rPr>
        <w:t>鑫河公司名下资产情况如下表：</w:t>
      </w:r>
    </w:p>
    <w:tbl>
      <w:tblPr>
        <w:tblStyle w:val="5"/>
        <w:tblW w:w="85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86"/>
        <w:gridCol w:w="2100"/>
        <w:gridCol w:w="2020"/>
        <w:gridCol w:w="890"/>
        <w:gridCol w:w="1760"/>
        <w:gridCol w:w="966"/>
      </w:tblGrid>
      <w:tr w14:paraId="04637E32">
        <w:trPr>
          <w:trHeight w:val="495" w:hRule="atLeast"/>
          <w:jc w:val="center"/>
        </w:trPr>
        <w:tc>
          <w:tcPr>
            <w:tcW w:w="8522" w:type="dxa"/>
            <w:gridSpan w:val="6"/>
            <w:tcBorders>
              <w:top w:val="single" w:color="000000" w:sz="8" w:space="0"/>
              <w:left w:val="single" w:color="000000" w:sz="8" w:space="0"/>
              <w:bottom w:val="single" w:color="000000" w:sz="8" w:space="0"/>
              <w:right w:val="single" w:color="000000" w:sz="8" w:space="0"/>
            </w:tcBorders>
            <w:shd w:val="clear" w:color="auto" w:fill="CFCECE" w:themeFill="background2" w:themeFillShade="E5"/>
            <w:vAlign w:val="center"/>
          </w:tcPr>
          <w:p w14:paraId="541274C5">
            <w:pPr>
              <w:keepNext w:val="0"/>
              <w:keepLines w:val="0"/>
              <w:widowControl/>
              <w:suppressLineNumbers w:val="0"/>
              <w:jc w:val="center"/>
              <w:textAlignment w:val="center"/>
              <w:rPr>
                <w:rStyle w:val="8"/>
                <w:rFonts w:hint="eastAsia" w:ascii="仿宋" w:hAnsi="仿宋" w:eastAsia="仿宋" w:cs="仿宋"/>
                <w:b/>
                <w:bCs/>
                <w:sz w:val="30"/>
                <w:szCs w:val="30"/>
                <w:lang w:val="en-US" w:eastAsia="zh-CN" w:bidi="ar"/>
              </w:rPr>
            </w:pPr>
            <w:r>
              <w:rPr>
                <w:rStyle w:val="8"/>
                <w:rFonts w:hint="eastAsia" w:ascii="仿宋" w:hAnsi="仿宋" w:eastAsia="仿宋" w:cs="仿宋"/>
                <w:b/>
                <w:bCs/>
                <w:sz w:val="30"/>
                <w:szCs w:val="30"/>
                <w:lang w:val="en-US" w:eastAsia="zh-CN" w:bidi="ar"/>
              </w:rPr>
              <w:t>鑫河公司权属房屋</w:t>
            </w:r>
          </w:p>
        </w:tc>
      </w:tr>
      <w:tr w14:paraId="7FA235E2">
        <w:trPr>
          <w:trHeight w:val="495" w:hRule="atLeast"/>
          <w:jc w:val="center"/>
        </w:trPr>
        <w:tc>
          <w:tcPr>
            <w:tcW w:w="786" w:type="dxa"/>
            <w:tcBorders>
              <w:top w:val="single" w:color="000000" w:sz="8" w:space="0"/>
              <w:left w:val="single" w:color="000000" w:sz="8" w:space="0"/>
              <w:bottom w:val="single" w:color="000000" w:sz="8" w:space="0"/>
              <w:right w:val="single" w:color="000000" w:sz="8" w:space="0"/>
            </w:tcBorders>
            <w:shd w:val="clear" w:color="auto" w:fill="CFCECE" w:themeFill="background2" w:themeFillShade="E5"/>
            <w:vAlign w:val="center"/>
          </w:tcPr>
          <w:p w14:paraId="3B8BD6FB">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Style w:val="8"/>
                <w:rFonts w:hint="eastAsia" w:ascii="仿宋" w:hAnsi="仿宋" w:eastAsia="仿宋" w:cs="仿宋"/>
                <w:b/>
                <w:bCs/>
                <w:sz w:val="24"/>
                <w:szCs w:val="24"/>
                <w:lang w:val="en-US" w:eastAsia="zh-CN" w:bidi="ar"/>
              </w:rPr>
              <w:t>序号</w:t>
            </w:r>
          </w:p>
        </w:tc>
        <w:tc>
          <w:tcPr>
            <w:tcW w:w="2100" w:type="dxa"/>
            <w:tcBorders>
              <w:top w:val="single" w:color="000000" w:sz="8" w:space="0"/>
              <w:left w:val="nil"/>
              <w:bottom w:val="single" w:color="000000" w:sz="8" w:space="0"/>
              <w:right w:val="single" w:color="000000" w:sz="8" w:space="0"/>
            </w:tcBorders>
            <w:shd w:val="clear" w:color="auto" w:fill="CFCECE" w:themeFill="background2" w:themeFillShade="E5"/>
            <w:vAlign w:val="center"/>
          </w:tcPr>
          <w:p w14:paraId="59CEF097">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Style w:val="8"/>
                <w:rFonts w:hint="eastAsia" w:ascii="仿宋" w:hAnsi="仿宋" w:eastAsia="仿宋" w:cs="仿宋"/>
                <w:b/>
                <w:bCs/>
                <w:sz w:val="24"/>
                <w:szCs w:val="24"/>
                <w:lang w:val="en-US" w:eastAsia="zh-CN" w:bidi="ar"/>
              </w:rPr>
              <w:t>证书编号</w:t>
            </w:r>
          </w:p>
        </w:tc>
        <w:tc>
          <w:tcPr>
            <w:tcW w:w="2020" w:type="dxa"/>
            <w:tcBorders>
              <w:top w:val="single" w:color="000000" w:sz="8" w:space="0"/>
              <w:left w:val="nil"/>
              <w:bottom w:val="single" w:color="000000" w:sz="8" w:space="0"/>
              <w:right w:val="single" w:color="000000" w:sz="8" w:space="0"/>
            </w:tcBorders>
            <w:shd w:val="clear" w:color="auto" w:fill="CFCECE" w:themeFill="background2" w:themeFillShade="E5"/>
            <w:vAlign w:val="center"/>
          </w:tcPr>
          <w:p w14:paraId="325D1C5A">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房屋坐落</w:t>
            </w:r>
          </w:p>
        </w:tc>
        <w:tc>
          <w:tcPr>
            <w:tcW w:w="890" w:type="dxa"/>
            <w:tcBorders>
              <w:top w:val="single" w:color="000000" w:sz="8" w:space="0"/>
              <w:left w:val="nil"/>
              <w:bottom w:val="single" w:color="000000" w:sz="8" w:space="0"/>
              <w:right w:val="single" w:color="000000" w:sz="8" w:space="0"/>
            </w:tcBorders>
            <w:shd w:val="clear" w:color="auto" w:fill="CFCECE" w:themeFill="background2" w:themeFillShade="E5"/>
            <w:vAlign w:val="center"/>
          </w:tcPr>
          <w:p w14:paraId="693D7464">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Style w:val="8"/>
                <w:rFonts w:hint="eastAsia" w:ascii="仿宋" w:hAnsi="仿宋" w:eastAsia="仿宋" w:cs="仿宋"/>
                <w:b/>
                <w:bCs/>
                <w:sz w:val="24"/>
                <w:szCs w:val="24"/>
                <w:lang w:val="en-US" w:eastAsia="zh-CN" w:bidi="ar"/>
              </w:rPr>
              <w:t>用途</w:t>
            </w:r>
          </w:p>
        </w:tc>
        <w:tc>
          <w:tcPr>
            <w:tcW w:w="1760" w:type="dxa"/>
            <w:tcBorders>
              <w:top w:val="single" w:color="000000" w:sz="8" w:space="0"/>
              <w:left w:val="nil"/>
              <w:bottom w:val="single" w:color="000000" w:sz="8" w:space="0"/>
              <w:right w:val="single" w:color="000000" w:sz="8" w:space="0"/>
            </w:tcBorders>
            <w:shd w:val="clear" w:color="auto" w:fill="CFCECE" w:themeFill="background2" w:themeFillShade="E5"/>
            <w:vAlign w:val="center"/>
          </w:tcPr>
          <w:p w14:paraId="27B4F1D0">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Style w:val="8"/>
                <w:rFonts w:hint="eastAsia" w:ascii="仿宋" w:hAnsi="仿宋" w:eastAsia="仿宋" w:cs="仿宋"/>
                <w:b/>
                <w:bCs/>
                <w:sz w:val="24"/>
                <w:szCs w:val="24"/>
                <w:lang w:val="en-US" w:eastAsia="zh-CN" w:bidi="ar"/>
              </w:rPr>
              <w:t>建筑面积（㎡）</w:t>
            </w:r>
          </w:p>
        </w:tc>
        <w:tc>
          <w:tcPr>
            <w:tcW w:w="966" w:type="dxa"/>
            <w:tcBorders>
              <w:top w:val="single" w:color="000000" w:sz="8" w:space="0"/>
              <w:left w:val="nil"/>
              <w:bottom w:val="single" w:color="000000" w:sz="8" w:space="0"/>
              <w:right w:val="single" w:color="000000" w:sz="8" w:space="0"/>
            </w:tcBorders>
            <w:shd w:val="clear" w:color="auto" w:fill="CFCECE" w:themeFill="background2" w:themeFillShade="E5"/>
            <w:vAlign w:val="center"/>
          </w:tcPr>
          <w:p w14:paraId="2F23BEF4">
            <w:pPr>
              <w:keepNext w:val="0"/>
              <w:keepLines w:val="0"/>
              <w:widowControl/>
              <w:suppressLineNumbers w:val="0"/>
              <w:jc w:val="center"/>
              <w:textAlignment w:val="center"/>
              <w:rPr>
                <w:rStyle w:val="8"/>
                <w:rFonts w:hint="eastAsia" w:ascii="仿宋" w:hAnsi="仿宋" w:eastAsia="仿宋" w:cs="仿宋"/>
                <w:b/>
                <w:bCs/>
                <w:sz w:val="24"/>
                <w:szCs w:val="24"/>
                <w:lang w:val="en-US" w:eastAsia="zh-CN" w:bidi="ar"/>
              </w:rPr>
            </w:pPr>
            <w:r>
              <w:rPr>
                <w:rStyle w:val="8"/>
                <w:rFonts w:hint="eastAsia" w:ascii="仿宋" w:hAnsi="仿宋" w:eastAsia="仿宋" w:cs="仿宋"/>
                <w:b/>
                <w:bCs/>
                <w:sz w:val="24"/>
                <w:szCs w:val="24"/>
                <w:lang w:val="en-US" w:eastAsia="zh-CN" w:bidi="ar"/>
              </w:rPr>
              <w:t>备注</w:t>
            </w:r>
          </w:p>
        </w:tc>
      </w:tr>
      <w:tr w14:paraId="3883B5E6">
        <w:trPr>
          <w:trHeight w:val="495" w:hRule="atLeast"/>
          <w:jc w:val="center"/>
        </w:trPr>
        <w:tc>
          <w:tcPr>
            <w:tcW w:w="786" w:type="dxa"/>
            <w:tcBorders>
              <w:top w:val="nil"/>
              <w:left w:val="single" w:color="000000" w:sz="8" w:space="0"/>
              <w:bottom w:val="single" w:color="000000" w:sz="8" w:space="0"/>
              <w:right w:val="single" w:color="000000" w:sz="8" w:space="0"/>
            </w:tcBorders>
            <w:shd w:val="clear" w:color="auto" w:fill="auto"/>
            <w:vAlign w:val="center"/>
          </w:tcPr>
          <w:p w14:paraId="12A9DD8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2100" w:type="dxa"/>
            <w:tcBorders>
              <w:top w:val="nil"/>
              <w:left w:val="nil"/>
              <w:bottom w:val="single" w:color="000000" w:sz="8" w:space="0"/>
              <w:right w:val="single" w:color="000000" w:sz="8" w:space="0"/>
            </w:tcBorders>
            <w:shd w:val="clear" w:color="auto" w:fill="auto"/>
            <w:vAlign w:val="center"/>
          </w:tcPr>
          <w:p w14:paraId="0F41186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8"/>
                <w:rFonts w:hint="eastAsia" w:ascii="仿宋" w:hAnsi="仿宋" w:eastAsia="仿宋" w:cs="仿宋"/>
                <w:sz w:val="21"/>
                <w:szCs w:val="21"/>
                <w:lang w:val="en-US" w:eastAsia="zh-CN" w:bidi="ar"/>
              </w:rPr>
              <w:t>监证0192260</w:t>
            </w:r>
          </w:p>
        </w:tc>
        <w:tc>
          <w:tcPr>
            <w:tcW w:w="2020" w:type="dxa"/>
            <w:tcBorders>
              <w:top w:val="nil"/>
              <w:left w:val="nil"/>
              <w:bottom w:val="single" w:color="000000" w:sz="8" w:space="0"/>
              <w:right w:val="single" w:color="000000" w:sz="8" w:space="0"/>
            </w:tcBorders>
            <w:shd w:val="clear" w:color="auto" w:fill="auto"/>
            <w:vAlign w:val="center"/>
          </w:tcPr>
          <w:p w14:paraId="408C7D4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rPr>
              <w:t>地下室栋-1层</w:t>
            </w:r>
          </w:p>
        </w:tc>
        <w:tc>
          <w:tcPr>
            <w:tcW w:w="890" w:type="dxa"/>
            <w:tcBorders>
              <w:top w:val="nil"/>
              <w:left w:val="nil"/>
              <w:bottom w:val="single" w:color="000000" w:sz="8" w:space="0"/>
              <w:right w:val="single" w:color="000000" w:sz="8" w:space="0"/>
            </w:tcBorders>
            <w:shd w:val="clear" w:color="auto" w:fill="auto"/>
            <w:vAlign w:val="center"/>
          </w:tcPr>
          <w:p w14:paraId="43E763C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8"/>
                <w:rFonts w:hint="eastAsia" w:ascii="仿宋" w:hAnsi="仿宋" w:eastAsia="仿宋" w:cs="仿宋"/>
                <w:sz w:val="21"/>
                <w:szCs w:val="21"/>
                <w:lang w:val="en-US" w:eastAsia="zh-CN" w:bidi="ar"/>
              </w:rPr>
              <w:t>商业</w:t>
            </w:r>
          </w:p>
        </w:tc>
        <w:tc>
          <w:tcPr>
            <w:tcW w:w="1760" w:type="dxa"/>
            <w:tcBorders>
              <w:top w:val="nil"/>
              <w:left w:val="nil"/>
              <w:bottom w:val="single" w:color="000000" w:sz="8" w:space="0"/>
              <w:right w:val="single" w:color="000000" w:sz="8" w:space="0"/>
            </w:tcBorders>
            <w:shd w:val="clear" w:color="auto" w:fill="auto"/>
            <w:vAlign w:val="center"/>
          </w:tcPr>
          <w:p w14:paraId="1827526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3,343.92</w:t>
            </w:r>
          </w:p>
        </w:tc>
        <w:tc>
          <w:tcPr>
            <w:tcW w:w="966" w:type="dxa"/>
            <w:tcBorders>
              <w:top w:val="nil"/>
              <w:left w:val="nil"/>
              <w:bottom w:val="single" w:color="000000" w:sz="8" w:space="0"/>
              <w:right w:val="single" w:color="000000" w:sz="8" w:space="0"/>
            </w:tcBorders>
            <w:shd w:val="clear" w:color="auto" w:fill="auto"/>
            <w:vAlign w:val="center"/>
          </w:tcPr>
          <w:p w14:paraId="307229B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已抵押</w:t>
            </w:r>
          </w:p>
        </w:tc>
      </w:tr>
      <w:tr w14:paraId="4664D8C1">
        <w:trPr>
          <w:trHeight w:val="495" w:hRule="atLeast"/>
          <w:jc w:val="center"/>
        </w:trPr>
        <w:tc>
          <w:tcPr>
            <w:tcW w:w="786" w:type="dxa"/>
            <w:tcBorders>
              <w:top w:val="nil"/>
              <w:left w:val="single" w:color="000000" w:sz="8" w:space="0"/>
              <w:bottom w:val="single" w:color="000000" w:sz="8" w:space="0"/>
              <w:right w:val="single" w:color="000000" w:sz="8" w:space="0"/>
            </w:tcBorders>
            <w:shd w:val="clear" w:color="auto" w:fill="auto"/>
            <w:vAlign w:val="center"/>
          </w:tcPr>
          <w:p w14:paraId="3BA727D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2100" w:type="dxa"/>
            <w:tcBorders>
              <w:top w:val="nil"/>
              <w:left w:val="nil"/>
              <w:bottom w:val="single" w:color="000000" w:sz="8" w:space="0"/>
              <w:right w:val="single" w:color="000000" w:sz="8" w:space="0"/>
            </w:tcBorders>
            <w:shd w:val="clear" w:color="auto" w:fill="auto"/>
            <w:vAlign w:val="center"/>
          </w:tcPr>
          <w:p w14:paraId="16CB998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8"/>
                <w:rFonts w:hint="eastAsia" w:ascii="仿宋" w:hAnsi="仿宋" w:eastAsia="仿宋" w:cs="仿宋"/>
                <w:sz w:val="21"/>
                <w:szCs w:val="21"/>
                <w:lang w:val="en-US" w:eastAsia="zh-CN" w:bidi="ar"/>
              </w:rPr>
              <w:t>监证0192262</w:t>
            </w:r>
          </w:p>
        </w:tc>
        <w:tc>
          <w:tcPr>
            <w:tcW w:w="2020" w:type="dxa"/>
            <w:tcBorders>
              <w:top w:val="nil"/>
              <w:left w:val="nil"/>
              <w:bottom w:val="single" w:color="000000" w:sz="8" w:space="0"/>
              <w:right w:val="single" w:color="000000" w:sz="8" w:space="0"/>
            </w:tcBorders>
            <w:shd w:val="clear" w:color="auto" w:fill="auto"/>
            <w:vAlign w:val="center"/>
          </w:tcPr>
          <w:p w14:paraId="207E207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rPr>
              <w:t>1号楼1-19层</w:t>
            </w:r>
          </w:p>
        </w:tc>
        <w:tc>
          <w:tcPr>
            <w:tcW w:w="890" w:type="dxa"/>
            <w:tcBorders>
              <w:top w:val="nil"/>
              <w:left w:val="nil"/>
              <w:bottom w:val="single" w:color="000000" w:sz="8" w:space="0"/>
              <w:right w:val="single" w:color="000000" w:sz="8" w:space="0"/>
            </w:tcBorders>
            <w:shd w:val="clear" w:color="auto" w:fill="auto"/>
            <w:vAlign w:val="center"/>
          </w:tcPr>
          <w:p w14:paraId="40603AA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8"/>
                <w:rFonts w:hint="eastAsia" w:ascii="仿宋" w:hAnsi="仿宋" w:eastAsia="仿宋" w:cs="仿宋"/>
                <w:sz w:val="21"/>
                <w:szCs w:val="21"/>
                <w:lang w:val="en-US" w:eastAsia="zh-CN" w:bidi="ar"/>
              </w:rPr>
              <w:t>商业</w:t>
            </w:r>
          </w:p>
        </w:tc>
        <w:tc>
          <w:tcPr>
            <w:tcW w:w="1760" w:type="dxa"/>
            <w:tcBorders>
              <w:top w:val="nil"/>
              <w:left w:val="nil"/>
              <w:bottom w:val="single" w:color="000000" w:sz="8" w:space="0"/>
              <w:right w:val="single" w:color="000000" w:sz="8" w:space="0"/>
            </w:tcBorders>
            <w:shd w:val="clear" w:color="auto" w:fill="auto"/>
            <w:vAlign w:val="center"/>
          </w:tcPr>
          <w:p w14:paraId="1B0E97E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25,850.16</w:t>
            </w:r>
          </w:p>
        </w:tc>
        <w:tc>
          <w:tcPr>
            <w:tcW w:w="966" w:type="dxa"/>
            <w:tcBorders>
              <w:top w:val="nil"/>
              <w:left w:val="nil"/>
              <w:bottom w:val="single" w:color="000000" w:sz="8" w:space="0"/>
              <w:right w:val="single" w:color="000000" w:sz="8" w:space="0"/>
            </w:tcBorders>
            <w:shd w:val="clear" w:color="auto" w:fill="auto"/>
            <w:vAlign w:val="center"/>
          </w:tcPr>
          <w:p w14:paraId="4C845D0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已抵押</w:t>
            </w:r>
          </w:p>
        </w:tc>
      </w:tr>
      <w:tr w14:paraId="500EE09B">
        <w:trPr>
          <w:trHeight w:val="495" w:hRule="atLeast"/>
          <w:jc w:val="center"/>
        </w:trPr>
        <w:tc>
          <w:tcPr>
            <w:tcW w:w="786" w:type="dxa"/>
            <w:tcBorders>
              <w:top w:val="nil"/>
              <w:left w:val="single" w:color="000000" w:sz="8" w:space="0"/>
              <w:bottom w:val="single" w:color="000000" w:sz="8" w:space="0"/>
              <w:right w:val="single" w:color="000000" w:sz="8" w:space="0"/>
            </w:tcBorders>
            <w:shd w:val="clear" w:color="auto" w:fill="auto"/>
            <w:vAlign w:val="center"/>
          </w:tcPr>
          <w:p w14:paraId="6E2F047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2100" w:type="dxa"/>
            <w:tcBorders>
              <w:top w:val="nil"/>
              <w:left w:val="nil"/>
              <w:bottom w:val="single" w:color="000000" w:sz="8" w:space="0"/>
              <w:right w:val="single" w:color="000000" w:sz="8" w:space="0"/>
            </w:tcBorders>
            <w:shd w:val="clear" w:color="auto" w:fill="auto"/>
            <w:vAlign w:val="center"/>
          </w:tcPr>
          <w:p w14:paraId="25AA781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8"/>
                <w:rFonts w:hint="eastAsia" w:ascii="仿宋" w:hAnsi="仿宋" w:eastAsia="仿宋" w:cs="仿宋"/>
                <w:sz w:val="21"/>
                <w:szCs w:val="21"/>
                <w:lang w:val="en-US" w:eastAsia="zh-CN" w:bidi="ar"/>
              </w:rPr>
              <w:t>监证0193533</w:t>
            </w:r>
          </w:p>
        </w:tc>
        <w:tc>
          <w:tcPr>
            <w:tcW w:w="2020" w:type="dxa"/>
            <w:tcBorders>
              <w:top w:val="nil"/>
              <w:left w:val="nil"/>
              <w:bottom w:val="single" w:color="000000" w:sz="8" w:space="0"/>
              <w:right w:val="single" w:color="000000" w:sz="8" w:space="0"/>
            </w:tcBorders>
            <w:shd w:val="clear" w:color="auto" w:fill="auto"/>
            <w:vAlign w:val="center"/>
          </w:tcPr>
          <w:p w14:paraId="541B051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rPr>
              <w:t>2号楼1层</w:t>
            </w:r>
          </w:p>
        </w:tc>
        <w:tc>
          <w:tcPr>
            <w:tcW w:w="890" w:type="dxa"/>
            <w:tcBorders>
              <w:top w:val="nil"/>
              <w:left w:val="nil"/>
              <w:bottom w:val="single" w:color="000000" w:sz="8" w:space="0"/>
              <w:right w:val="single" w:color="000000" w:sz="8" w:space="0"/>
            </w:tcBorders>
            <w:shd w:val="clear" w:color="auto" w:fill="auto"/>
            <w:vAlign w:val="center"/>
          </w:tcPr>
          <w:p w14:paraId="7BA7B4A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8"/>
                <w:rFonts w:hint="eastAsia" w:ascii="仿宋" w:hAnsi="仿宋" w:eastAsia="仿宋" w:cs="仿宋"/>
                <w:sz w:val="21"/>
                <w:szCs w:val="21"/>
                <w:lang w:val="en-US" w:eastAsia="zh-CN" w:bidi="ar"/>
              </w:rPr>
              <w:t>商业</w:t>
            </w:r>
          </w:p>
        </w:tc>
        <w:tc>
          <w:tcPr>
            <w:tcW w:w="1760" w:type="dxa"/>
            <w:tcBorders>
              <w:top w:val="nil"/>
              <w:left w:val="nil"/>
              <w:bottom w:val="single" w:color="000000" w:sz="8" w:space="0"/>
              <w:right w:val="single" w:color="000000" w:sz="8" w:space="0"/>
            </w:tcBorders>
            <w:shd w:val="clear" w:color="auto" w:fill="auto"/>
            <w:vAlign w:val="center"/>
          </w:tcPr>
          <w:p w14:paraId="1C0BC70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1,715.62</w:t>
            </w:r>
          </w:p>
        </w:tc>
        <w:tc>
          <w:tcPr>
            <w:tcW w:w="966" w:type="dxa"/>
            <w:tcBorders>
              <w:top w:val="nil"/>
              <w:left w:val="nil"/>
              <w:bottom w:val="single" w:color="000000" w:sz="8" w:space="0"/>
              <w:right w:val="single" w:color="000000" w:sz="8" w:space="0"/>
            </w:tcBorders>
            <w:shd w:val="clear" w:color="auto" w:fill="auto"/>
            <w:vAlign w:val="center"/>
          </w:tcPr>
          <w:p w14:paraId="50290FC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已抵押</w:t>
            </w:r>
          </w:p>
        </w:tc>
      </w:tr>
      <w:tr w14:paraId="5C31BD5B">
        <w:trPr>
          <w:trHeight w:val="495" w:hRule="atLeast"/>
          <w:jc w:val="center"/>
        </w:trPr>
        <w:tc>
          <w:tcPr>
            <w:tcW w:w="786" w:type="dxa"/>
            <w:tcBorders>
              <w:top w:val="nil"/>
              <w:left w:val="single" w:color="000000" w:sz="8" w:space="0"/>
              <w:bottom w:val="single" w:color="000000" w:sz="8" w:space="0"/>
              <w:right w:val="single" w:color="000000" w:sz="8" w:space="0"/>
            </w:tcBorders>
            <w:shd w:val="clear" w:color="auto" w:fill="auto"/>
            <w:vAlign w:val="center"/>
          </w:tcPr>
          <w:p w14:paraId="7F665AC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2100" w:type="dxa"/>
            <w:tcBorders>
              <w:top w:val="nil"/>
              <w:left w:val="nil"/>
              <w:bottom w:val="single" w:color="000000" w:sz="8" w:space="0"/>
              <w:right w:val="single" w:color="000000" w:sz="8" w:space="0"/>
            </w:tcBorders>
            <w:shd w:val="clear" w:color="auto" w:fill="auto"/>
            <w:vAlign w:val="center"/>
          </w:tcPr>
          <w:p w14:paraId="41B3831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8"/>
                <w:rFonts w:hint="eastAsia" w:ascii="仿宋" w:hAnsi="仿宋" w:eastAsia="仿宋" w:cs="仿宋"/>
                <w:sz w:val="21"/>
                <w:szCs w:val="21"/>
                <w:lang w:val="en-US" w:eastAsia="zh-CN" w:bidi="ar"/>
              </w:rPr>
              <w:t>监证0193531</w:t>
            </w:r>
          </w:p>
        </w:tc>
        <w:tc>
          <w:tcPr>
            <w:tcW w:w="2020" w:type="dxa"/>
            <w:tcBorders>
              <w:top w:val="nil"/>
              <w:left w:val="nil"/>
              <w:bottom w:val="single" w:color="000000" w:sz="8" w:space="0"/>
              <w:right w:val="single" w:color="000000" w:sz="8" w:space="0"/>
            </w:tcBorders>
            <w:shd w:val="clear" w:color="auto" w:fill="auto"/>
            <w:vAlign w:val="center"/>
          </w:tcPr>
          <w:p w14:paraId="5FCE1D1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rPr>
              <w:t>3号楼1-4层</w:t>
            </w:r>
          </w:p>
        </w:tc>
        <w:tc>
          <w:tcPr>
            <w:tcW w:w="890" w:type="dxa"/>
            <w:tcBorders>
              <w:top w:val="nil"/>
              <w:left w:val="nil"/>
              <w:bottom w:val="single" w:color="000000" w:sz="8" w:space="0"/>
              <w:right w:val="single" w:color="000000" w:sz="8" w:space="0"/>
            </w:tcBorders>
            <w:shd w:val="clear" w:color="auto" w:fill="auto"/>
            <w:vAlign w:val="center"/>
          </w:tcPr>
          <w:p w14:paraId="54CD8C0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8"/>
                <w:rFonts w:hint="eastAsia" w:ascii="仿宋" w:hAnsi="仿宋" w:eastAsia="仿宋" w:cs="仿宋"/>
                <w:sz w:val="21"/>
                <w:szCs w:val="21"/>
                <w:lang w:val="en-US" w:eastAsia="zh-CN" w:bidi="ar"/>
              </w:rPr>
              <w:t>商业</w:t>
            </w:r>
          </w:p>
        </w:tc>
        <w:tc>
          <w:tcPr>
            <w:tcW w:w="1760" w:type="dxa"/>
            <w:tcBorders>
              <w:top w:val="nil"/>
              <w:left w:val="nil"/>
              <w:bottom w:val="single" w:color="000000" w:sz="8" w:space="0"/>
              <w:right w:val="single" w:color="000000" w:sz="8" w:space="0"/>
            </w:tcBorders>
            <w:shd w:val="clear" w:color="auto" w:fill="auto"/>
            <w:vAlign w:val="center"/>
          </w:tcPr>
          <w:p w14:paraId="4A4E039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6,016.68</w:t>
            </w:r>
          </w:p>
        </w:tc>
        <w:tc>
          <w:tcPr>
            <w:tcW w:w="966" w:type="dxa"/>
            <w:tcBorders>
              <w:top w:val="nil"/>
              <w:left w:val="nil"/>
              <w:bottom w:val="single" w:color="000000" w:sz="8" w:space="0"/>
              <w:right w:val="single" w:color="000000" w:sz="8" w:space="0"/>
            </w:tcBorders>
            <w:shd w:val="clear" w:color="auto" w:fill="auto"/>
            <w:vAlign w:val="center"/>
          </w:tcPr>
          <w:p w14:paraId="12C43E6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已抵押</w:t>
            </w:r>
          </w:p>
        </w:tc>
      </w:tr>
      <w:tr w14:paraId="57DA85E5">
        <w:trPr>
          <w:trHeight w:val="495" w:hRule="atLeast"/>
          <w:jc w:val="center"/>
        </w:trPr>
        <w:tc>
          <w:tcPr>
            <w:tcW w:w="786" w:type="dxa"/>
            <w:tcBorders>
              <w:top w:val="nil"/>
              <w:left w:val="single" w:color="000000" w:sz="8" w:space="0"/>
              <w:bottom w:val="single" w:color="000000" w:sz="8" w:space="0"/>
              <w:right w:val="single" w:color="000000" w:sz="8" w:space="0"/>
            </w:tcBorders>
            <w:shd w:val="clear" w:color="auto" w:fill="auto"/>
            <w:vAlign w:val="center"/>
          </w:tcPr>
          <w:p w14:paraId="3D5418D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2100" w:type="dxa"/>
            <w:tcBorders>
              <w:top w:val="nil"/>
              <w:left w:val="nil"/>
              <w:bottom w:val="single" w:color="000000" w:sz="8" w:space="0"/>
              <w:right w:val="single" w:color="000000" w:sz="8" w:space="0"/>
            </w:tcBorders>
            <w:shd w:val="clear" w:color="auto" w:fill="auto"/>
            <w:vAlign w:val="center"/>
          </w:tcPr>
          <w:p w14:paraId="01BB2D2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8"/>
                <w:rFonts w:hint="eastAsia" w:ascii="仿宋" w:hAnsi="仿宋" w:eastAsia="仿宋" w:cs="仿宋"/>
                <w:sz w:val="21"/>
                <w:szCs w:val="21"/>
                <w:lang w:val="en-US" w:eastAsia="zh-CN" w:bidi="ar"/>
              </w:rPr>
              <w:t>监证0193532</w:t>
            </w:r>
          </w:p>
        </w:tc>
        <w:tc>
          <w:tcPr>
            <w:tcW w:w="2020" w:type="dxa"/>
            <w:tcBorders>
              <w:top w:val="nil"/>
              <w:left w:val="nil"/>
              <w:bottom w:val="single" w:color="000000" w:sz="8" w:space="0"/>
              <w:right w:val="single" w:color="000000" w:sz="8" w:space="0"/>
            </w:tcBorders>
            <w:shd w:val="clear" w:color="auto" w:fill="auto"/>
            <w:vAlign w:val="center"/>
          </w:tcPr>
          <w:p w14:paraId="200E655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rPr>
              <w:t>4号楼1-4层</w:t>
            </w:r>
          </w:p>
        </w:tc>
        <w:tc>
          <w:tcPr>
            <w:tcW w:w="890" w:type="dxa"/>
            <w:tcBorders>
              <w:top w:val="nil"/>
              <w:left w:val="nil"/>
              <w:bottom w:val="single" w:color="000000" w:sz="8" w:space="0"/>
              <w:right w:val="single" w:color="000000" w:sz="8" w:space="0"/>
            </w:tcBorders>
            <w:shd w:val="clear" w:color="auto" w:fill="auto"/>
            <w:vAlign w:val="center"/>
          </w:tcPr>
          <w:p w14:paraId="081E4C4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8"/>
                <w:rFonts w:hint="eastAsia" w:ascii="仿宋" w:hAnsi="仿宋" w:eastAsia="仿宋" w:cs="仿宋"/>
                <w:sz w:val="21"/>
                <w:szCs w:val="21"/>
                <w:lang w:val="en-US" w:eastAsia="zh-CN" w:bidi="ar"/>
              </w:rPr>
              <w:t>商业</w:t>
            </w:r>
          </w:p>
        </w:tc>
        <w:tc>
          <w:tcPr>
            <w:tcW w:w="1760" w:type="dxa"/>
            <w:tcBorders>
              <w:top w:val="nil"/>
              <w:left w:val="nil"/>
              <w:bottom w:val="single" w:color="000000" w:sz="8" w:space="0"/>
              <w:right w:val="single" w:color="000000" w:sz="8" w:space="0"/>
            </w:tcBorders>
            <w:shd w:val="clear" w:color="auto" w:fill="auto"/>
            <w:vAlign w:val="center"/>
          </w:tcPr>
          <w:p w14:paraId="4DB8737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7,034.43</w:t>
            </w:r>
          </w:p>
        </w:tc>
        <w:tc>
          <w:tcPr>
            <w:tcW w:w="966" w:type="dxa"/>
            <w:tcBorders>
              <w:top w:val="nil"/>
              <w:left w:val="nil"/>
              <w:bottom w:val="single" w:color="000000" w:sz="8" w:space="0"/>
              <w:right w:val="single" w:color="000000" w:sz="8" w:space="0"/>
            </w:tcBorders>
            <w:shd w:val="clear" w:color="auto" w:fill="auto"/>
            <w:vAlign w:val="center"/>
          </w:tcPr>
          <w:p w14:paraId="11ECCB8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已抵押</w:t>
            </w:r>
          </w:p>
        </w:tc>
      </w:tr>
      <w:tr w14:paraId="5E7D1FD3">
        <w:trPr>
          <w:trHeight w:val="280" w:hRule="atLeast"/>
          <w:jc w:val="center"/>
        </w:trPr>
        <w:tc>
          <w:tcPr>
            <w:tcW w:w="5796" w:type="dxa"/>
            <w:gridSpan w:val="4"/>
            <w:tcBorders>
              <w:top w:val="nil"/>
              <w:left w:val="single" w:color="000000" w:sz="8" w:space="0"/>
              <w:bottom w:val="single" w:color="000000" w:sz="8" w:space="0"/>
              <w:right w:val="single" w:color="000000" w:sz="8" w:space="0"/>
            </w:tcBorders>
            <w:shd w:val="clear" w:color="auto" w:fill="auto"/>
            <w:vAlign w:val="center"/>
          </w:tcPr>
          <w:p w14:paraId="241CBB5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8"/>
                <w:rFonts w:hint="eastAsia" w:ascii="仿宋" w:hAnsi="仿宋" w:eastAsia="仿宋" w:cs="仿宋"/>
                <w:sz w:val="21"/>
                <w:szCs w:val="21"/>
                <w:lang w:val="en-US" w:eastAsia="zh-CN" w:bidi="ar"/>
              </w:rPr>
              <w:t>合计</w:t>
            </w:r>
          </w:p>
        </w:tc>
        <w:tc>
          <w:tcPr>
            <w:tcW w:w="2726" w:type="dxa"/>
            <w:gridSpan w:val="2"/>
            <w:tcBorders>
              <w:top w:val="nil"/>
              <w:left w:val="nil"/>
              <w:bottom w:val="single" w:color="000000" w:sz="8" w:space="0"/>
              <w:right w:val="single" w:color="000000" w:sz="8" w:space="0"/>
            </w:tcBorders>
            <w:shd w:val="clear" w:color="auto" w:fill="auto"/>
            <w:vAlign w:val="center"/>
          </w:tcPr>
          <w:p w14:paraId="6B4988E7">
            <w:pPr>
              <w:keepNext w:val="0"/>
              <w:keepLines w:val="0"/>
              <w:widowControl/>
              <w:suppressLineNumbers w:val="0"/>
              <w:ind w:firstLine="420" w:firstLineChars="200"/>
              <w:jc w:val="both"/>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43,960.81</w:t>
            </w:r>
          </w:p>
        </w:tc>
      </w:tr>
    </w:tbl>
    <w:p w14:paraId="4710A80E">
      <w:pPr>
        <w:pStyle w:val="2"/>
        <w:ind w:left="0" w:leftChars="0" w:firstLine="0" w:firstLineChars="0"/>
        <w:rPr>
          <w:rFonts w:hint="eastAsia"/>
        </w:rPr>
      </w:pPr>
    </w:p>
    <w:tbl>
      <w:tblPr>
        <w:tblStyle w:val="5"/>
        <w:tblW w:w="85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86"/>
        <w:gridCol w:w="1680"/>
        <w:gridCol w:w="2070"/>
        <w:gridCol w:w="1210"/>
        <w:gridCol w:w="1750"/>
        <w:gridCol w:w="1026"/>
      </w:tblGrid>
      <w:tr w14:paraId="45E9E72D">
        <w:trPr>
          <w:trHeight w:val="584" w:hRule="atLeast"/>
          <w:jc w:val="center"/>
        </w:trPr>
        <w:tc>
          <w:tcPr>
            <w:tcW w:w="8522" w:type="dxa"/>
            <w:gridSpan w:val="6"/>
            <w:tcBorders>
              <w:top w:val="single" w:color="000000" w:sz="8" w:space="0"/>
              <w:left w:val="single" w:color="000000" w:sz="8" w:space="0"/>
              <w:bottom w:val="single" w:color="000000" w:sz="8" w:space="0"/>
              <w:right w:val="single" w:color="000000" w:sz="8" w:space="0"/>
            </w:tcBorders>
            <w:shd w:val="clear" w:color="auto" w:fill="CFCECE" w:themeFill="background2" w:themeFillShade="E5"/>
            <w:vAlign w:val="center"/>
          </w:tcPr>
          <w:p w14:paraId="7B9AB25C">
            <w:pPr>
              <w:keepNext w:val="0"/>
              <w:keepLines w:val="0"/>
              <w:widowControl/>
              <w:suppressLineNumbers w:val="0"/>
              <w:jc w:val="center"/>
              <w:textAlignment w:val="center"/>
              <w:rPr>
                <w:rStyle w:val="8"/>
                <w:rFonts w:hint="eastAsia" w:ascii="仿宋" w:hAnsi="仿宋" w:eastAsia="仿宋" w:cs="仿宋"/>
                <w:b/>
                <w:bCs/>
                <w:sz w:val="30"/>
                <w:szCs w:val="30"/>
                <w:lang w:val="en-US" w:eastAsia="zh-CN" w:bidi="ar"/>
              </w:rPr>
            </w:pPr>
            <w:r>
              <w:rPr>
                <w:rStyle w:val="8"/>
                <w:rFonts w:hint="eastAsia" w:ascii="仿宋" w:hAnsi="仿宋" w:eastAsia="仿宋" w:cs="仿宋"/>
                <w:b/>
                <w:bCs/>
                <w:sz w:val="30"/>
                <w:szCs w:val="30"/>
                <w:lang w:val="en-US" w:eastAsia="zh-CN" w:bidi="ar"/>
              </w:rPr>
              <w:t>鑫河公司权属土地</w:t>
            </w:r>
          </w:p>
        </w:tc>
      </w:tr>
      <w:tr w14:paraId="13DD3E43">
        <w:trPr>
          <w:trHeight w:val="495" w:hRule="atLeast"/>
          <w:jc w:val="center"/>
        </w:trPr>
        <w:tc>
          <w:tcPr>
            <w:tcW w:w="786" w:type="dxa"/>
            <w:tcBorders>
              <w:top w:val="single" w:color="000000" w:sz="8" w:space="0"/>
              <w:left w:val="single" w:color="000000" w:sz="8" w:space="0"/>
              <w:bottom w:val="single" w:color="000000" w:sz="8" w:space="0"/>
              <w:right w:val="single" w:color="000000" w:sz="8" w:space="0"/>
            </w:tcBorders>
            <w:shd w:val="clear" w:color="auto" w:fill="CFCECE" w:themeFill="background2" w:themeFillShade="E5"/>
            <w:vAlign w:val="center"/>
          </w:tcPr>
          <w:p w14:paraId="59209D7A">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Style w:val="8"/>
                <w:rFonts w:hint="eastAsia" w:ascii="仿宋" w:hAnsi="仿宋" w:eastAsia="仿宋" w:cs="仿宋"/>
                <w:b/>
                <w:bCs/>
                <w:sz w:val="24"/>
                <w:szCs w:val="24"/>
                <w:lang w:val="en-US" w:eastAsia="zh-CN" w:bidi="ar"/>
              </w:rPr>
              <w:t>序号</w:t>
            </w:r>
          </w:p>
        </w:tc>
        <w:tc>
          <w:tcPr>
            <w:tcW w:w="1680" w:type="dxa"/>
            <w:tcBorders>
              <w:top w:val="single" w:color="000000" w:sz="8" w:space="0"/>
              <w:left w:val="nil"/>
              <w:bottom w:val="single" w:color="000000" w:sz="8" w:space="0"/>
              <w:right w:val="single" w:color="000000" w:sz="8" w:space="0"/>
            </w:tcBorders>
            <w:shd w:val="clear" w:color="auto" w:fill="CFCECE" w:themeFill="background2" w:themeFillShade="E5"/>
            <w:vAlign w:val="center"/>
          </w:tcPr>
          <w:p w14:paraId="5E311BC5">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lang w:val="en-US" w:eastAsia="zh-CN"/>
              </w:rPr>
            </w:pPr>
            <w:r>
              <w:rPr>
                <w:rFonts w:hint="eastAsia" w:ascii="仿宋" w:hAnsi="仿宋" w:eastAsia="仿宋" w:cs="仿宋"/>
                <w:b/>
                <w:bCs/>
                <w:i w:val="0"/>
                <w:iCs w:val="0"/>
                <w:color w:val="000000"/>
                <w:sz w:val="24"/>
                <w:szCs w:val="24"/>
                <w:u w:val="none"/>
                <w:lang w:val="en-US" w:eastAsia="zh-CN"/>
              </w:rPr>
              <w:t>权证号</w:t>
            </w:r>
          </w:p>
        </w:tc>
        <w:tc>
          <w:tcPr>
            <w:tcW w:w="2070" w:type="dxa"/>
            <w:tcBorders>
              <w:top w:val="single" w:color="000000" w:sz="8" w:space="0"/>
              <w:left w:val="nil"/>
              <w:bottom w:val="single" w:color="000000" w:sz="8" w:space="0"/>
              <w:right w:val="single" w:color="000000" w:sz="8" w:space="0"/>
            </w:tcBorders>
            <w:shd w:val="clear" w:color="auto" w:fill="CFCECE" w:themeFill="background2" w:themeFillShade="E5"/>
            <w:vAlign w:val="center"/>
          </w:tcPr>
          <w:p w14:paraId="72553929">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房屋坐落</w:t>
            </w:r>
          </w:p>
        </w:tc>
        <w:tc>
          <w:tcPr>
            <w:tcW w:w="1210" w:type="dxa"/>
            <w:tcBorders>
              <w:top w:val="single" w:color="000000" w:sz="8" w:space="0"/>
              <w:left w:val="nil"/>
              <w:bottom w:val="single" w:color="000000" w:sz="8" w:space="0"/>
              <w:right w:val="single" w:color="000000" w:sz="8" w:space="0"/>
            </w:tcBorders>
            <w:shd w:val="clear" w:color="auto" w:fill="CFCECE" w:themeFill="background2" w:themeFillShade="E5"/>
            <w:vAlign w:val="center"/>
          </w:tcPr>
          <w:p w14:paraId="17E6CC34">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lang w:val="en-US" w:eastAsia="zh-CN"/>
              </w:rPr>
            </w:pPr>
            <w:r>
              <w:rPr>
                <w:rFonts w:hint="eastAsia" w:ascii="仿宋" w:hAnsi="仿宋" w:eastAsia="仿宋" w:cs="仿宋"/>
                <w:b/>
                <w:bCs/>
                <w:i w:val="0"/>
                <w:iCs w:val="0"/>
                <w:color w:val="000000"/>
                <w:sz w:val="24"/>
                <w:szCs w:val="24"/>
                <w:u w:val="none"/>
                <w:lang w:val="en-US" w:eastAsia="zh-CN"/>
              </w:rPr>
              <w:t>用途</w:t>
            </w:r>
          </w:p>
        </w:tc>
        <w:tc>
          <w:tcPr>
            <w:tcW w:w="1750" w:type="dxa"/>
            <w:tcBorders>
              <w:top w:val="single" w:color="000000" w:sz="8" w:space="0"/>
              <w:left w:val="nil"/>
              <w:bottom w:val="single" w:color="000000" w:sz="8" w:space="0"/>
              <w:right w:val="single" w:color="000000" w:sz="8" w:space="0"/>
            </w:tcBorders>
            <w:shd w:val="clear" w:color="auto" w:fill="CFCECE" w:themeFill="background2" w:themeFillShade="E5"/>
            <w:vAlign w:val="center"/>
          </w:tcPr>
          <w:p w14:paraId="41DD5709">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Style w:val="8"/>
                <w:rFonts w:hint="eastAsia" w:ascii="仿宋" w:hAnsi="仿宋" w:eastAsia="仿宋" w:cs="仿宋"/>
                <w:b/>
                <w:bCs/>
                <w:sz w:val="24"/>
                <w:szCs w:val="24"/>
                <w:lang w:val="en-US" w:eastAsia="zh-CN" w:bidi="ar"/>
              </w:rPr>
              <w:t>使用面积（㎡）</w:t>
            </w:r>
          </w:p>
        </w:tc>
        <w:tc>
          <w:tcPr>
            <w:tcW w:w="1026" w:type="dxa"/>
            <w:tcBorders>
              <w:top w:val="single" w:color="000000" w:sz="8" w:space="0"/>
              <w:left w:val="nil"/>
              <w:bottom w:val="single" w:color="000000" w:sz="8" w:space="0"/>
              <w:right w:val="single" w:color="000000" w:sz="8" w:space="0"/>
            </w:tcBorders>
            <w:shd w:val="clear" w:color="auto" w:fill="CFCECE" w:themeFill="background2" w:themeFillShade="E5"/>
            <w:vAlign w:val="center"/>
          </w:tcPr>
          <w:p w14:paraId="1BBA3B24">
            <w:pPr>
              <w:keepNext w:val="0"/>
              <w:keepLines w:val="0"/>
              <w:widowControl/>
              <w:suppressLineNumbers w:val="0"/>
              <w:jc w:val="center"/>
              <w:textAlignment w:val="center"/>
              <w:rPr>
                <w:rStyle w:val="8"/>
                <w:rFonts w:hint="eastAsia" w:ascii="仿宋" w:hAnsi="仿宋" w:eastAsia="仿宋" w:cs="仿宋"/>
                <w:b/>
                <w:bCs/>
                <w:sz w:val="24"/>
                <w:szCs w:val="24"/>
                <w:lang w:val="en-US" w:eastAsia="zh-CN" w:bidi="ar"/>
              </w:rPr>
            </w:pPr>
            <w:r>
              <w:rPr>
                <w:rStyle w:val="8"/>
                <w:rFonts w:hint="eastAsia" w:ascii="仿宋" w:hAnsi="仿宋" w:eastAsia="仿宋" w:cs="仿宋"/>
                <w:b/>
                <w:bCs/>
                <w:sz w:val="24"/>
                <w:szCs w:val="24"/>
                <w:lang w:val="en-US" w:eastAsia="zh-CN" w:bidi="ar"/>
              </w:rPr>
              <w:t>备注</w:t>
            </w:r>
          </w:p>
        </w:tc>
      </w:tr>
      <w:tr w14:paraId="06ED0EB6">
        <w:trPr>
          <w:trHeight w:val="495" w:hRule="atLeast"/>
          <w:jc w:val="center"/>
        </w:trPr>
        <w:tc>
          <w:tcPr>
            <w:tcW w:w="786" w:type="dxa"/>
            <w:tcBorders>
              <w:top w:val="nil"/>
              <w:left w:val="single" w:color="000000" w:sz="8" w:space="0"/>
              <w:bottom w:val="single" w:color="000000" w:sz="8" w:space="0"/>
              <w:right w:val="single" w:color="000000" w:sz="8" w:space="0"/>
            </w:tcBorders>
            <w:shd w:val="clear" w:color="auto" w:fill="auto"/>
            <w:vAlign w:val="center"/>
          </w:tcPr>
          <w:p w14:paraId="07F72D6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1680" w:type="dxa"/>
            <w:tcBorders>
              <w:top w:val="nil"/>
              <w:left w:val="nil"/>
              <w:bottom w:val="single" w:color="000000" w:sz="8" w:space="0"/>
              <w:right w:val="single" w:color="000000" w:sz="8" w:space="0"/>
            </w:tcBorders>
            <w:shd w:val="clear" w:color="auto" w:fill="auto"/>
            <w:vAlign w:val="center"/>
          </w:tcPr>
          <w:p w14:paraId="7F17C41B">
            <w:pPr>
              <w:keepNext w:val="0"/>
              <w:keepLines w:val="0"/>
              <w:widowControl/>
              <w:suppressLineNumbers w:val="0"/>
              <w:jc w:val="both"/>
              <w:textAlignment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大邑国用（2013）字第1115号</w:t>
            </w:r>
          </w:p>
        </w:tc>
        <w:tc>
          <w:tcPr>
            <w:tcW w:w="2070" w:type="dxa"/>
            <w:tcBorders>
              <w:top w:val="nil"/>
              <w:left w:val="nil"/>
              <w:bottom w:val="single" w:color="000000" w:sz="8" w:space="0"/>
              <w:right w:val="single" w:color="000000" w:sz="8" w:space="0"/>
            </w:tcBorders>
            <w:shd w:val="clear" w:color="auto" w:fill="auto"/>
            <w:vAlign w:val="center"/>
          </w:tcPr>
          <w:p w14:paraId="11ACFE25">
            <w:pPr>
              <w:keepNext w:val="0"/>
              <w:keepLines w:val="0"/>
              <w:widowControl/>
              <w:suppressLineNumbers w:val="0"/>
              <w:jc w:val="both"/>
              <w:textAlignment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晋原镇蜀望路118号</w:t>
            </w:r>
          </w:p>
        </w:tc>
        <w:tc>
          <w:tcPr>
            <w:tcW w:w="1210" w:type="dxa"/>
            <w:tcBorders>
              <w:top w:val="nil"/>
              <w:left w:val="nil"/>
              <w:bottom w:val="single" w:color="000000" w:sz="8" w:space="0"/>
              <w:right w:val="single" w:color="000000" w:sz="8" w:space="0"/>
            </w:tcBorders>
            <w:shd w:val="clear" w:color="auto" w:fill="auto"/>
            <w:vAlign w:val="center"/>
          </w:tcPr>
          <w:p w14:paraId="444F8EBF">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val="en-US"/>
              </w:rPr>
            </w:pPr>
            <w:r>
              <w:rPr>
                <w:rStyle w:val="8"/>
                <w:rFonts w:hint="eastAsia" w:ascii="仿宋" w:hAnsi="仿宋" w:eastAsia="仿宋" w:cs="仿宋"/>
                <w:sz w:val="21"/>
                <w:szCs w:val="21"/>
                <w:lang w:val="en-US" w:eastAsia="zh-CN" w:bidi="ar"/>
              </w:rPr>
              <w:t>商业用地</w:t>
            </w:r>
          </w:p>
        </w:tc>
        <w:tc>
          <w:tcPr>
            <w:tcW w:w="1750" w:type="dxa"/>
            <w:tcBorders>
              <w:top w:val="nil"/>
              <w:left w:val="nil"/>
              <w:bottom w:val="single" w:color="000000" w:sz="8" w:space="0"/>
              <w:right w:val="single" w:color="000000" w:sz="8" w:space="0"/>
            </w:tcBorders>
            <w:shd w:val="clear" w:color="auto" w:fill="auto"/>
            <w:vAlign w:val="center"/>
          </w:tcPr>
          <w:p w14:paraId="26B13EA4">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26,630</w:t>
            </w:r>
          </w:p>
        </w:tc>
        <w:tc>
          <w:tcPr>
            <w:tcW w:w="1026" w:type="dxa"/>
            <w:tcBorders>
              <w:top w:val="nil"/>
              <w:left w:val="nil"/>
              <w:bottom w:val="single" w:color="000000" w:sz="8" w:space="0"/>
              <w:right w:val="single" w:color="000000" w:sz="8" w:space="0"/>
            </w:tcBorders>
            <w:shd w:val="clear" w:color="auto" w:fill="auto"/>
            <w:vAlign w:val="center"/>
          </w:tcPr>
          <w:p w14:paraId="59005FBA">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已抵押</w:t>
            </w:r>
          </w:p>
        </w:tc>
      </w:tr>
      <w:tr w14:paraId="047F3AF9">
        <w:trPr>
          <w:trHeight w:val="280" w:hRule="atLeast"/>
          <w:jc w:val="center"/>
        </w:trPr>
        <w:tc>
          <w:tcPr>
            <w:tcW w:w="5746" w:type="dxa"/>
            <w:gridSpan w:val="4"/>
            <w:tcBorders>
              <w:top w:val="nil"/>
              <w:left w:val="single" w:color="000000" w:sz="8" w:space="0"/>
              <w:bottom w:val="single" w:color="000000" w:sz="8" w:space="0"/>
              <w:right w:val="single" w:color="000000" w:sz="8" w:space="0"/>
            </w:tcBorders>
            <w:shd w:val="clear" w:color="auto" w:fill="auto"/>
            <w:vAlign w:val="center"/>
          </w:tcPr>
          <w:p w14:paraId="72C1D1F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8"/>
                <w:rFonts w:hint="eastAsia" w:ascii="仿宋" w:hAnsi="仿宋" w:eastAsia="仿宋" w:cs="仿宋"/>
                <w:sz w:val="21"/>
                <w:szCs w:val="21"/>
                <w:lang w:val="en-US" w:eastAsia="zh-CN" w:bidi="ar"/>
              </w:rPr>
              <w:t>合计</w:t>
            </w:r>
          </w:p>
        </w:tc>
        <w:tc>
          <w:tcPr>
            <w:tcW w:w="1750" w:type="dxa"/>
            <w:tcBorders>
              <w:top w:val="nil"/>
              <w:left w:val="nil"/>
              <w:bottom w:val="single" w:color="000000" w:sz="8" w:space="0"/>
              <w:right w:val="single" w:color="000000" w:sz="8" w:space="0"/>
            </w:tcBorders>
            <w:shd w:val="clear" w:color="auto" w:fill="auto"/>
            <w:vAlign w:val="center"/>
          </w:tcPr>
          <w:p w14:paraId="02AF7AC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sz w:val="21"/>
                <w:szCs w:val="21"/>
                <w:u w:val="none"/>
                <w:lang w:val="en-US" w:eastAsia="zh-CN"/>
              </w:rPr>
              <w:t>26,630</w:t>
            </w:r>
          </w:p>
        </w:tc>
        <w:tc>
          <w:tcPr>
            <w:tcW w:w="1026" w:type="dxa"/>
            <w:tcBorders>
              <w:top w:val="nil"/>
              <w:left w:val="nil"/>
              <w:bottom w:val="single" w:color="000000" w:sz="8" w:space="0"/>
              <w:right w:val="single" w:color="000000" w:sz="8" w:space="0"/>
            </w:tcBorders>
            <w:shd w:val="clear" w:color="auto" w:fill="auto"/>
            <w:vAlign w:val="center"/>
          </w:tcPr>
          <w:p w14:paraId="01E74C24">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val="en-US" w:eastAsia="zh-CN"/>
              </w:rPr>
            </w:pPr>
          </w:p>
        </w:tc>
      </w:tr>
    </w:tbl>
    <w:p w14:paraId="6D7B4431">
      <w:pPr>
        <w:pStyle w:val="9"/>
        <w:keepNext w:val="0"/>
        <w:keepLines w:val="0"/>
        <w:pageBreakBefore w:val="0"/>
        <w:widowControl w:val="0"/>
        <w:kinsoku/>
        <w:wordWrap/>
        <w:overflowPunct/>
        <w:topLinePunct w:val="0"/>
        <w:autoSpaceDE/>
        <w:autoSpaceDN/>
        <w:bidi w:val="0"/>
        <w:spacing w:line="360" w:lineRule="auto"/>
        <w:ind w:firstLine="640" w:firstLineChars="200"/>
        <w:textAlignment w:val="auto"/>
        <w:rPr>
          <w:rFonts w:hint="default" w:ascii="仿宋" w:hAnsi="仿宋" w:eastAsia="仿宋" w:cs="仿宋"/>
          <w:b/>
          <w:bCs/>
          <w:kern w:val="2"/>
          <w:sz w:val="30"/>
          <w:szCs w:val="30"/>
          <w:lang w:val="en-US" w:eastAsia="zh-CN" w:bidi="ar-SA"/>
        </w:rPr>
      </w:pPr>
      <w:r>
        <w:rPr>
          <w:rFonts w:hint="default" w:ascii="方正仿宋_GB2312" w:hAnsi="方正仿宋_GB2312" w:eastAsia="方正仿宋_GB2312" w:cs="方正仿宋_GB2312"/>
          <w:b w:val="0"/>
          <w:bCs w:val="0"/>
          <w:color w:val="auto"/>
          <w:kern w:val="2"/>
          <w:sz w:val="32"/>
          <w:szCs w:val="32"/>
          <w:lang w:val="en-US" w:eastAsia="zh-CN" w:bidi="ar-SA"/>
        </w:rPr>
        <w:t>2、酒</w:t>
      </w:r>
      <w:r>
        <w:rPr>
          <w:rFonts w:hint="eastAsia" w:ascii="仿宋" w:hAnsi="仿宋" w:eastAsia="仿宋" w:cs="仿宋"/>
          <w:b/>
          <w:bCs/>
          <w:kern w:val="2"/>
          <w:sz w:val="30"/>
          <w:szCs w:val="30"/>
          <w:lang w:val="en-US" w:eastAsia="zh-CN" w:bidi="ar-SA"/>
        </w:rPr>
        <w:t>店用品和设施、设备</w:t>
      </w:r>
    </w:p>
    <w:p w14:paraId="09E7D685">
      <w:pPr>
        <w:pStyle w:val="9"/>
        <w:keepNext w:val="0"/>
        <w:keepLines w:val="0"/>
        <w:pageBreakBefore w:val="0"/>
        <w:widowControl w:val="0"/>
        <w:kinsoku/>
        <w:wordWrap/>
        <w:overflowPunct/>
        <w:topLinePunct w:val="0"/>
        <w:autoSpaceDE/>
        <w:autoSpaceDN/>
        <w:bidi w:val="0"/>
        <w:spacing w:line="360" w:lineRule="auto"/>
        <w:ind w:firstLine="600"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鑫河</w:t>
      </w:r>
      <w:r>
        <w:rPr>
          <w:rFonts w:hint="eastAsia" w:eastAsia="仿宋" w:cs="仿宋"/>
          <w:color w:val="auto"/>
          <w:sz w:val="30"/>
          <w:szCs w:val="30"/>
          <w:lang w:val="en-US" w:eastAsia="zh-CN"/>
        </w:rPr>
        <w:t>酒店</w:t>
      </w:r>
      <w:r>
        <w:rPr>
          <w:rFonts w:hint="eastAsia" w:ascii="仿宋" w:hAnsi="仿宋" w:eastAsia="仿宋" w:cs="仿宋"/>
          <w:color w:val="auto"/>
          <w:sz w:val="30"/>
          <w:szCs w:val="30"/>
          <w:lang w:val="en-US" w:eastAsia="zh-CN"/>
        </w:rPr>
        <w:t>在成立初期</w:t>
      </w:r>
      <w:r>
        <w:rPr>
          <w:rFonts w:hint="eastAsia" w:eastAsia="仿宋" w:cs="仿宋"/>
          <w:color w:val="auto"/>
          <w:sz w:val="30"/>
          <w:szCs w:val="30"/>
          <w:lang w:val="en-US" w:eastAsia="zh-CN"/>
        </w:rPr>
        <w:t>进行了装修并</w:t>
      </w:r>
      <w:r>
        <w:rPr>
          <w:rFonts w:hint="eastAsia" w:ascii="仿宋" w:hAnsi="仿宋" w:eastAsia="仿宋" w:cs="仿宋"/>
          <w:color w:val="auto"/>
          <w:sz w:val="30"/>
          <w:szCs w:val="30"/>
          <w:lang w:val="en-US" w:eastAsia="zh-CN"/>
        </w:rPr>
        <w:t>置办了大量酒店经营用品和设施设备</w:t>
      </w:r>
      <w:r>
        <w:rPr>
          <w:rFonts w:hint="eastAsia" w:eastAsia="仿宋" w:cs="仿宋"/>
          <w:color w:val="auto"/>
          <w:sz w:val="30"/>
          <w:szCs w:val="30"/>
          <w:lang w:val="en-US" w:eastAsia="zh-CN"/>
        </w:rPr>
        <w:t>等。</w:t>
      </w:r>
    </w:p>
    <w:p w14:paraId="0AA3E7DC">
      <w:pPr>
        <w:keepNext w:val="0"/>
        <w:keepLines w:val="0"/>
        <w:pageBreakBefore w:val="0"/>
        <w:widowControl w:val="0"/>
        <w:kinsoku/>
        <w:wordWrap/>
        <w:overflowPunct/>
        <w:topLinePunct w:val="0"/>
        <w:autoSpaceDE/>
        <w:autoSpaceDN/>
        <w:bidi w:val="0"/>
        <w:adjustRightInd/>
        <w:snapToGrid/>
        <w:spacing w:line="610" w:lineRule="exact"/>
        <w:ind w:firstLine="643" w:firstLineChars="200"/>
        <w:jc w:val="both"/>
        <w:textAlignment w:val="auto"/>
        <w:rPr>
          <w:rFonts w:hint="eastAsia" w:ascii="方正仿宋_GB2312" w:hAnsi="方正仿宋_GB2312" w:eastAsia="方正仿宋_GB2312" w:cs="方正仿宋_GB2312"/>
          <w:b/>
          <w:bCs/>
          <w:color w:val="auto"/>
          <w:sz w:val="32"/>
          <w:szCs w:val="32"/>
        </w:rPr>
      </w:pPr>
      <w:r>
        <w:rPr>
          <w:rFonts w:hint="eastAsia" w:ascii="方正仿宋_GB2312" w:hAnsi="方正仿宋_GB2312" w:eastAsia="方正仿宋_GB2312" w:cs="方正仿宋_GB2312"/>
          <w:b/>
          <w:bCs/>
          <w:color w:val="auto"/>
          <w:sz w:val="32"/>
          <w:szCs w:val="32"/>
          <w:lang w:val="en-US" w:eastAsia="zh-CN"/>
        </w:rPr>
        <w:t>二</w:t>
      </w:r>
      <w:r>
        <w:rPr>
          <w:rFonts w:hint="eastAsia" w:ascii="方正仿宋_GB2312" w:hAnsi="方正仿宋_GB2312" w:eastAsia="方正仿宋_GB2312" w:cs="方正仿宋_GB2312"/>
          <w:b/>
          <w:bCs/>
          <w:color w:val="auto"/>
          <w:sz w:val="32"/>
          <w:szCs w:val="32"/>
        </w:rPr>
        <w:t>、参选条件</w:t>
      </w:r>
    </w:p>
    <w:p w14:paraId="0A0B7D61">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（一）在中华人民共和国境内依法设立，能够独立承担民事责任的企业法人。</w:t>
      </w:r>
    </w:p>
    <w:p w14:paraId="0D07C206">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（二）截至本公告发布之日，参选机构已列入四川法院对外委托专业机构电子信息平台库（现行有效）。</w:t>
      </w:r>
    </w:p>
    <w:p w14:paraId="2B46BA66">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（三）参选机构应当具备相应的资产评估资质。</w:t>
      </w:r>
    </w:p>
    <w:p w14:paraId="47B1E76E">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（四）参选机构不得与债务人具有法律上的利害关系，不得存在3年内因违规执业被行政处罚或者行业处分的情形，且不得进入国家信用系统公示的失信人名单。</w:t>
      </w:r>
    </w:p>
    <w:p w14:paraId="54AB7F7C">
      <w:pPr>
        <w:keepNext w:val="0"/>
        <w:keepLines w:val="0"/>
        <w:pageBreakBefore w:val="0"/>
        <w:widowControl w:val="0"/>
        <w:kinsoku/>
        <w:wordWrap/>
        <w:overflowPunct/>
        <w:topLinePunct w:val="0"/>
        <w:autoSpaceDE/>
        <w:autoSpaceDN/>
        <w:bidi w:val="0"/>
        <w:adjustRightInd/>
        <w:snapToGrid/>
        <w:spacing w:line="610" w:lineRule="exact"/>
        <w:ind w:firstLine="643" w:firstLineChars="200"/>
        <w:jc w:val="both"/>
        <w:textAlignment w:val="auto"/>
        <w:rPr>
          <w:rFonts w:hint="eastAsia" w:ascii="方正仿宋_GB2312" w:hAnsi="方正仿宋_GB2312" w:eastAsia="方正仿宋_GB2312" w:cs="方正仿宋_GB2312"/>
          <w:b/>
          <w:bCs/>
          <w:color w:val="auto"/>
          <w:sz w:val="32"/>
          <w:szCs w:val="32"/>
        </w:rPr>
      </w:pPr>
      <w:r>
        <w:rPr>
          <w:rFonts w:hint="eastAsia" w:ascii="方正仿宋_GB2312" w:hAnsi="方正仿宋_GB2312" w:eastAsia="方正仿宋_GB2312" w:cs="方正仿宋_GB2312"/>
          <w:b/>
          <w:bCs/>
          <w:color w:val="auto"/>
          <w:sz w:val="32"/>
          <w:szCs w:val="32"/>
          <w:lang w:val="en-US" w:eastAsia="zh-CN"/>
        </w:rPr>
        <w:t>三、</w:t>
      </w:r>
      <w:r>
        <w:rPr>
          <w:rFonts w:hint="eastAsia" w:ascii="方正仿宋_GB2312" w:hAnsi="方正仿宋_GB2312" w:eastAsia="方正仿宋_GB2312" w:cs="方正仿宋_GB2312"/>
          <w:b/>
          <w:bCs/>
          <w:color w:val="auto"/>
          <w:sz w:val="32"/>
          <w:szCs w:val="32"/>
        </w:rPr>
        <w:t>服务范围</w:t>
      </w:r>
    </w:p>
    <w:p w14:paraId="53FA9643">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eastAsia" w:ascii="方正仿宋_GB2312" w:hAnsi="方正仿宋_GB2312" w:eastAsia="方正仿宋_GB2312" w:cs="方正仿宋_GB2312"/>
          <w:color w:val="auto"/>
          <w:sz w:val="32"/>
          <w:szCs w:val="32"/>
          <w:highlight w:val="none"/>
          <w:lang w:val="en-US" w:eastAsia="zh-CN"/>
        </w:rPr>
      </w:pPr>
      <w:bookmarkStart w:id="4" w:name="_GoBack"/>
      <w:r>
        <w:rPr>
          <w:rFonts w:hint="eastAsia" w:ascii="方正仿宋_GB2312" w:hAnsi="方正仿宋_GB2312" w:eastAsia="方正仿宋_GB2312" w:cs="方正仿宋_GB2312"/>
          <w:color w:val="auto"/>
          <w:sz w:val="32"/>
          <w:szCs w:val="32"/>
          <w:highlight w:val="none"/>
          <w:lang w:val="en-US" w:eastAsia="zh-CN"/>
        </w:rPr>
        <w:t>1、协助管理人对鑫河公司主要资产处置后过户涉税事项所需资料进行梳理；</w:t>
      </w:r>
    </w:p>
    <w:p w14:paraId="2F3556BC">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eastAsia" w:ascii="方正仿宋_GB2312" w:hAnsi="方正仿宋_GB2312" w:eastAsia="方正仿宋_GB2312" w:cs="方正仿宋_GB2312"/>
          <w:color w:val="auto"/>
          <w:sz w:val="32"/>
          <w:szCs w:val="32"/>
          <w:highlight w:val="none"/>
          <w:lang w:val="en-US" w:eastAsia="zh-CN"/>
        </w:rPr>
      </w:pPr>
      <w:r>
        <w:rPr>
          <w:rFonts w:hint="eastAsia" w:ascii="方正仿宋_GB2312" w:hAnsi="方正仿宋_GB2312" w:eastAsia="方正仿宋_GB2312" w:cs="方正仿宋_GB2312"/>
          <w:color w:val="auto"/>
          <w:sz w:val="32"/>
          <w:szCs w:val="32"/>
          <w:highlight w:val="none"/>
          <w:lang w:val="en-US" w:eastAsia="zh-CN"/>
        </w:rPr>
        <w:t>2、出具不动产产权过户时涉及土增税等相关税款申报的资产评估报告。</w:t>
      </w:r>
    </w:p>
    <w:bookmarkEnd w:id="4"/>
    <w:p w14:paraId="1E59BA66">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lang w:val="en-US" w:eastAsia="zh-CN"/>
        </w:rPr>
        <w:t>3</w:t>
      </w:r>
      <w:r>
        <w:rPr>
          <w:rFonts w:hint="eastAsia" w:ascii="方正仿宋_GB2312" w:hAnsi="方正仿宋_GB2312" w:eastAsia="方正仿宋_GB2312" w:cs="方正仿宋_GB2312"/>
          <w:color w:val="auto"/>
          <w:sz w:val="32"/>
          <w:szCs w:val="32"/>
        </w:rPr>
        <w:t>、管理人认为需由评估机构完成的其他工作。</w:t>
      </w:r>
    </w:p>
    <w:p w14:paraId="5E0BD835">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注：具体服务范围以最终签署的服务合同为准。</w:t>
      </w:r>
    </w:p>
    <w:p w14:paraId="6E43077B">
      <w:pPr>
        <w:keepNext w:val="0"/>
        <w:keepLines w:val="0"/>
        <w:pageBreakBefore w:val="0"/>
        <w:widowControl w:val="0"/>
        <w:kinsoku/>
        <w:wordWrap/>
        <w:overflowPunct/>
        <w:topLinePunct w:val="0"/>
        <w:autoSpaceDE/>
        <w:autoSpaceDN/>
        <w:bidi w:val="0"/>
        <w:adjustRightInd/>
        <w:snapToGrid/>
        <w:spacing w:line="610" w:lineRule="exact"/>
        <w:ind w:firstLine="643" w:firstLineChars="200"/>
        <w:jc w:val="both"/>
        <w:textAlignment w:val="auto"/>
        <w:rPr>
          <w:rFonts w:hint="eastAsia" w:ascii="方正仿宋_GB2312" w:hAnsi="方正仿宋_GB2312" w:eastAsia="方正仿宋_GB2312" w:cs="方正仿宋_GB2312"/>
          <w:b/>
          <w:bCs/>
          <w:color w:val="auto"/>
          <w:sz w:val="32"/>
          <w:szCs w:val="32"/>
        </w:rPr>
      </w:pPr>
      <w:r>
        <w:rPr>
          <w:rFonts w:hint="eastAsia" w:ascii="方正仿宋_GB2312" w:hAnsi="方正仿宋_GB2312" w:eastAsia="方正仿宋_GB2312" w:cs="方正仿宋_GB2312"/>
          <w:b/>
          <w:bCs/>
          <w:color w:val="auto"/>
          <w:sz w:val="32"/>
          <w:szCs w:val="32"/>
          <w:lang w:val="en-US" w:eastAsia="zh-CN"/>
        </w:rPr>
        <w:t>四</w:t>
      </w:r>
      <w:r>
        <w:rPr>
          <w:rFonts w:hint="eastAsia" w:ascii="方正仿宋_GB2312" w:hAnsi="方正仿宋_GB2312" w:eastAsia="方正仿宋_GB2312" w:cs="方正仿宋_GB2312"/>
          <w:b/>
          <w:bCs/>
          <w:color w:val="auto"/>
          <w:sz w:val="32"/>
          <w:szCs w:val="32"/>
        </w:rPr>
        <w:t>、参选文件编写</w:t>
      </w:r>
    </w:p>
    <w:p w14:paraId="7DFAE147">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（一）参选机构应仔细阅读公告的相关内容，按本公告的要求起草和提交参选文件，并保证所提供的全部资料的真实性、准确性及完整性。</w:t>
      </w:r>
    </w:p>
    <w:p w14:paraId="33F53267">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（二）参选文件相关内容的制定不得设置假设性前置条件。</w:t>
      </w:r>
    </w:p>
    <w:p w14:paraId="3816331F">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（三）参选文件应包括但不限于下列内容：</w:t>
      </w:r>
    </w:p>
    <w:p w14:paraId="07CFF6C5">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1、参选机构主体资格资料，包括但不限于：</w:t>
      </w:r>
    </w:p>
    <w:p w14:paraId="2C4FE036">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（1）营业执照副本复印件；</w:t>
      </w:r>
    </w:p>
    <w:p w14:paraId="434F7C66">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（2）资产评估资质证明文件；</w:t>
      </w:r>
    </w:p>
    <w:p w14:paraId="34992DEE">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（3）入选四川法院对外委托专业机构电子信息平台库（现行有效）的证明文件；</w:t>
      </w:r>
    </w:p>
    <w:p w14:paraId="2B462959">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（4）法定代表人身份证明原件（需加盖企业公章）及身份证复印件；</w:t>
      </w:r>
    </w:p>
    <w:p w14:paraId="3E59C260">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（5）授权委托书原件及受托人的身份证复印件，载明联系人、联系电话、通信地址；</w:t>
      </w:r>
    </w:p>
    <w:p w14:paraId="2F839843">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（6）参与本项目的人员资格证书及个人身份证件（复印件）；</w:t>
      </w:r>
    </w:p>
    <w:p w14:paraId="62E90FFD">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（7）参选机构关于与</w:t>
      </w:r>
      <w:r>
        <w:rPr>
          <w:rFonts w:hint="eastAsia" w:ascii="方正仿宋_GB2312" w:hAnsi="方正仿宋_GB2312" w:eastAsia="方正仿宋_GB2312" w:cs="方正仿宋_GB2312"/>
          <w:color w:val="auto"/>
          <w:sz w:val="32"/>
          <w:szCs w:val="32"/>
          <w:lang w:val="en-US" w:eastAsia="zh-CN"/>
        </w:rPr>
        <w:t>鑫河</w:t>
      </w:r>
      <w:r>
        <w:rPr>
          <w:rFonts w:hint="eastAsia" w:ascii="方正仿宋_GB2312" w:hAnsi="方正仿宋_GB2312" w:eastAsia="方正仿宋_GB2312" w:cs="方正仿宋_GB2312"/>
          <w:color w:val="auto"/>
          <w:sz w:val="32"/>
          <w:szCs w:val="32"/>
        </w:rPr>
        <w:t>公司无法律上的利害关系的声明、3年内未因违规执业被行政处罚或者行业处分的声明、无失信行为的声明、及时高效规范履职的承诺书（原件）；</w:t>
      </w:r>
    </w:p>
    <w:p w14:paraId="671ADA74">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2、提供已开展的类似项目业绩证明材料，如委托合同、书面报告等（复印件）；</w:t>
      </w:r>
    </w:p>
    <w:p w14:paraId="1F861739">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3、服务方案，包括但不限于机构基本情况介绍、本机构工作经验、项目现场负责人工作经验、项目团队人员组成、本项目的工作期间、工作计划和安排、报价等（报价须载明明确的收费包干价金额）。</w:t>
      </w:r>
    </w:p>
    <w:p w14:paraId="5D5934F4">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4、参选机构认为需要提供的其他文件、资料。</w:t>
      </w:r>
    </w:p>
    <w:p w14:paraId="45FC76BC">
      <w:pPr>
        <w:keepNext w:val="0"/>
        <w:keepLines w:val="0"/>
        <w:pageBreakBefore w:val="0"/>
        <w:widowControl w:val="0"/>
        <w:kinsoku/>
        <w:wordWrap/>
        <w:overflowPunct/>
        <w:topLinePunct w:val="0"/>
        <w:autoSpaceDE/>
        <w:autoSpaceDN/>
        <w:bidi w:val="0"/>
        <w:adjustRightInd/>
        <w:snapToGrid/>
        <w:spacing w:line="610" w:lineRule="exact"/>
        <w:ind w:firstLine="643" w:firstLineChars="200"/>
        <w:jc w:val="both"/>
        <w:textAlignment w:val="auto"/>
        <w:rPr>
          <w:rFonts w:hint="eastAsia" w:ascii="方正仿宋_GB2312" w:hAnsi="方正仿宋_GB2312" w:eastAsia="方正仿宋_GB2312" w:cs="方正仿宋_GB2312"/>
          <w:b/>
          <w:bCs/>
          <w:color w:val="auto"/>
          <w:sz w:val="32"/>
          <w:szCs w:val="32"/>
        </w:rPr>
      </w:pPr>
      <w:r>
        <w:rPr>
          <w:rFonts w:hint="eastAsia" w:ascii="方正仿宋_GB2312" w:hAnsi="方正仿宋_GB2312" w:eastAsia="方正仿宋_GB2312" w:cs="方正仿宋_GB2312"/>
          <w:b/>
          <w:bCs/>
          <w:color w:val="auto"/>
          <w:sz w:val="32"/>
          <w:szCs w:val="32"/>
          <w:lang w:val="en-US" w:eastAsia="zh-CN"/>
        </w:rPr>
        <w:t>五</w:t>
      </w:r>
      <w:r>
        <w:rPr>
          <w:rFonts w:hint="eastAsia" w:ascii="方正仿宋_GB2312" w:hAnsi="方正仿宋_GB2312" w:eastAsia="方正仿宋_GB2312" w:cs="方正仿宋_GB2312"/>
          <w:b/>
          <w:bCs/>
          <w:color w:val="auto"/>
          <w:sz w:val="32"/>
          <w:szCs w:val="32"/>
        </w:rPr>
        <w:t>、参选文件的提交</w:t>
      </w:r>
    </w:p>
    <w:p w14:paraId="364EA909">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（一）参选文件应装订成册且密封提交。封面及全部文件均加盖参选机构公章，并由法定代表人（负责人）或授权代理人签字或盖章。</w:t>
      </w:r>
    </w:p>
    <w:p w14:paraId="506C0241">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（二）参选文件的提交方式：参选机构将书面参选文件邮寄至成都市高新区天府四街158号OCG国际中心B座1</w:t>
      </w:r>
      <w:r>
        <w:rPr>
          <w:rFonts w:hint="eastAsia" w:ascii="方正仿宋_GB2312" w:hAnsi="方正仿宋_GB2312" w:eastAsia="方正仿宋_GB2312" w:cs="方正仿宋_GB2312"/>
          <w:color w:val="auto"/>
          <w:sz w:val="32"/>
          <w:szCs w:val="32"/>
          <w:lang w:val="en-US" w:eastAsia="zh-CN"/>
        </w:rPr>
        <w:t>5</w:t>
      </w:r>
      <w:r>
        <w:rPr>
          <w:rFonts w:hint="eastAsia" w:ascii="方正仿宋_GB2312" w:hAnsi="方正仿宋_GB2312" w:eastAsia="方正仿宋_GB2312" w:cs="方正仿宋_GB2312"/>
          <w:color w:val="auto"/>
          <w:sz w:val="32"/>
          <w:szCs w:val="32"/>
        </w:rPr>
        <w:t>楼北京中银（成都）律师事务所。（不接受到付）</w:t>
      </w:r>
    </w:p>
    <w:p w14:paraId="11E0518D">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（三）参选文件提交的截止日期</w:t>
      </w:r>
      <w:r>
        <w:rPr>
          <w:rFonts w:hint="eastAsia" w:ascii="方正仿宋_GB2312" w:hAnsi="方正仿宋_GB2312" w:eastAsia="方正仿宋_GB2312" w:cs="方正仿宋_GB2312"/>
          <w:color w:val="auto"/>
          <w:sz w:val="32"/>
          <w:szCs w:val="32"/>
          <w:highlight w:val="none"/>
        </w:rPr>
        <w:t>：202</w:t>
      </w:r>
      <w:r>
        <w:rPr>
          <w:rFonts w:hint="eastAsia" w:ascii="方正仿宋_GB2312" w:hAnsi="方正仿宋_GB2312" w:eastAsia="方正仿宋_GB2312" w:cs="方正仿宋_GB2312"/>
          <w:color w:val="auto"/>
          <w:sz w:val="32"/>
          <w:szCs w:val="32"/>
          <w:highlight w:val="none"/>
          <w:lang w:val="en-US" w:eastAsia="zh-CN"/>
        </w:rPr>
        <w:t>4</w:t>
      </w:r>
      <w:r>
        <w:rPr>
          <w:rFonts w:hint="eastAsia" w:ascii="方正仿宋_GB2312" w:hAnsi="方正仿宋_GB2312" w:eastAsia="方正仿宋_GB2312" w:cs="方正仿宋_GB2312"/>
          <w:color w:val="auto"/>
          <w:sz w:val="32"/>
          <w:szCs w:val="32"/>
          <w:highlight w:val="none"/>
        </w:rPr>
        <w:t>年【</w:t>
      </w:r>
      <w:r>
        <w:rPr>
          <w:rFonts w:hint="eastAsia" w:ascii="方正仿宋_GB2312" w:hAnsi="方正仿宋_GB2312" w:eastAsia="方正仿宋_GB2312" w:cs="方正仿宋_GB2312"/>
          <w:color w:val="auto"/>
          <w:sz w:val="32"/>
          <w:szCs w:val="32"/>
          <w:highlight w:val="none"/>
          <w:lang w:val="en-US" w:eastAsia="zh-CN"/>
        </w:rPr>
        <w:t>9</w:t>
      </w:r>
      <w:r>
        <w:rPr>
          <w:rFonts w:hint="eastAsia" w:ascii="方正仿宋_GB2312" w:hAnsi="方正仿宋_GB2312" w:eastAsia="方正仿宋_GB2312" w:cs="方正仿宋_GB2312"/>
          <w:color w:val="auto"/>
          <w:sz w:val="32"/>
          <w:szCs w:val="32"/>
          <w:highlight w:val="none"/>
        </w:rPr>
        <w:t>】月【</w:t>
      </w:r>
      <w:r>
        <w:rPr>
          <w:rFonts w:hint="eastAsia" w:ascii="方正仿宋_GB2312" w:hAnsi="方正仿宋_GB2312" w:eastAsia="方正仿宋_GB2312" w:cs="方正仿宋_GB2312"/>
          <w:color w:val="auto"/>
          <w:sz w:val="32"/>
          <w:szCs w:val="32"/>
          <w:highlight w:val="none"/>
          <w:lang w:val="en-US" w:eastAsia="zh-CN"/>
        </w:rPr>
        <w:t>13</w:t>
      </w:r>
      <w:r>
        <w:rPr>
          <w:rFonts w:hint="eastAsia" w:ascii="方正仿宋_GB2312" w:hAnsi="方正仿宋_GB2312" w:eastAsia="方正仿宋_GB2312" w:cs="方正仿宋_GB2312"/>
          <w:color w:val="auto"/>
          <w:sz w:val="32"/>
          <w:szCs w:val="32"/>
          <w:highlight w:val="none"/>
        </w:rPr>
        <w:t>】日1</w:t>
      </w:r>
      <w:r>
        <w:rPr>
          <w:rFonts w:hint="eastAsia" w:ascii="方正仿宋_GB2312" w:hAnsi="方正仿宋_GB2312" w:eastAsia="方正仿宋_GB2312" w:cs="方正仿宋_GB2312"/>
          <w:color w:val="auto"/>
          <w:sz w:val="32"/>
          <w:szCs w:val="32"/>
        </w:rPr>
        <w:t>7:00。</w:t>
      </w:r>
    </w:p>
    <w:p w14:paraId="1BD07984">
      <w:pPr>
        <w:keepNext w:val="0"/>
        <w:keepLines w:val="0"/>
        <w:pageBreakBefore w:val="0"/>
        <w:widowControl w:val="0"/>
        <w:kinsoku/>
        <w:wordWrap/>
        <w:overflowPunct/>
        <w:topLinePunct w:val="0"/>
        <w:autoSpaceDE/>
        <w:autoSpaceDN/>
        <w:bidi w:val="0"/>
        <w:adjustRightInd/>
        <w:snapToGrid/>
        <w:spacing w:line="610" w:lineRule="exact"/>
        <w:ind w:firstLine="640" w:firstLineChars="200"/>
        <w:jc w:val="both"/>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w:t>
      </w:r>
      <w:r>
        <w:rPr>
          <w:rFonts w:hint="eastAsia" w:ascii="方正仿宋_GB2312" w:hAnsi="方正仿宋_GB2312" w:eastAsia="方正仿宋_GB2312" w:cs="方正仿宋_GB2312"/>
          <w:color w:val="auto"/>
          <w:sz w:val="32"/>
          <w:szCs w:val="32"/>
          <w:lang w:val="en-US" w:eastAsia="zh-CN"/>
        </w:rPr>
        <w:t>四</w:t>
      </w:r>
      <w:r>
        <w:rPr>
          <w:rFonts w:hint="eastAsia" w:ascii="方正仿宋_GB2312" w:hAnsi="方正仿宋_GB2312" w:eastAsia="方正仿宋_GB2312" w:cs="方正仿宋_GB2312"/>
          <w:color w:val="auto"/>
          <w:sz w:val="32"/>
          <w:szCs w:val="32"/>
        </w:rPr>
        <w:t>）联系人及联系方式：郭律师，180 1067 2113。</w:t>
      </w:r>
    </w:p>
    <w:p w14:paraId="12028CA3">
      <w:pPr>
        <w:keepNext w:val="0"/>
        <w:keepLines w:val="0"/>
        <w:pageBreakBefore w:val="0"/>
        <w:kinsoku/>
        <w:wordWrap/>
        <w:overflowPunct/>
        <w:topLinePunct w:val="0"/>
        <w:autoSpaceDE/>
        <w:autoSpaceDN/>
        <w:bidi w:val="0"/>
        <w:adjustRightInd/>
        <w:snapToGrid/>
        <w:spacing w:line="610" w:lineRule="exact"/>
        <w:ind w:firstLine="643" w:firstLineChars="200"/>
        <w:textAlignment w:val="auto"/>
        <w:rPr>
          <w:rFonts w:hint="eastAsia"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六、选定评估机构的方式和时间</w:t>
      </w:r>
    </w:p>
    <w:p w14:paraId="27144270">
      <w:pPr>
        <w:keepNext w:val="0"/>
        <w:keepLines w:val="0"/>
        <w:pageBreakBefore w:val="0"/>
        <w:kinsoku/>
        <w:wordWrap/>
        <w:overflowPunct/>
        <w:topLinePunct w:val="0"/>
        <w:autoSpaceDE/>
        <w:autoSpaceDN/>
        <w:bidi w:val="0"/>
        <w:adjustRightInd/>
        <w:snapToGrid/>
        <w:spacing w:line="61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管理人将综合考虑参选机构资质、经验、方案及报价等项优先确定合适的评估机构。</w:t>
      </w:r>
    </w:p>
    <w:p w14:paraId="52439EC7">
      <w:pPr>
        <w:keepNext w:val="0"/>
        <w:keepLines w:val="0"/>
        <w:pageBreakBefore w:val="0"/>
        <w:kinsoku/>
        <w:wordWrap/>
        <w:overflowPunct/>
        <w:topLinePunct w:val="0"/>
        <w:autoSpaceDE/>
        <w:autoSpaceDN/>
        <w:bidi w:val="0"/>
        <w:adjustRightInd/>
        <w:snapToGrid/>
        <w:spacing w:line="610" w:lineRule="exact"/>
        <w:ind w:firstLine="643"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bCs/>
          <w:sz w:val="32"/>
          <w:szCs w:val="32"/>
          <w:lang w:val="en-US" w:eastAsia="zh-CN"/>
        </w:rPr>
        <w:t>评选时间</w:t>
      </w:r>
      <w:r>
        <w:rPr>
          <w:rFonts w:hint="eastAsia" w:ascii="方正仿宋_GB2312" w:hAnsi="方正仿宋_GB2312" w:eastAsia="方正仿宋_GB2312" w:cs="方正仿宋_GB2312"/>
          <w:sz w:val="32"/>
          <w:szCs w:val="32"/>
          <w:lang w:val="en-US" w:eastAsia="zh-CN"/>
        </w:rPr>
        <w:t>：2024年9月14日下午3点</w:t>
      </w:r>
    </w:p>
    <w:p w14:paraId="7D4235B2">
      <w:pPr>
        <w:keepNext w:val="0"/>
        <w:keepLines w:val="0"/>
        <w:pageBreakBefore w:val="0"/>
        <w:kinsoku/>
        <w:wordWrap/>
        <w:overflowPunct/>
        <w:topLinePunct w:val="0"/>
        <w:autoSpaceDE/>
        <w:autoSpaceDN/>
        <w:bidi w:val="0"/>
        <w:adjustRightInd/>
        <w:snapToGrid/>
        <w:spacing w:line="610" w:lineRule="exact"/>
        <w:ind w:firstLine="643" w:firstLineChars="200"/>
        <w:textAlignment w:val="auto"/>
        <w:rPr>
          <w:rFonts w:hint="eastAsia"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七、费用的支付</w:t>
      </w:r>
    </w:p>
    <w:p w14:paraId="1B0FA7CD">
      <w:pPr>
        <w:keepNext w:val="0"/>
        <w:keepLines w:val="0"/>
        <w:pageBreakBefore w:val="0"/>
        <w:kinsoku/>
        <w:wordWrap/>
        <w:overflowPunct/>
        <w:topLinePunct w:val="0"/>
        <w:autoSpaceDE/>
        <w:autoSpaceDN/>
        <w:bidi w:val="0"/>
        <w:adjustRightInd/>
        <w:snapToGrid/>
        <w:spacing w:line="610" w:lineRule="exact"/>
        <w:ind w:firstLine="643" w:firstLineChars="200"/>
        <w:textAlignment w:val="auto"/>
        <w:rPr>
          <w:rFonts w:hint="eastAsia"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评估费用的支付时间需在鑫河公司资产处置后，于管理人收取报酬时一并支付，请参选机构充分考虑上述情况谨慎参与比选。</w:t>
      </w:r>
    </w:p>
    <w:p w14:paraId="214B8C7A">
      <w:pPr>
        <w:keepNext w:val="0"/>
        <w:keepLines w:val="0"/>
        <w:pageBreakBefore w:val="0"/>
        <w:kinsoku/>
        <w:wordWrap/>
        <w:overflowPunct/>
        <w:topLinePunct w:val="0"/>
        <w:autoSpaceDE/>
        <w:autoSpaceDN/>
        <w:bidi w:val="0"/>
        <w:adjustRightInd/>
        <w:snapToGrid/>
        <w:spacing w:line="61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管理人对本次比选拥有最终解释权。</w:t>
      </w:r>
    </w:p>
    <w:p w14:paraId="1F53E2DE">
      <w:pPr>
        <w:keepNext w:val="0"/>
        <w:keepLines w:val="0"/>
        <w:pageBreakBefore w:val="0"/>
        <w:kinsoku/>
        <w:wordWrap/>
        <w:overflowPunct/>
        <w:topLinePunct w:val="0"/>
        <w:autoSpaceDE/>
        <w:autoSpaceDN/>
        <w:bidi w:val="0"/>
        <w:adjustRightInd/>
        <w:snapToGrid/>
        <w:spacing w:line="610" w:lineRule="exact"/>
        <w:ind w:firstLine="640" w:firstLineChars="200"/>
        <w:jc w:val="right"/>
        <w:textAlignment w:val="auto"/>
        <w:rPr>
          <w:rFonts w:hint="eastAsia" w:ascii="方正仿宋_GB2312" w:hAnsi="方正仿宋_GB2312" w:eastAsia="方正仿宋_GB2312" w:cs="方正仿宋_GB2312"/>
          <w:color w:val="auto"/>
          <w:sz w:val="32"/>
          <w:szCs w:val="32"/>
          <w:lang w:val="en-US" w:eastAsia="zh-CN"/>
        </w:rPr>
      </w:pPr>
      <w:r>
        <w:rPr>
          <w:rFonts w:hint="eastAsia" w:ascii="方正仿宋_GB2312" w:hAnsi="方正仿宋_GB2312" w:eastAsia="方正仿宋_GB2312" w:cs="方正仿宋_GB2312"/>
          <w:color w:val="auto"/>
          <w:sz w:val="32"/>
          <w:szCs w:val="32"/>
          <w:lang w:eastAsia="zh-CN"/>
        </w:rPr>
        <w:t>成都市鑫河国际酒店有限公司</w:t>
      </w:r>
      <w:r>
        <w:rPr>
          <w:rFonts w:hint="eastAsia" w:ascii="方正仿宋_GB2312" w:hAnsi="方正仿宋_GB2312" w:eastAsia="方正仿宋_GB2312" w:cs="方正仿宋_GB2312"/>
          <w:color w:val="auto"/>
          <w:sz w:val="32"/>
          <w:szCs w:val="32"/>
          <w:lang w:val="en-US" w:eastAsia="zh-CN"/>
        </w:rPr>
        <w:t>管理人</w:t>
      </w:r>
    </w:p>
    <w:p w14:paraId="60CDAD55">
      <w:pPr>
        <w:keepNext w:val="0"/>
        <w:keepLines w:val="0"/>
        <w:pageBreakBefore w:val="0"/>
        <w:kinsoku/>
        <w:wordWrap/>
        <w:overflowPunct/>
        <w:topLinePunct w:val="0"/>
        <w:autoSpaceDE/>
        <w:autoSpaceDN/>
        <w:bidi w:val="0"/>
        <w:adjustRightInd/>
        <w:snapToGrid/>
        <w:spacing w:line="610" w:lineRule="exact"/>
        <w:ind w:firstLine="640" w:firstLineChars="200"/>
        <w:jc w:val="right"/>
        <w:textAlignment w:val="auto"/>
        <w:rPr>
          <w:rFonts w:hint="default" w:ascii="方正仿宋_GB2312" w:hAnsi="方正仿宋_GB2312" w:eastAsia="方正仿宋_GB2312" w:cs="方正仿宋_GB2312"/>
          <w:color w:val="auto"/>
          <w:sz w:val="32"/>
          <w:szCs w:val="32"/>
          <w:lang w:val="en-US" w:eastAsia="zh-CN"/>
        </w:rPr>
      </w:pPr>
      <w:r>
        <w:rPr>
          <w:rFonts w:hint="eastAsia" w:ascii="方正仿宋_GB2312" w:hAnsi="方正仿宋_GB2312" w:eastAsia="方正仿宋_GB2312" w:cs="方正仿宋_GB2312"/>
          <w:color w:val="auto"/>
          <w:sz w:val="32"/>
          <w:szCs w:val="32"/>
          <w:lang w:val="en-US" w:eastAsia="zh-CN"/>
        </w:rPr>
        <w:t>2024年9月6日</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embedRegular r:id="rId1" w:fontKey="{B46CBAD4-A024-FD94-DACB-DA66625E12D8}"/>
  </w:font>
  <w:font w:name="仿宋">
    <w:altName w:val="方正仿宋_GBK"/>
    <w:panose1 w:val="02010609060101010101"/>
    <w:charset w:val="86"/>
    <w:family w:val="modern"/>
    <w:pitch w:val="default"/>
    <w:sig w:usb0="00000000" w:usb1="00000000" w:usb2="00000016" w:usb3="00000000" w:csb0="00040001" w:csb1="00000000"/>
  </w:font>
  <w:font w:name="方正小标宋简体">
    <w:altName w:val="方正小标宋_GBK"/>
    <w:panose1 w:val="02000000000000000000"/>
    <w:charset w:val="86"/>
    <w:family w:val="auto"/>
    <w:pitch w:val="default"/>
    <w:sig w:usb0="00000000" w:usb1="0000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2" w:fontKey="{D18D0A2A-FFC4-4E8B-DACB-DA6624110F62}"/>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冬青黑体简体中文">
    <w:panose1 w:val="020B0300000000000000"/>
    <w:charset w:val="86"/>
    <w:family w:val="auto"/>
    <w:pitch w:val="default"/>
    <w:sig w:usb0="A00002BF" w:usb1="1ACF7CFA" w:usb2="00000016" w:usb3="00000000" w:csb0="00060007" w:csb1="00000000"/>
  </w:font>
  <w:font w:name="宋体-简">
    <w:panose1 w:val="02010800040101010101"/>
    <w:charset w:val="86"/>
    <w:family w:val="auto"/>
    <w:pitch w:val="default"/>
    <w:sig w:usb0="00000001" w:usb1="080F0000" w:usb2="00000000" w:usb3="00000000" w:csb0="00040000" w:csb1="00000000"/>
  </w:font>
  <w:font w:name="Helvetica Neue">
    <w:panose1 w:val="02000503000000020004"/>
    <w:charset w:val="00"/>
    <w:family w:val="auto"/>
    <w:pitch w:val="default"/>
    <w:sig w:usb0="E50002FF" w:usb1="500079DB" w:usb2="00000010" w:usb3="00000000" w:csb0="00000000"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Kingsoft Sign">
    <w:panose1 w:val="05050102010706020507"/>
    <w:charset w:val="00"/>
    <w:family w:val="auto"/>
    <w:pitch w:val="default"/>
    <w:sig w:usb0="00000000" w:usb1="10000000" w:usb2="00000000" w:usb3="00000000" w:csb0="00000001" w:csb1="00000000"/>
  </w:font>
  <w:font w:name="方正小标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58609562"/>
    </w:sdtPr>
    <w:sdtContent>
      <w:p w14:paraId="4E4914F6">
        <w:pPr>
          <w:pStyle w:val="4"/>
          <w:jc w:val="center"/>
        </w:pPr>
        <w:r>
          <w:fldChar w:fldCharType="begin"/>
        </w:r>
        <w:r>
          <w:instrText xml:space="preserve">PAGE   \* MERGEFORMAT</w:instrText>
        </w:r>
        <w:r>
          <w:fldChar w:fldCharType="separate"/>
        </w:r>
        <w:r>
          <w:rPr>
            <w:lang w:val="zh-CN"/>
          </w:rPr>
          <w:t>2</w:t>
        </w:r>
        <w:r>
          <w:fldChar w:fldCharType="end"/>
        </w:r>
      </w:p>
    </w:sdtContent>
  </w:sdt>
  <w:p w14:paraId="156285CA">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6988FC"/>
    <w:multiLevelType w:val="singleLevel"/>
    <w:tmpl w:val="C86988FC"/>
    <w:lvl w:ilvl="0" w:tentative="0">
      <w:start w:val="1"/>
      <w:numFmt w:val="chineseCounting"/>
      <w:suff w:val="nothing"/>
      <w:lvlText w:val="（%1）"/>
      <w:lvlJc w:val="left"/>
      <w:rPr>
        <w:rFonts w:hint="eastAsia"/>
      </w:rPr>
    </w:lvl>
  </w:abstractNum>
  <w:abstractNum w:abstractNumId="1">
    <w:nsid w:val="C950DA24"/>
    <w:multiLevelType w:val="singleLevel"/>
    <w:tmpl w:val="C950DA24"/>
    <w:lvl w:ilvl="0" w:tentative="0">
      <w:start w:val="1"/>
      <w:numFmt w:val="chineseCounting"/>
      <w:suff w:val="nothing"/>
      <w:lvlText w:val="%1、"/>
      <w:lvlJc w:val="left"/>
      <w:pPr>
        <w:ind w:left="0" w:firstLine="42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TrueTypeFonts/>
  <w:saveSubset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xMjZmMTAwZDljNzA5NzA4NWEzZTk2ZDA1ZWE4MmEifQ=="/>
  </w:docVars>
  <w:rsids>
    <w:rsidRoot w:val="5D6060D1"/>
    <w:rsid w:val="1B517A0A"/>
    <w:rsid w:val="1E2A3E32"/>
    <w:rsid w:val="21DD2181"/>
    <w:rsid w:val="30CE0A81"/>
    <w:rsid w:val="41006A35"/>
    <w:rsid w:val="5D6060D1"/>
    <w:rsid w:val="7A5223BA"/>
    <w:rsid w:val="F6EAE8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60" w:lineRule="auto"/>
    </w:pPr>
    <w:rPr>
      <w:rFonts w:ascii="仿宋" w:hAnsi="仿宋" w:eastAsia="仿宋" w:cs="黑体"/>
      <w:color w:val="000000"/>
      <w:kern w:val="2"/>
      <w:sz w:val="32"/>
      <w:szCs w:val="32"/>
      <w:u w:color="000000"/>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widowControl/>
      <w:autoSpaceDE/>
      <w:autoSpaceDN/>
      <w:adjustRightInd/>
      <w:spacing w:line="240" w:lineRule="auto"/>
      <w:ind w:firstLine="420"/>
      <w:jc w:val="left"/>
      <w:textAlignment w:val="auto"/>
    </w:pPr>
    <w:rPr>
      <w:sz w:val="20"/>
    </w:rPr>
  </w:style>
  <w:style w:type="paragraph" w:styleId="3">
    <w:name w:val="annotation text"/>
    <w:basedOn w:val="1"/>
    <w:qFormat/>
    <w:uiPriority w:val="0"/>
    <w:pPr>
      <w:jc w:val="left"/>
    </w:pPr>
  </w:style>
  <w:style w:type="paragraph" w:styleId="4">
    <w:name w:val="footer"/>
    <w:basedOn w:val="1"/>
    <w:unhideWhenUsed/>
    <w:qFormat/>
    <w:uiPriority w:val="99"/>
    <w:pPr>
      <w:tabs>
        <w:tab w:val="center" w:pos="4153"/>
        <w:tab w:val="right" w:pos="8306"/>
      </w:tabs>
      <w:snapToGrid w:val="0"/>
      <w:spacing w:line="240" w:lineRule="auto"/>
    </w:pPr>
    <w:rPr>
      <w:sz w:val="18"/>
      <w:szCs w:val="18"/>
    </w:rPr>
  </w:style>
  <w:style w:type="table" w:customStyle="1" w:styleId="7">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character" w:customStyle="1" w:styleId="8">
    <w:name w:val="font11"/>
    <w:basedOn w:val="6"/>
    <w:autoRedefine/>
    <w:qFormat/>
    <w:uiPriority w:val="0"/>
    <w:rPr>
      <w:rFonts w:hint="eastAsia" w:ascii="宋体" w:hAnsi="宋体" w:eastAsia="宋体" w:cs="宋体"/>
      <w:color w:val="000000"/>
      <w:sz w:val="18"/>
      <w:szCs w:val="18"/>
      <w:u w:val="none"/>
    </w:rPr>
  </w:style>
  <w:style w:type="paragraph" w:customStyle="1" w:styleId="9">
    <w:name w:val="BodyText"/>
    <w:basedOn w:val="1"/>
    <w:autoRedefine/>
    <w:qFormat/>
    <w:uiPriority w:val="0"/>
    <w:pPr>
      <w:spacing w:line="700" w:lineRule="exact"/>
    </w:pPr>
    <w:rPr>
      <w:rFonts w:eastAsia="方正小标宋简体"/>
      <w:sz w:val="3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1926</Words>
  <Characters>2116</Characters>
  <Lines>0</Lines>
  <Paragraphs>0</Paragraphs>
  <TotalTime>12</TotalTime>
  <ScaleCrop>false</ScaleCrop>
  <LinksUpToDate>false</LinksUpToDate>
  <CharactersWithSpaces>2118</CharactersWithSpaces>
  <Application>WPS Office_6.10.1.8873_F1E327BC-269C-435d-A152-05C5408002CA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2024-09-03T15:29:00Z</dcterms:created>
  <dc:creator>婷婷</dc:creator>
  <cp:lastModifiedBy>——梦游</cp:lastModifiedBy>
  <dcterms:modified xsi:type="dcterms:W3CDTF">2024-09-06T17:31:06Z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2052-6.10.1.8873</vt:lpwstr>
  </property>
  <property fmtid="{D5CDD505-2E9C-101B-9397-08002B2CF9AE}" pid="3" name="ICV">
    <vt:lpwstr>2643EFE765DD276DDACBDA66F638D186_43</vt:lpwstr>
  </property>
</Properties>
</file>