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Times New Roman" w:hAnsi="Times New Roman" w:eastAsia="楷体" w:cs="Times New Roman"/>
          <w:color w:val="444444"/>
          <w:kern w:val="0"/>
          <w:sz w:val="24"/>
          <w:szCs w:val="24"/>
        </w:rPr>
      </w:pPr>
      <w:r>
        <w:rPr>
          <w:rFonts w:ascii="Times New Roman" w:hAnsi="Times New Roman" w:eastAsia="楷体" w:cs="Times New Roman"/>
          <w:b/>
          <w:bCs/>
          <w:color w:val="444444"/>
          <w:kern w:val="0"/>
          <w:sz w:val="24"/>
          <w:szCs w:val="24"/>
        </w:rPr>
        <w:t>拍卖公告</w:t>
      </w:r>
    </w:p>
    <w:p>
      <w:pPr>
        <w:pStyle w:val="6"/>
        <w:spacing w:before="0" w:beforeAutospacing="0" w:after="0" w:afterAutospacing="0" w:line="360" w:lineRule="atLeast"/>
        <w:ind w:firstLine="480" w:firstLineChars="200"/>
        <w:rPr>
          <w:rFonts w:ascii="Times New Roman" w:hAnsi="Times New Roman" w:eastAsia="楷体" w:cs="Times New Roman"/>
        </w:rPr>
      </w:pPr>
      <w:r>
        <w:rPr>
          <w:rFonts w:hint="eastAsia" w:ascii="Times New Roman" w:hAnsi="Times New Roman" w:eastAsia="楷体" w:cs="Times New Roman"/>
        </w:rPr>
        <w:t>上海光明饲料有限公司管理人（下称“管理人”）将于</w:t>
      </w:r>
      <w:r>
        <w:rPr>
          <w:rFonts w:ascii="Times New Roman" w:hAnsi="Times New Roman" w:eastAsia="楷体" w:cs="Times New Roman"/>
          <w:color w:val="FF0000"/>
        </w:rPr>
        <w:t>2024</w:t>
      </w:r>
      <w:r>
        <w:rPr>
          <w:rFonts w:hint="eastAsia" w:ascii="Times New Roman" w:hAnsi="Times New Roman" w:eastAsia="楷体" w:cs="Times New Roman"/>
          <w:color w:val="FF0000"/>
        </w:rPr>
        <w:t>年</w:t>
      </w:r>
      <w:r>
        <w:rPr>
          <w:rFonts w:ascii="Times New Roman" w:hAnsi="Times New Roman" w:eastAsia="楷体" w:cs="Times New Roman"/>
          <w:color w:val="FF0000"/>
        </w:rPr>
        <w:t>9</w:t>
      </w:r>
      <w:r>
        <w:rPr>
          <w:rFonts w:hint="eastAsia" w:ascii="Times New Roman" w:hAnsi="Times New Roman" w:eastAsia="楷体" w:cs="Times New Roman"/>
          <w:color w:val="FF0000"/>
        </w:rPr>
        <w:t>月</w:t>
      </w:r>
      <w:r>
        <w:rPr>
          <w:rFonts w:ascii="Times New Roman" w:hAnsi="Times New Roman" w:eastAsia="楷体" w:cs="Times New Roman"/>
          <w:color w:val="FF0000"/>
        </w:rPr>
        <w:t>19日10时至2024年9月20日10时止（延时除外）</w:t>
      </w:r>
      <w:r>
        <w:rPr>
          <w:rFonts w:ascii="Times New Roman" w:hAnsi="Times New Roman" w:eastAsia="楷体" w:cs="Times New Roman"/>
        </w:rPr>
        <w:t>在淘宝网司法拍卖网络平台（处置单位：</w:t>
      </w:r>
      <w:r>
        <w:rPr>
          <w:rFonts w:hint="eastAsia" w:ascii="Times New Roman" w:hAnsi="Times New Roman" w:eastAsia="楷体" w:cs="Times New Roman"/>
        </w:rPr>
        <w:t>上海光明饲料有限公司管理人</w:t>
      </w:r>
      <w:r>
        <w:rPr>
          <w:rFonts w:ascii="Times New Roman" w:hAnsi="Times New Roman" w:eastAsia="楷体" w:cs="Times New Roman"/>
        </w:rPr>
        <w:t>；监督单位：</w:t>
      </w:r>
      <w:r>
        <w:rPr>
          <w:rFonts w:hint="eastAsia" w:ascii="Times New Roman" w:hAnsi="Times New Roman" w:eastAsia="楷体" w:cs="Times New Roman"/>
        </w:rPr>
        <w:t>上海市第三中级人民法院</w:t>
      </w:r>
      <w:r>
        <w:rPr>
          <w:rFonts w:ascii="Times New Roman" w:hAnsi="Times New Roman" w:eastAsia="楷体" w:cs="Times New Roman"/>
        </w:rPr>
        <w:t>；拍卖辅助单位：上海国际商品拍卖有限公司），进行公开拍卖活动，现公告如下：</w:t>
      </w:r>
    </w:p>
    <w:p>
      <w:pPr>
        <w:widowControl/>
        <w:spacing w:line="360" w:lineRule="atLeast"/>
        <w:ind w:firstLine="480" w:firstLineChars="200"/>
        <w:jc w:val="left"/>
        <w:rPr>
          <w:rFonts w:ascii="Times New Roman" w:hAnsi="Times New Roman" w:eastAsia="楷体" w:cs="Times New Roman"/>
          <w:kern w:val="0"/>
          <w:sz w:val="24"/>
          <w:szCs w:val="24"/>
        </w:rPr>
      </w:pPr>
    </w:p>
    <w:p>
      <w:pPr>
        <w:widowControl/>
        <w:spacing w:line="360" w:lineRule="atLeast"/>
        <w:jc w:val="left"/>
        <w:rPr>
          <w:rFonts w:ascii="Times New Roman" w:hAnsi="Times New Roman" w:eastAsia="楷体" w:cs="Times New Roman"/>
          <w:kern w:val="0"/>
          <w:sz w:val="24"/>
          <w:szCs w:val="24"/>
        </w:rPr>
      </w:pPr>
      <w:r>
        <w:rPr>
          <w:rFonts w:ascii="Times New Roman" w:hAnsi="Times New Roman" w:eastAsia="楷体" w:cs="Times New Roman"/>
          <w:kern w:val="0"/>
          <w:sz w:val="24"/>
          <w:szCs w:val="24"/>
        </w:rPr>
        <w:t>一、重要提示</w:t>
      </w:r>
    </w:p>
    <w:p>
      <w:pPr>
        <w:widowControl/>
        <w:spacing w:line="360" w:lineRule="atLeast"/>
        <w:jc w:val="left"/>
        <w:rPr>
          <w:rFonts w:ascii="Times New Roman" w:hAnsi="Times New Roman" w:eastAsia="楷体" w:cs="Times New Roman"/>
          <w:kern w:val="0"/>
          <w:sz w:val="24"/>
          <w:szCs w:val="24"/>
        </w:rPr>
      </w:pPr>
      <w:r>
        <w:rPr>
          <w:rFonts w:ascii="Times New Roman" w:hAnsi="Times New Roman" w:eastAsia="楷体" w:cs="Times New Roman"/>
          <w:kern w:val="0"/>
          <w:sz w:val="24"/>
          <w:szCs w:val="24"/>
        </w:rPr>
        <w:t>1. 郑重声明：本标的系管理人依法独立履行《中华人民共和国企业破产法》第25条第6项的职责在淘宝网司法拍卖网络平台处分</w:t>
      </w:r>
      <w:r>
        <w:rPr>
          <w:rFonts w:hint="eastAsia" w:ascii="Times New Roman" w:hAnsi="Times New Roman" w:eastAsia="楷体" w:cs="Times New Roman"/>
          <w:kern w:val="0"/>
          <w:sz w:val="24"/>
          <w:szCs w:val="24"/>
        </w:rPr>
        <w:t>上海光明饲料有限公司(</w:t>
      </w:r>
      <w:r>
        <w:rPr>
          <w:rFonts w:ascii="Times New Roman" w:hAnsi="Times New Roman" w:eastAsia="楷体" w:cs="Times New Roman"/>
          <w:kern w:val="0"/>
          <w:sz w:val="24"/>
          <w:szCs w:val="24"/>
        </w:rPr>
        <w:t>“债务人”</w:t>
      </w:r>
      <w:r>
        <w:rPr>
          <w:rFonts w:hint="eastAsia" w:ascii="Times New Roman" w:hAnsi="Times New Roman" w:eastAsia="楷体" w:cs="Times New Roman"/>
          <w:kern w:val="0"/>
          <w:sz w:val="24"/>
          <w:szCs w:val="24"/>
        </w:rPr>
        <w:t>)</w:t>
      </w:r>
      <w:r>
        <w:rPr>
          <w:rFonts w:ascii="Times New Roman" w:hAnsi="Times New Roman" w:eastAsia="楷体" w:cs="Times New Roman"/>
          <w:kern w:val="0"/>
          <w:sz w:val="24"/>
          <w:szCs w:val="24"/>
        </w:rPr>
        <w:t>财产，并承担相应责任。</w:t>
      </w:r>
    </w:p>
    <w:p>
      <w:pPr>
        <w:widowControl/>
        <w:spacing w:line="360" w:lineRule="atLeast"/>
        <w:jc w:val="left"/>
        <w:rPr>
          <w:rFonts w:ascii="Times New Roman" w:hAnsi="Times New Roman" w:eastAsia="楷体" w:cs="Times New Roman"/>
          <w:kern w:val="0"/>
          <w:sz w:val="24"/>
          <w:szCs w:val="24"/>
        </w:rPr>
      </w:pPr>
      <w:r>
        <w:rPr>
          <w:rFonts w:ascii="Times New Roman" w:hAnsi="Times New Roman" w:eastAsia="楷体" w:cs="Times New Roman"/>
          <w:kern w:val="0"/>
          <w:sz w:val="24"/>
          <w:szCs w:val="24"/>
        </w:rPr>
        <w:t>2. 竞买人应当具备完全民事行为能力，法律、行政法规和司法解释等规范性法律文件等对买受人资格或者条件有特殊规定的，竞买人应当具备规定的资格或者条件。</w:t>
      </w:r>
    </w:p>
    <w:p>
      <w:pPr>
        <w:widowControl/>
        <w:spacing w:line="360" w:lineRule="atLeast"/>
        <w:jc w:val="left"/>
        <w:rPr>
          <w:rFonts w:ascii="Times New Roman" w:hAnsi="Times New Roman" w:eastAsia="楷体" w:cs="Times New Roman"/>
          <w:kern w:val="0"/>
          <w:sz w:val="24"/>
          <w:szCs w:val="24"/>
        </w:rPr>
      </w:pPr>
      <w:r>
        <w:rPr>
          <w:rFonts w:ascii="Times New Roman" w:hAnsi="Times New Roman" w:eastAsia="楷体" w:cs="Times New Roman"/>
          <w:kern w:val="0"/>
          <w:sz w:val="24"/>
          <w:szCs w:val="24"/>
        </w:rPr>
        <w:t>淘宝账户实名认证需48小时左右，请有意向参与竞拍的竞买人提前开设好淘宝账户，以防影响参与竞拍。</w:t>
      </w:r>
    </w:p>
    <w:p>
      <w:pPr>
        <w:widowControl/>
        <w:spacing w:line="360" w:lineRule="atLeast"/>
        <w:jc w:val="left"/>
        <w:rPr>
          <w:rFonts w:ascii="Times New Roman" w:hAnsi="Times New Roman" w:eastAsia="楷体" w:cs="Times New Roman"/>
          <w:kern w:val="0"/>
          <w:sz w:val="24"/>
          <w:szCs w:val="24"/>
        </w:rPr>
      </w:pPr>
      <w:r>
        <w:rPr>
          <w:rFonts w:ascii="Times New Roman" w:hAnsi="Times New Roman" w:eastAsia="楷体" w:cs="Times New Roman"/>
          <w:kern w:val="0"/>
          <w:sz w:val="24"/>
          <w:szCs w:val="24"/>
        </w:rPr>
        <w:t>竞拍前请务必遵照《拍卖公告》《拍卖须知》要求，调查标的物信息、了解竞买资质、委托代理及尾款支付方式等内容。如违反相关规定，您的保证金可能会被划扣并产生其</w:t>
      </w:r>
      <w:r>
        <w:rPr>
          <w:rFonts w:hint="eastAsia" w:ascii="Times New Roman" w:hAnsi="Times New Roman" w:eastAsia="楷体" w:cs="Times New Roman"/>
          <w:kern w:val="0"/>
          <w:sz w:val="24"/>
          <w:szCs w:val="24"/>
        </w:rPr>
        <w:t>它</w:t>
      </w:r>
      <w:r>
        <w:rPr>
          <w:rFonts w:ascii="Times New Roman" w:hAnsi="Times New Roman" w:eastAsia="楷体" w:cs="Times New Roman"/>
          <w:kern w:val="0"/>
          <w:sz w:val="24"/>
          <w:szCs w:val="24"/>
        </w:rPr>
        <w:t>法律责任，请理性参拍。</w:t>
      </w:r>
    </w:p>
    <w:p>
      <w:pPr>
        <w:widowControl/>
        <w:spacing w:line="360" w:lineRule="atLeast"/>
        <w:jc w:val="left"/>
        <w:rPr>
          <w:rFonts w:ascii="Times New Roman" w:hAnsi="Times New Roman" w:eastAsia="楷体" w:cs="Times New Roman"/>
          <w:kern w:val="0"/>
          <w:sz w:val="24"/>
          <w:szCs w:val="24"/>
        </w:rPr>
      </w:pPr>
      <w:r>
        <w:rPr>
          <w:rFonts w:ascii="Times New Roman" w:hAnsi="Times New Roman" w:eastAsia="楷体" w:cs="Times New Roman"/>
          <w:kern w:val="0"/>
          <w:sz w:val="24"/>
          <w:szCs w:val="24"/>
        </w:rPr>
        <w:t>3. 拍卖成交，拍卖标的</w:t>
      </w:r>
      <w:r>
        <w:rPr>
          <w:rFonts w:hint="eastAsia" w:ascii="Times New Roman" w:hAnsi="Times New Roman" w:eastAsia="楷体" w:cs="Times New Roman"/>
          <w:kern w:val="0"/>
          <w:sz w:val="24"/>
          <w:szCs w:val="24"/>
        </w:rPr>
        <w:t>后续所有相关</w:t>
      </w:r>
      <w:r>
        <w:rPr>
          <w:rFonts w:ascii="Times New Roman" w:hAnsi="Times New Roman" w:eastAsia="楷体" w:cs="Times New Roman"/>
          <w:kern w:val="0"/>
          <w:sz w:val="24"/>
          <w:szCs w:val="24"/>
        </w:rPr>
        <w:t>手续由买受人自行办理，</w:t>
      </w:r>
      <w:r>
        <w:rPr>
          <w:rFonts w:hint="eastAsia" w:ascii="Times New Roman" w:hAnsi="Times New Roman" w:eastAsia="楷体" w:cs="Times New Roman"/>
          <w:kern w:val="0"/>
          <w:sz w:val="24"/>
          <w:szCs w:val="24"/>
        </w:rPr>
        <w:t>所</w:t>
      </w:r>
      <w:r>
        <w:rPr>
          <w:rFonts w:ascii="Times New Roman" w:hAnsi="Times New Roman" w:eastAsia="楷体" w:cs="Times New Roman"/>
          <w:kern w:val="0"/>
          <w:sz w:val="24"/>
          <w:szCs w:val="24"/>
        </w:rPr>
        <w:t>涉及的所有责任与费用均由买受人承担。</w:t>
      </w:r>
    </w:p>
    <w:p>
      <w:pPr>
        <w:widowControl/>
        <w:spacing w:line="360" w:lineRule="atLeast"/>
        <w:jc w:val="left"/>
        <w:rPr>
          <w:rFonts w:ascii="Times New Roman" w:hAnsi="Times New Roman" w:eastAsia="楷体" w:cs="Times New Roman"/>
          <w:kern w:val="0"/>
          <w:sz w:val="24"/>
          <w:szCs w:val="24"/>
        </w:rPr>
      </w:pPr>
      <w:r>
        <w:rPr>
          <w:rFonts w:ascii="Times New Roman" w:hAnsi="Times New Roman" w:eastAsia="楷体" w:cs="Times New Roman"/>
          <w:kern w:val="0"/>
          <w:sz w:val="24"/>
          <w:szCs w:val="24"/>
        </w:rPr>
        <w:t>4. 本次拍卖公告所作的情况说明，仅为竞买人参与竞买提供参考，不能作为竞买人判断、权衡价值的最终依据，竞买人根据自身需求可自行调查、了解、核实。未尽事宜，管理人和拍辅单位不承担任何责任。</w:t>
      </w:r>
    </w:p>
    <w:p>
      <w:pPr>
        <w:widowControl/>
        <w:spacing w:line="360" w:lineRule="atLeast"/>
        <w:jc w:val="left"/>
        <w:rPr>
          <w:rFonts w:ascii="Times New Roman" w:hAnsi="Times New Roman" w:eastAsia="楷体" w:cs="Times New Roman"/>
          <w:kern w:val="0"/>
          <w:sz w:val="24"/>
          <w:szCs w:val="24"/>
        </w:rPr>
      </w:pPr>
      <w:r>
        <w:rPr>
          <w:rFonts w:ascii="Times New Roman" w:hAnsi="Times New Roman" w:eastAsia="楷体" w:cs="Times New Roman"/>
          <w:kern w:val="0"/>
          <w:sz w:val="24"/>
          <w:szCs w:val="24"/>
        </w:rPr>
        <w:t>5. 本次拍卖标的物以其现状为准，凡参与竞拍即视为竞拍人了解详情和确认标的现状。本次拍卖标的物的真实性、合法性、有效性上可能存在的争议和风险由买受人自行考察、甄别、判断和承受，竞买人应对拍卖标的实际状况以及瑕疵（含显性、隐性瑕疵）等自行调查核实、承担投资风险。</w:t>
      </w:r>
      <w:r>
        <w:rPr>
          <w:rFonts w:hint="eastAsia" w:ascii="Times New Roman" w:hAnsi="Times New Roman" w:eastAsia="楷体" w:cs="Times New Roman"/>
          <w:kern w:val="0"/>
          <w:sz w:val="24"/>
          <w:szCs w:val="24"/>
        </w:rPr>
        <w:t>本次拍卖标的情况较为复杂，标的物以其现状为准，</w:t>
      </w:r>
      <w:r>
        <w:rPr>
          <w:rFonts w:ascii="Times New Roman" w:hAnsi="Times New Roman" w:eastAsia="楷体" w:cs="Times New Roman"/>
          <w:kern w:val="0"/>
          <w:sz w:val="24"/>
          <w:szCs w:val="24"/>
        </w:rPr>
        <w:t>管理人和拍辅单位提供的资料和数据仅供竞买人参考，不承担瑕疵担保责任，若与实际不符时，不影响本次拍卖的成交和成交价。</w:t>
      </w:r>
    </w:p>
    <w:p>
      <w:pPr>
        <w:pStyle w:val="6"/>
        <w:spacing w:before="0" w:beforeAutospacing="0" w:after="0" w:afterAutospacing="0" w:line="315" w:lineRule="atLeast"/>
        <w:rPr>
          <w:rFonts w:ascii="Times New Roman" w:hAnsi="Times New Roman" w:eastAsia="楷体" w:cs="Times New Roman"/>
          <w:color w:val="FF0000"/>
          <w:highlight w:val="yellow"/>
          <w:u w:val="single"/>
        </w:rPr>
      </w:pPr>
      <w:r>
        <w:rPr>
          <w:rFonts w:ascii="Times New Roman" w:hAnsi="Times New Roman" w:eastAsia="楷体" w:cs="Times New Roman"/>
          <w:color w:val="FF0000"/>
          <w:highlight w:val="yellow"/>
          <w:u w:val="single"/>
        </w:rPr>
        <w:t>6. 本次拍卖标的为</w:t>
      </w:r>
      <w:r>
        <w:rPr>
          <w:rFonts w:hint="eastAsia" w:ascii="Times New Roman" w:hAnsi="Times New Roman" w:eastAsia="楷体" w:cs="Times New Roman"/>
          <w:color w:val="FF0000"/>
          <w:highlight w:val="yellow"/>
          <w:u w:val="single"/>
        </w:rPr>
        <w:t>上海光明饲料有限公司应收款项</w:t>
      </w:r>
      <w:r>
        <w:rPr>
          <w:rFonts w:ascii="Times New Roman" w:hAnsi="Times New Roman" w:eastAsia="楷体" w:cs="Times New Roman"/>
          <w:color w:val="FF0000"/>
          <w:highlight w:val="yellow"/>
          <w:u w:val="single"/>
        </w:rPr>
        <w:t>，拍卖标的以其现状为准，管理人接管到的材料缺失严重，任何有关本次拍卖的</w:t>
      </w:r>
      <w:r>
        <w:rPr>
          <w:rFonts w:hint="eastAsia" w:ascii="Times New Roman" w:hAnsi="Times New Roman" w:eastAsia="楷体" w:cs="Times New Roman"/>
          <w:color w:val="FF0000"/>
          <w:highlight w:val="yellow"/>
          <w:u w:val="single"/>
        </w:rPr>
        <w:t>应收款项</w:t>
      </w:r>
      <w:r>
        <w:rPr>
          <w:rFonts w:ascii="Times New Roman" w:hAnsi="Times New Roman" w:eastAsia="楷体" w:cs="Times New Roman"/>
          <w:color w:val="FF0000"/>
          <w:highlight w:val="yellow"/>
          <w:u w:val="single"/>
        </w:rPr>
        <w:t>的瑕疵和风险，由买受人自行承担，管理人和法院均不承担，具体包括但不限于下列风险：</w:t>
      </w:r>
    </w:p>
    <w:p>
      <w:pPr>
        <w:pStyle w:val="6"/>
        <w:spacing w:before="0" w:beforeAutospacing="0" w:after="0" w:afterAutospacing="0" w:line="315" w:lineRule="atLeast"/>
        <w:rPr>
          <w:rFonts w:ascii="Times New Roman" w:hAnsi="Times New Roman" w:eastAsia="楷体" w:cs="Times New Roman"/>
          <w:color w:val="FF0000"/>
          <w:highlight w:val="yellow"/>
          <w:u w:val="single"/>
        </w:rPr>
      </w:pPr>
      <w:r>
        <w:rPr>
          <w:rFonts w:ascii="Times New Roman" w:hAnsi="Times New Roman" w:eastAsia="楷体" w:cs="Times New Roman"/>
          <w:color w:val="FF0000"/>
          <w:highlight w:val="yellow"/>
          <w:u w:val="single"/>
        </w:rPr>
        <w:t>（1）账面记录可能与实际情况不符，不符原因包括但不限于记账错误、无真实</w:t>
      </w:r>
      <w:r>
        <w:rPr>
          <w:rFonts w:hint="eastAsia" w:ascii="Times New Roman" w:hAnsi="Times New Roman" w:eastAsia="楷体" w:cs="Times New Roman"/>
          <w:color w:val="FF0000"/>
          <w:highlight w:val="yellow"/>
          <w:u w:val="single"/>
        </w:rPr>
        <w:t>应收款项</w:t>
      </w:r>
      <w:r>
        <w:rPr>
          <w:rFonts w:ascii="Times New Roman" w:hAnsi="Times New Roman" w:eastAsia="楷体" w:cs="Times New Roman"/>
          <w:color w:val="FF0000"/>
          <w:highlight w:val="yellow"/>
          <w:u w:val="single"/>
        </w:rPr>
        <w:t>债务关系等；</w:t>
      </w:r>
    </w:p>
    <w:p>
      <w:pPr>
        <w:pStyle w:val="6"/>
        <w:spacing w:before="0" w:beforeAutospacing="0" w:after="0" w:afterAutospacing="0" w:line="315" w:lineRule="atLeast"/>
        <w:rPr>
          <w:rFonts w:ascii="Times New Roman" w:hAnsi="Times New Roman" w:eastAsia="楷体" w:cs="Times New Roman"/>
          <w:color w:val="FF0000"/>
          <w:highlight w:val="yellow"/>
          <w:u w:val="single"/>
        </w:rPr>
      </w:pPr>
      <w:r>
        <w:rPr>
          <w:rFonts w:ascii="Times New Roman" w:hAnsi="Times New Roman" w:eastAsia="楷体" w:cs="Times New Roman"/>
          <w:color w:val="FF0000"/>
          <w:highlight w:val="yellow"/>
          <w:u w:val="single"/>
        </w:rPr>
        <w:t>（2）管理人仅</w:t>
      </w:r>
      <w:r>
        <w:rPr>
          <w:rFonts w:hint="eastAsia" w:ascii="Times New Roman" w:hAnsi="Times New Roman" w:eastAsia="楷体" w:cs="Times New Roman"/>
          <w:color w:val="FF0000"/>
          <w:highlight w:val="yellow"/>
          <w:u w:val="single"/>
        </w:rPr>
        <w:t>以</w:t>
      </w:r>
      <w:r>
        <w:rPr>
          <w:rFonts w:ascii="Times New Roman" w:hAnsi="Times New Roman" w:eastAsia="楷体" w:cs="Times New Roman"/>
          <w:color w:val="FF0000"/>
          <w:highlight w:val="yellow"/>
          <w:u w:val="single"/>
        </w:rPr>
        <w:t>接管</w:t>
      </w:r>
      <w:r>
        <w:rPr>
          <w:rFonts w:hint="eastAsia" w:ascii="Times New Roman" w:hAnsi="Times New Roman" w:eastAsia="楷体" w:cs="Times New Roman"/>
          <w:color w:val="FF0000"/>
          <w:highlight w:val="yellow"/>
          <w:u w:val="single"/>
        </w:rPr>
        <w:t>到的上海光明饲料有限公司</w:t>
      </w:r>
      <w:r>
        <w:rPr>
          <w:rFonts w:ascii="Times New Roman" w:hAnsi="Times New Roman" w:eastAsia="楷体" w:cs="Times New Roman"/>
          <w:color w:val="FF0000"/>
          <w:highlight w:val="yellow"/>
          <w:u w:val="single"/>
        </w:rPr>
        <w:t>的财务账簿</w:t>
      </w:r>
      <w:r>
        <w:rPr>
          <w:rFonts w:hint="eastAsia" w:ascii="Times New Roman" w:hAnsi="Times New Roman" w:eastAsia="楷体" w:cs="Times New Roman"/>
          <w:color w:val="FF0000"/>
          <w:highlight w:val="yellow"/>
          <w:u w:val="single"/>
        </w:rPr>
        <w:t>为准</w:t>
      </w:r>
      <w:r>
        <w:rPr>
          <w:rFonts w:ascii="Times New Roman" w:hAnsi="Times New Roman" w:eastAsia="楷体" w:cs="Times New Roman"/>
          <w:color w:val="FF0000"/>
          <w:highlight w:val="yellow"/>
          <w:u w:val="single"/>
        </w:rPr>
        <w:t>，</w:t>
      </w:r>
      <w:r>
        <w:rPr>
          <w:rFonts w:hint="eastAsia" w:ascii="Times New Roman" w:hAnsi="Times New Roman" w:eastAsia="楷体" w:cs="Times New Roman"/>
          <w:color w:val="FF0000"/>
          <w:highlight w:val="yellow"/>
          <w:u w:val="single"/>
        </w:rPr>
        <w:t>不一定能</w:t>
      </w:r>
      <w:r>
        <w:rPr>
          <w:rFonts w:ascii="Times New Roman" w:hAnsi="Times New Roman" w:eastAsia="楷体" w:cs="Times New Roman"/>
          <w:color w:val="FF0000"/>
          <w:highlight w:val="yellow"/>
          <w:u w:val="single"/>
        </w:rPr>
        <w:t>完整提供合同、订单、发票、财务资料等支持性文件，对外</w:t>
      </w:r>
      <w:r>
        <w:rPr>
          <w:rFonts w:hint="eastAsia" w:ascii="Times New Roman" w:hAnsi="Times New Roman" w:eastAsia="楷体" w:cs="Times New Roman"/>
          <w:color w:val="FF0000"/>
          <w:highlight w:val="yellow"/>
          <w:u w:val="single"/>
        </w:rPr>
        <w:t>应收款项</w:t>
      </w:r>
      <w:r>
        <w:rPr>
          <w:rFonts w:ascii="Times New Roman" w:hAnsi="Times New Roman" w:eastAsia="楷体" w:cs="Times New Roman"/>
          <w:color w:val="FF0000"/>
          <w:highlight w:val="yellow"/>
          <w:u w:val="single"/>
        </w:rPr>
        <w:t>可能全部或部分无效、不存在、无法追回、产生损失等，真实性存在瑕疵；</w:t>
      </w:r>
    </w:p>
    <w:p>
      <w:pPr>
        <w:pStyle w:val="6"/>
        <w:spacing w:before="0" w:beforeAutospacing="0" w:after="0" w:afterAutospacing="0" w:line="315" w:lineRule="atLeast"/>
        <w:rPr>
          <w:rFonts w:ascii="Times New Roman" w:hAnsi="Times New Roman" w:eastAsia="楷体" w:cs="Times New Roman"/>
          <w:color w:val="FF0000"/>
          <w:highlight w:val="yellow"/>
          <w:u w:val="single"/>
        </w:rPr>
      </w:pPr>
      <w:r>
        <w:rPr>
          <w:rFonts w:ascii="Times New Roman" w:hAnsi="Times New Roman" w:eastAsia="楷体" w:cs="Times New Roman"/>
          <w:color w:val="FF0000"/>
          <w:highlight w:val="yellow"/>
          <w:u w:val="single"/>
        </w:rPr>
        <w:t>（3）管理人</w:t>
      </w:r>
      <w:r>
        <w:rPr>
          <w:rFonts w:hint="eastAsia" w:ascii="Times New Roman" w:hAnsi="Times New Roman" w:eastAsia="楷体" w:cs="Times New Roman"/>
          <w:color w:val="FF0000"/>
          <w:highlight w:val="yellow"/>
          <w:u w:val="single"/>
        </w:rPr>
        <w:t>自行梳理</w:t>
      </w:r>
      <w:r>
        <w:rPr>
          <w:rFonts w:ascii="Times New Roman" w:hAnsi="Times New Roman" w:eastAsia="楷体" w:cs="Times New Roman"/>
          <w:color w:val="FF0000"/>
          <w:highlight w:val="yellow"/>
          <w:u w:val="single"/>
        </w:rPr>
        <w:t>的</w:t>
      </w:r>
      <w:r>
        <w:rPr>
          <w:rFonts w:hint="eastAsia" w:ascii="Times New Roman" w:hAnsi="Times New Roman" w:eastAsia="楷体" w:cs="Times New Roman"/>
          <w:color w:val="FF0000"/>
          <w:highlight w:val="yellow"/>
          <w:u w:val="single"/>
        </w:rPr>
        <w:t>应收款项</w:t>
      </w:r>
      <w:r>
        <w:rPr>
          <w:rFonts w:ascii="Times New Roman" w:hAnsi="Times New Roman" w:eastAsia="楷体" w:cs="Times New Roman"/>
          <w:color w:val="FF0000"/>
          <w:highlight w:val="yellow"/>
          <w:u w:val="single"/>
        </w:rPr>
        <w:t>文件中记载的</w:t>
      </w:r>
      <w:r>
        <w:rPr>
          <w:rFonts w:hint="eastAsia" w:ascii="Times New Roman" w:hAnsi="Times New Roman" w:eastAsia="楷体" w:cs="Times New Roman"/>
          <w:color w:val="FF0000"/>
          <w:highlight w:val="yellow"/>
          <w:u w:val="single"/>
        </w:rPr>
        <w:t>应收款项</w:t>
      </w:r>
      <w:r>
        <w:rPr>
          <w:rFonts w:ascii="Times New Roman" w:hAnsi="Times New Roman" w:eastAsia="楷体" w:cs="Times New Roman"/>
          <w:color w:val="FF0000"/>
          <w:highlight w:val="yellow"/>
          <w:u w:val="single"/>
        </w:rPr>
        <w:t>户数、金额可能存在全部或部分不准确，可能与原权利人财务记载的信息不一致的情形；</w:t>
      </w:r>
    </w:p>
    <w:p>
      <w:pPr>
        <w:pStyle w:val="6"/>
        <w:spacing w:before="0" w:beforeAutospacing="0" w:after="0" w:afterAutospacing="0" w:line="315" w:lineRule="atLeast"/>
        <w:rPr>
          <w:rFonts w:ascii="Times New Roman" w:hAnsi="Times New Roman" w:eastAsia="楷体" w:cs="Times New Roman"/>
          <w:color w:val="FF0000"/>
          <w:highlight w:val="yellow"/>
          <w:u w:val="single"/>
        </w:rPr>
      </w:pPr>
      <w:r>
        <w:rPr>
          <w:rFonts w:ascii="Times New Roman" w:hAnsi="Times New Roman" w:eastAsia="楷体" w:cs="Times New Roman"/>
          <w:color w:val="FF0000"/>
          <w:highlight w:val="yellow"/>
          <w:u w:val="single"/>
        </w:rPr>
        <w:t>（4）</w:t>
      </w:r>
      <w:r>
        <w:rPr>
          <w:rFonts w:hint="eastAsia" w:ascii="Times New Roman" w:hAnsi="Times New Roman" w:eastAsia="楷体" w:cs="Times New Roman"/>
          <w:color w:val="FF0000"/>
          <w:highlight w:val="yellow"/>
          <w:u w:val="single"/>
        </w:rPr>
        <w:t>应收款项</w:t>
      </w:r>
      <w:r>
        <w:rPr>
          <w:rFonts w:ascii="Times New Roman" w:hAnsi="Times New Roman" w:eastAsia="楷体" w:cs="Times New Roman"/>
          <w:color w:val="FF0000"/>
          <w:highlight w:val="yellow"/>
          <w:u w:val="single"/>
        </w:rPr>
        <w:t>可能存在不符合约定的付款条件、付款期限未届满、被质押以及存在因违约情形导致</w:t>
      </w:r>
      <w:r>
        <w:rPr>
          <w:rFonts w:hint="eastAsia" w:ascii="Times New Roman" w:hAnsi="Times New Roman" w:eastAsia="楷体" w:cs="Times New Roman"/>
          <w:color w:val="FF0000"/>
          <w:highlight w:val="yellow"/>
          <w:u w:val="single"/>
        </w:rPr>
        <w:t>应收款项</w:t>
      </w:r>
      <w:r>
        <w:rPr>
          <w:rFonts w:ascii="Times New Roman" w:hAnsi="Times New Roman" w:eastAsia="楷体" w:cs="Times New Roman"/>
          <w:color w:val="FF0000"/>
          <w:highlight w:val="yellow"/>
          <w:u w:val="single"/>
        </w:rPr>
        <w:t>存在争议、无法取回、产生损失等风险；</w:t>
      </w:r>
    </w:p>
    <w:p>
      <w:pPr>
        <w:pStyle w:val="6"/>
        <w:spacing w:before="0" w:beforeAutospacing="0" w:after="0" w:afterAutospacing="0" w:line="315" w:lineRule="atLeast"/>
        <w:rPr>
          <w:rFonts w:ascii="Times New Roman" w:hAnsi="Times New Roman" w:eastAsia="楷体" w:cs="Times New Roman"/>
          <w:color w:val="FF0000"/>
          <w:highlight w:val="yellow"/>
          <w:u w:val="single"/>
        </w:rPr>
      </w:pPr>
      <w:r>
        <w:rPr>
          <w:rFonts w:ascii="Times New Roman" w:hAnsi="Times New Roman" w:eastAsia="楷体" w:cs="Times New Roman"/>
          <w:color w:val="FF0000"/>
          <w:highlight w:val="yellow"/>
          <w:u w:val="single"/>
        </w:rPr>
        <w:t>（5）与</w:t>
      </w:r>
      <w:r>
        <w:rPr>
          <w:rFonts w:hint="eastAsia" w:ascii="Times New Roman" w:hAnsi="Times New Roman" w:eastAsia="楷体" w:cs="Times New Roman"/>
          <w:color w:val="FF0000"/>
          <w:highlight w:val="yellow"/>
          <w:u w:val="single"/>
        </w:rPr>
        <w:t>应收款项</w:t>
      </w:r>
      <w:r>
        <w:rPr>
          <w:rFonts w:ascii="Times New Roman" w:hAnsi="Times New Roman" w:eastAsia="楷体" w:cs="Times New Roman"/>
          <w:color w:val="FF0000"/>
          <w:highlight w:val="yellow"/>
          <w:u w:val="single"/>
        </w:rPr>
        <w:t>相关的债务人或担保人或第三方</w:t>
      </w:r>
      <w:r>
        <w:rPr>
          <w:rFonts w:hint="eastAsia" w:ascii="Times New Roman" w:hAnsi="Times New Roman" w:eastAsia="楷体" w:cs="Times New Roman"/>
          <w:color w:val="FF0000"/>
          <w:highlight w:val="yellow"/>
          <w:u w:val="single"/>
        </w:rPr>
        <w:t>可能</w:t>
      </w:r>
      <w:r>
        <w:rPr>
          <w:rFonts w:ascii="Times New Roman" w:hAnsi="Times New Roman" w:eastAsia="楷体" w:cs="Times New Roman"/>
          <w:color w:val="FF0000"/>
          <w:highlight w:val="yellow"/>
          <w:u w:val="single"/>
        </w:rPr>
        <w:t>存在破产、被解散、被注销、被吊销、歇业、下落不明以及其他主体存续性瑕疵的情形；</w:t>
      </w:r>
    </w:p>
    <w:p>
      <w:pPr>
        <w:pStyle w:val="6"/>
        <w:spacing w:before="0" w:beforeAutospacing="0" w:after="0" w:afterAutospacing="0" w:line="315" w:lineRule="atLeast"/>
        <w:rPr>
          <w:rFonts w:ascii="Times New Roman" w:hAnsi="Times New Roman" w:eastAsia="楷体" w:cs="Times New Roman"/>
          <w:color w:val="FF0000"/>
          <w:highlight w:val="yellow"/>
          <w:u w:val="single"/>
        </w:rPr>
      </w:pPr>
      <w:r>
        <w:rPr>
          <w:rFonts w:ascii="Times New Roman" w:hAnsi="Times New Roman" w:eastAsia="楷体" w:cs="Times New Roman"/>
          <w:color w:val="FF0000"/>
          <w:highlight w:val="yellow"/>
          <w:u w:val="single"/>
        </w:rPr>
        <w:t>（6）</w:t>
      </w:r>
      <w:r>
        <w:rPr>
          <w:rFonts w:hint="eastAsia" w:ascii="Times New Roman" w:hAnsi="Times New Roman" w:eastAsia="楷体" w:cs="Times New Roman"/>
          <w:color w:val="FF0000"/>
          <w:highlight w:val="yellow"/>
          <w:u w:val="single"/>
        </w:rPr>
        <w:t>应收款项</w:t>
      </w:r>
      <w:r>
        <w:rPr>
          <w:rFonts w:ascii="Times New Roman" w:hAnsi="Times New Roman" w:eastAsia="楷体" w:cs="Times New Roman"/>
          <w:color w:val="FF0000"/>
          <w:highlight w:val="yellow"/>
          <w:u w:val="single"/>
        </w:rPr>
        <w:t>文件对于</w:t>
      </w:r>
      <w:r>
        <w:rPr>
          <w:rFonts w:hint="eastAsia" w:ascii="Times New Roman" w:hAnsi="Times New Roman" w:eastAsia="楷体" w:cs="Times New Roman"/>
          <w:color w:val="FF0000"/>
          <w:highlight w:val="yellow"/>
          <w:u w:val="single"/>
        </w:rPr>
        <w:t>应收款项</w:t>
      </w:r>
      <w:r>
        <w:rPr>
          <w:rFonts w:ascii="Times New Roman" w:hAnsi="Times New Roman" w:eastAsia="楷体" w:cs="Times New Roman"/>
          <w:color w:val="FF0000"/>
          <w:highlight w:val="yellow"/>
          <w:u w:val="single"/>
        </w:rPr>
        <w:t>的行使可能存在不真实、不完整，</w:t>
      </w:r>
      <w:r>
        <w:rPr>
          <w:rFonts w:hint="eastAsia" w:ascii="Times New Roman" w:hAnsi="Times New Roman" w:eastAsia="楷体" w:cs="Times New Roman"/>
          <w:color w:val="FF0000"/>
          <w:highlight w:val="yellow"/>
          <w:u w:val="single"/>
        </w:rPr>
        <w:t>应收款项</w:t>
      </w:r>
      <w:r>
        <w:rPr>
          <w:rFonts w:ascii="Times New Roman" w:hAnsi="Times New Roman" w:eastAsia="楷体" w:cs="Times New Roman"/>
          <w:color w:val="FF0000"/>
          <w:highlight w:val="yellow"/>
          <w:u w:val="single"/>
        </w:rPr>
        <w:t>凭证原件缺失、不存在或内容冲突导致</w:t>
      </w:r>
      <w:r>
        <w:rPr>
          <w:rFonts w:hint="eastAsia" w:ascii="Times New Roman" w:hAnsi="Times New Roman" w:eastAsia="楷体" w:cs="Times New Roman"/>
          <w:color w:val="FF0000"/>
          <w:highlight w:val="yellow"/>
          <w:u w:val="single"/>
        </w:rPr>
        <w:t>应收款项</w:t>
      </w:r>
      <w:r>
        <w:rPr>
          <w:rFonts w:ascii="Times New Roman" w:hAnsi="Times New Roman" w:eastAsia="楷体" w:cs="Times New Roman"/>
          <w:color w:val="FF0000"/>
          <w:highlight w:val="yellow"/>
          <w:u w:val="single"/>
        </w:rPr>
        <w:t>存在争议、无法收回、产生损失等相关情形；</w:t>
      </w:r>
    </w:p>
    <w:p>
      <w:pPr>
        <w:pStyle w:val="6"/>
        <w:spacing w:before="0" w:beforeAutospacing="0" w:after="0" w:afterAutospacing="0" w:line="315" w:lineRule="atLeast"/>
        <w:rPr>
          <w:rFonts w:ascii="Times New Roman" w:hAnsi="Times New Roman" w:eastAsia="楷体" w:cs="Times New Roman"/>
          <w:color w:val="FF0000"/>
          <w:highlight w:val="yellow"/>
          <w:u w:val="single"/>
        </w:rPr>
      </w:pPr>
      <w:r>
        <w:rPr>
          <w:rFonts w:ascii="Times New Roman" w:hAnsi="Times New Roman" w:eastAsia="楷体" w:cs="Times New Roman"/>
          <w:color w:val="FF0000"/>
          <w:highlight w:val="yellow"/>
          <w:u w:val="single"/>
        </w:rPr>
        <w:t>（7）</w:t>
      </w:r>
      <w:r>
        <w:rPr>
          <w:rFonts w:hint="eastAsia" w:ascii="Times New Roman" w:hAnsi="Times New Roman" w:eastAsia="楷体" w:cs="Times New Roman"/>
          <w:color w:val="FF0000"/>
          <w:highlight w:val="yellow"/>
          <w:u w:val="single"/>
        </w:rPr>
        <w:t>应收款项</w:t>
      </w:r>
      <w:r>
        <w:rPr>
          <w:rFonts w:ascii="Times New Roman" w:hAnsi="Times New Roman" w:eastAsia="楷体" w:cs="Times New Roman"/>
          <w:color w:val="FF0000"/>
          <w:highlight w:val="yellow"/>
          <w:u w:val="single"/>
        </w:rPr>
        <w:t>文件可能与</w:t>
      </w:r>
      <w:r>
        <w:rPr>
          <w:rFonts w:hint="eastAsia" w:ascii="Times New Roman" w:hAnsi="Times New Roman" w:eastAsia="楷体" w:cs="Times New Roman"/>
          <w:color w:val="FF0000"/>
          <w:highlight w:val="yellow"/>
          <w:u w:val="single"/>
        </w:rPr>
        <w:t>应收款项</w:t>
      </w:r>
      <w:r>
        <w:rPr>
          <w:rFonts w:ascii="Times New Roman" w:hAnsi="Times New Roman" w:eastAsia="楷体" w:cs="Times New Roman"/>
          <w:color w:val="FF0000"/>
          <w:highlight w:val="yellow"/>
          <w:u w:val="single"/>
        </w:rPr>
        <w:t>文件清单记载不一致导致</w:t>
      </w:r>
      <w:r>
        <w:rPr>
          <w:rFonts w:hint="eastAsia" w:ascii="Times New Roman" w:hAnsi="Times New Roman" w:eastAsia="楷体" w:cs="Times New Roman"/>
          <w:color w:val="FF0000"/>
          <w:highlight w:val="yellow"/>
          <w:u w:val="single"/>
        </w:rPr>
        <w:t>应收款项</w:t>
      </w:r>
      <w:r>
        <w:rPr>
          <w:rFonts w:ascii="Times New Roman" w:hAnsi="Times New Roman" w:eastAsia="楷体" w:cs="Times New Roman"/>
          <w:color w:val="FF0000"/>
          <w:highlight w:val="yellow"/>
          <w:u w:val="single"/>
        </w:rPr>
        <w:t>存在争议、无法收回、产生损失等风险；</w:t>
      </w:r>
    </w:p>
    <w:p>
      <w:pPr>
        <w:pStyle w:val="6"/>
        <w:spacing w:before="0" w:beforeAutospacing="0" w:after="0" w:afterAutospacing="0" w:line="315" w:lineRule="atLeast"/>
        <w:rPr>
          <w:rFonts w:ascii="Times New Roman" w:hAnsi="Times New Roman" w:eastAsia="楷体" w:cs="Times New Roman"/>
          <w:color w:val="FF0000"/>
          <w:highlight w:val="yellow"/>
          <w:u w:val="single"/>
        </w:rPr>
      </w:pPr>
      <w:r>
        <w:rPr>
          <w:rFonts w:ascii="Times New Roman" w:hAnsi="Times New Roman" w:eastAsia="楷体" w:cs="Times New Roman"/>
          <w:color w:val="FF0000"/>
          <w:highlight w:val="yellow"/>
          <w:u w:val="single"/>
        </w:rPr>
        <w:t>（8）就</w:t>
      </w:r>
      <w:r>
        <w:rPr>
          <w:rFonts w:hint="eastAsia" w:ascii="Times New Roman" w:hAnsi="Times New Roman" w:eastAsia="楷体" w:cs="Times New Roman"/>
          <w:color w:val="FF0000"/>
          <w:highlight w:val="yellow"/>
          <w:u w:val="single"/>
        </w:rPr>
        <w:t>应收款项</w:t>
      </w:r>
      <w:r>
        <w:rPr>
          <w:rFonts w:ascii="Times New Roman" w:hAnsi="Times New Roman" w:eastAsia="楷体" w:cs="Times New Roman"/>
          <w:color w:val="FF0000"/>
          <w:highlight w:val="yellow"/>
          <w:u w:val="single"/>
        </w:rPr>
        <w:t>提起诉讼可能存在反诉要求赔偿违约金等</w:t>
      </w:r>
      <w:r>
        <w:rPr>
          <w:rFonts w:hint="eastAsia" w:ascii="Times New Roman" w:hAnsi="Times New Roman" w:eastAsia="楷体" w:cs="Times New Roman"/>
          <w:color w:val="FF0000"/>
          <w:highlight w:val="yellow"/>
          <w:u w:val="single"/>
        </w:rPr>
        <w:t>应收款项</w:t>
      </w:r>
      <w:r>
        <w:rPr>
          <w:rFonts w:ascii="Times New Roman" w:hAnsi="Times New Roman" w:eastAsia="楷体" w:cs="Times New Roman"/>
          <w:color w:val="FF0000"/>
          <w:highlight w:val="yellow"/>
          <w:u w:val="single"/>
        </w:rPr>
        <w:t>存在争议、无法收回、产生损失的风险；</w:t>
      </w:r>
    </w:p>
    <w:p>
      <w:pPr>
        <w:pStyle w:val="6"/>
        <w:spacing w:before="0" w:beforeAutospacing="0" w:after="0" w:afterAutospacing="0" w:line="315" w:lineRule="atLeast"/>
        <w:rPr>
          <w:rFonts w:ascii="Times New Roman" w:hAnsi="Times New Roman" w:eastAsia="楷体" w:cs="Times New Roman"/>
          <w:color w:val="FF0000"/>
          <w:highlight w:val="yellow"/>
          <w:u w:val="single"/>
        </w:rPr>
      </w:pPr>
      <w:r>
        <w:rPr>
          <w:rFonts w:hint="eastAsia" w:ascii="Times New Roman" w:hAnsi="Times New Roman" w:eastAsia="楷体" w:cs="Times New Roman"/>
          <w:color w:val="FF0000"/>
          <w:highlight w:val="yellow"/>
          <w:u w:val="single"/>
        </w:rPr>
        <w:t>（9）本次拍卖不对债权人关联方与债务人之间是否存在其他争议承担任何担保责任，竞买人应自行调查、了解、核实；</w:t>
      </w:r>
    </w:p>
    <w:p>
      <w:pPr>
        <w:pStyle w:val="6"/>
        <w:spacing w:before="0" w:beforeAutospacing="0" w:after="0" w:afterAutospacing="0" w:line="315" w:lineRule="atLeast"/>
        <w:rPr>
          <w:rFonts w:ascii="Times New Roman" w:hAnsi="Times New Roman" w:eastAsia="楷体" w:cs="Times New Roman"/>
          <w:color w:val="FF0000"/>
          <w:highlight w:val="yellow"/>
          <w:u w:val="single"/>
        </w:rPr>
      </w:pPr>
      <w:r>
        <w:rPr>
          <w:rFonts w:ascii="Times New Roman" w:hAnsi="Times New Roman" w:eastAsia="楷体" w:cs="Times New Roman"/>
          <w:color w:val="FF0000"/>
          <w:highlight w:val="yellow"/>
          <w:u w:val="single"/>
        </w:rPr>
        <w:t>（10）</w:t>
      </w:r>
      <w:r>
        <w:rPr>
          <w:rFonts w:hint="eastAsia" w:ascii="Times New Roman" w:hAnsi="Times New Roman" w:eastAsia="楷体" w:cs="Times New Roman"/>
          <w:color w:val="FF0000"/>
          <w:highlight w:val="yellow"/>
          <w:u w:val="single"/>
        </w:rPr>
        <w:t>应收款项</w:t>
      </w:r>
      <w:r>
        <w:rPr>
          <w:rFonts w:ascii="Times New Roman" w:hAnsi="Times New Roman" w:eastAsia="楷体" w:cs="Times New Roman"/>
          <w:color w:val="FF0000"/>
          <w:highlight w:val="yellow"/>
          <w:u w:val="single"/>
        </w:rPr>
        <w:t>项目可能存在已经被其他债权人或第三人收取的情形；</w:t>
      </w:r>
    </w:p>
    <w:p>
      <w:pPr>
        <w:pStyle w:val="6"/>
        <w:spacing w:before="0" w:beforeAutospacing="0" w:after="0" w:afterAutospacing="0" w:line="315" w:lineRule="atLeast"/>
        <w:rPr>
          <w:rFonts w:ascii="Times New Roman" w:hAnsi="Times New Roman" w:eastAsia="楷体" w:cs="Times New Roman"/>
          <w:color w:val="FF0000"/>
          <w:highlight w:val="yellow"/>
          <w:u w:val="single"/>
        </w:rPr>
      </w:pPr>
      <w:r>
        <w:rPr>
          <w:rFonts w:ascii="Times New Roman" w:hAnsi="Times New Roman" w:eastAsia="楷体" w:cs="Times New Roman"/>
          <w:color w:val="FF0000"/>
          <w:highlight w:val="yellow"/>
          <w:u w:val="single"/>
        </w:rPr>
        <w:t>（11）其他已经和/或尚未发现的可能导致</w:t>
      </w:r>
      <w:r>
        <w:rPr>
          <w:rFonts w:hint="eastAsia" w:ascii="Times New Roman" w:hAnsi="Times New Roman" w:eastAsia="楷体" w:cs="Times New Roman"/>
          <w:color w:val="FF0000"/>
          <w:highlight w:val="yellow"/>
          <w:u w:val="single"/>
        </w:rPr>
        <w:t>应收款项</w:t>
      </w:r>
      <w:r>
        <w:rPr>
          <w:rFonts w:ascii="Times New Roman" w:hAnsi="Times New Roman" w:eastAsia="楷体" w:cs="Times New Roman"/>
          <w:color w:val="FF0000"/>
          <w:highlight w:val="yellow"/>
          <w:u w:val="single"/>
        </w:rPr>
        <w:t>存在争议、不存在、无法收回、产生损失等风险；</w:t>
      </w:r>
    </w:p>
    <w:p>
      <w:pPr>
        <w:pStyle w:val="6"/>
        <w:spacing w:before="0" w:beforeAutospacing="0" w:after="0" w:afterAutospacing="0" w:line="315" w:lineRule="atLeast"/>
        <w:rPr>
          <w:rFonts w:ascii="Times New Roman" w:hAnsi="Times New Roman" w:eastAsia="楷体" w:cs="Times New Roman"/>
          <w:color w:val="FF0000"/>
          <w:highlight w:val="yellow"/>
          <w:u w:val="single"/>
        </w:rPr>
      </w:pPr>
      <w:r>
        <w:rPr>
          <w:rFonts w:ascii="Times New Roman" w:hAnsi="Times New Roman" w:eastAsia="楷体" w:cs="Times New Roman"/>
          <w:color w:val="FF0000"/>
          <w:highlight w:val="yellow"/>
          <w:u w:val="single"/>
        </w:rPr>
        <w:t>（12）可能存在联系不到债务人的情况。如无法确定债务人联系方式的，实际无法开展追收工作；</w:t>
      </w:r>
    </w:p>
    <w:p>
      <w:pPr>
        <w:pStyle w:val="6"/>
        <w:spacing w:before="0" w:beforeAutospacing="0" w:after="0" w:afterAutospacing="0" w:line="315" w:lineRule="atLeast"/>
        <w:rPr>
          <w:rFonts w:ascii="Times New Roman" w:hAnsi="Times New Roman" w:eastAsia="楷体" w:cs="Times New Roman"/>
          <w:color w:val="FF0000"/>
          <w:highlight w:val="yellow"/>
          <w:u w:val="single"/>
        </w:rPr>
      </w:pPr>
      <w:r>
        <w:rPr>
          <w:rFonts w:ascii="Times New Roman" w:hAnsi="Times New Roman" w:eastAsia="楷体" w:cs="Times New Roman"/>
          <w:color w:val="FF0000"/>
          <w:highlight w:val="yellow"/>
          <w:u w:val="single"/>
        </w:rPr>
        <w:t>（13）</w:t>
      </w:r>
      <w:r>
        <w:rPr>
          <w:rFonts w:hint="eastAsia" w:ascii="Times New Roman" w:hAnsi="Times New Roman" w:eastAsia="楷体" w:cs="Times New Roman"/>
          <w:color w:val="FF0000"/>
          <w:highlight w:val="yellow"/>
          <w:u w:val="single"/>
        </w:rPr>
        <w:t>应收款项</w:t>
      </w:r>
      <w:r>
        <w:rPr>
          <w:rFonts w:ascii="Times New Roman" w:hAnsi="Times New Roman" w:eastAsia="楷体" w:cs="Times New Roman"/>
          <w:color w:val="FF0000"/>
          <w:highlight w:val="yellow"/>
          <w:u w:val="single"/>
        </w:rPr>
        <w:t>可能已超诉讼时效、执行时效或丧失相关的法定期间或因其他原因已部分消灭或成为自然债导致存在无法收回，因合同约定、债务人实际已履行等原因已消灭，发票未开，被抵消、撤销以及其他原因或纠纷导致无法收回、产生损失等风险。</w:t>
      </w:r>
    </w:p>
    <w:p>
      <w:pPr>
        <w:widowControl/>
        <w:spacing w:line="360" w:lineRule="atLeast"/>
        <w:jc w:val="left"/>
        <w:rPr>
          <w:rFonts w:ascii="Times New Roman" w:hAnsi="Times New Roman" w:eastAsia="楷体" w:cs="Times New Roman"/>
          <w:kern w:val="0"/>
          <w:sz w:val="24"/>
          <w:szCs w:val="24"/>
        </w:rPr>
      </w:pPr>
      <w:r>
        <w:rPr>
          <w:rFonts w:ascii="Times New Roman" w:hAnsi="Times New Roman" w:eastAsia="楷体" w:cs="Times New Roman"/>
          <w:kern w:val="0"/>
          <w:sz w:val="24"/>
          <w:szCs w:val="24"/>
        </w:rPr>
        <w:t>7. 法院和管理人有权随时撤回/中止本次拍卖。管理人撤回/中止拍卖的，竞买人已缴纳的保证金原路无息退回。</w:t>
      </w:r>
    </w:p>
    <w:p>
      <w:pPr>
        <w:widowControl/>
        <w:spacing w:line="360" w:lineRule="atLeast"/>
        <w:jc w:val="left"/>
        <w:rPr>
          <w:rFonts w:ascii="Times New Roman" w:hAnsi="Times New Roman" w:eastAsia="楷体" w:cs="Times New Roman"/>
          <w:kern w:val="0"/>
          <w:sz w:val="24"/>
          <w:szCs w:val="24"/>
        </w:rPr>
      </w:pPr>
      <w:r>
        <w:rPr>
          <w:rFonts w:ascii="Times New Roman" w:hAnsi="Times New Roman" w:eastAsia="楷体" w:cs="Times New Roman"/>
          <w:kern w:val="0"/>
          <w:sz w:val="24"/>
          <w:szCs w:val="24"/>
        </w:rPr>
        <w:t> </w:t>
      </w:r>
    </w:p>
    <w:p>
      <w:pPr>
        <w:widowControl/>
        <w:spacing w:line="360" w:lineRule="atLeast"/>
        <w:jc w:val="left"/>
        <w:rPr>
          <w:rFonts w:ascii="Times New Roman" w:hAnsi="Times New Roman" w:eastAsia="楷体" w:cs="Times New Roman"/>
          <w:kern w:val="0"/>
          <w:sz w:val="24"/>
          <w:szCs w:val="24"/>
        </w:rPr>
      </w:pPr>
      <w:r>
        <w:rPr>
          <w:rFonts w:ascii="Times New Roman" w:hAnsi="Times New Roman" w:eastAsia="楷体" w:cs="Times New Roman"/>
          <w:kern w:val="0"/>
          <w:sz w:val="24"/>
          <w:szCs w:val="24"/>
        </w:rPr>
        <w:t>二、 拍卖标的及起拍价</w:t>
      </w:r>
    </w:p>
    <w:p>
      <w:pPr>
        <w:widowControl/>
        <w:spacing w:line="360" w:lineRule="atLeast"/>
        <w:ind w:firstLine="0" w:firstLineChars="0"/>
        <w:jc w:val="left"/>
        <w:rPr>
          <w:rFonts w:ascii="Times New Roman" w:hAnsi="Times New Roman" w:eastAsia="楷体" w:cs="Times New Roman"/>
          <w:color w:val="FF0000"/>
          <w:kern w:val="0"/>
          <w:sz w:val="24"/>
          <w:szCs w:val="24"/>
        </w:rPr>
      </w:pPr>
      <w:r>
        <w:rPr>
          <w:rFonts w:ascii="Times New Roman" w:hAnsi="Times New Roman" w:eastAsia="楷体" w:cs="Times New Roman"/>
          <w:kern w:val="0"/>
          <w:sz w:val="24"/>
          <w:szCs w:val="24"/>
        </w:rPr>
        <w:t>1.  拍卖标的：</w:t>
      </w:r>
      <w:r>
        <w:rPr>
          <w:rFonts w:hint="eastAsia" w:ascii="Times New Roman" w:hAnsi="Times New Roman" w:eastAsia="楷体" w:cs="Times New Roman"/>
          <w:color w:val="FF0000"/>
          <w:kern w:val="0"/>
          <w:sz w:val="24"/>
          <w:szCs w:val="24"/>
        </w:rPr>
        <w:t>上海光明饲料有限公司</w:t>
      </w:r>
      <w:r>
        <w:rPr>
          <w:rFonts w:ascii="Times New Roman" w:hAnsi="Times New Roman" w:eastAsia="楷体" w:cs="Times New Roman"/>
          <w:color w:val="FF0000"/>
          <w:kern w:val="0"/>
          <w:sz w:val="24"/>
          <w:szCs w:val="24"/>
        </w:rPr>
        <w:t>破产财产-</w:t>
      </w:r>
      <w:r>
        <w:rPr>
          <w:rFonts w:hint="eastAsia" w:ascii="Times New Roman" w:hAnsi="Times New Roman" w:eastAsia="楷体" w:cs="Times New Roman"/>
          <w:color w:val="FF0000"/>
          <w:kern w:val="0"/>
          <w:sz w:val="24"/>
          <w:szCs w:val="24"/>
        </w:rPr>
        <w:t>无质押部分（共</w:t>
      </w:r>
      <w:r>
        <w:rPr>
          <w:rFonts w:hint="eastAsia" w:ascii="Times New Roman" w:hAnsi="Times New Roman" w:eastAsia="楷体" w:cs="Times New Roman"/>
          <w:color w:val="FF0000"/>
          <w:kern w:val="0"/>
          <w:sz w:val="24"/>
          <w:szCs w:val="24"/>
          <w:lang w:eastAsia="zh-CN"/>
        </w:rPr>
        <w:t>17项</w:t>
      </w:r>
      <w:r>
        <w:rPr>
          <w:rFonts w:hint="eastAsia" w:ascii="Times New Roman" w:hAnsi="Times New Roman" w:eastAsia="楷体" w:cs="Times New Roman"/>
          <w:color w:val="FF0000"/>
          <w:kern w:val="0"/>
          <w:sz w:val="24"/>
          <w:szCs w:val="24"/>
        </w:rPr>
        <w:t>）</w:t>
      </w:r>
      <w:r>
        <w:rPr>
          <w:rFonts w:ascii="Times New Roman" w:hAnsi="Times New Roman" w:eastAsia="楷体" w:cs="Times New Roman"/>
          <w:color w:val="FF0000"/>
          <w:kern w:val="0"/>
          <w:sz w:val="24"/>
          <w:szCs w:val="24"/>
        </w:rPr>
        <w:t>，按现状合并拍卖</w:t>
      </w:r>
      <w:r>
        <w:rPr>
          <w:rFonts w:hint="eastAsia" w:ascii="Times New Roman" w:hAnsi="Times New Roman" w:eastAsia="楷体" w:cs="Times New Roman"/>
          <w:color w:val="FF0000"/>
          <w:kern w:val="0"/>
          <w:sz w:val="24"/>
          <w:szCs w:val="24"/>
        </w:rPr>
        <w:t>。</w:t>
      </w:r>
    </w:p>
    <w:p>
      <w:pPr>
        <w:widowControl/>
        <w:spacing w:line="360" w:lineRule="atLeast"/>
        <w:jc w:val="left"/>
        <w:rPr>
          <w:rFonts w:ascii="Times New Roman" w:hAnsi="Times New Roman" w:eastAsia="楷体" w:cs="Times New Roman"/>
          <w:color w:val="FF0000"/>
          <w:kern w:val="0"/>
          <w:sz w:val="24"/>
          <w:szCs w:val="24"/>
        </w:rPr>
      </w:pPr>
    </w:p>
    <w:tbl>
      <w:tblPr>
        <w:tblStyle w:val="7"/>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2271"/>
        <w:gridCol w:w="2098"/>
        <w:gridCol w:w="1896"/>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814" w:type="dxa"/>
            <w:vMerge w:val="restart"/>
            <w:noWrap/>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拍卖标的</w:t>
            </w:r>
          </w:p>
        </w:tc>
        <w:tc>
          <w:tcPr>
            <w:tcW w:w="2271" w:type="dxa"/>
            <w:vMerge w:val="restart"/>
            <w:noWrap/>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名称</w:t>
            </w:r>
          </w:p>
        </w:tc>
        <w:tc>
          <w:tcPr>
            <w:tcW w:w="3994" w:type="dxa"/>
            <w:gridSpan w:val="2"/>
            <w:vAlign w:val="center"/>
          </w:tcPr>
          <w:p>
            <w:pPr>
              <w:widowControl/>
              <w:jc w:val="center"/>
              <w:rPr>
                <w:rFonts w:ascii="楷体" w:hAnsi="楷体" w:eastAsia="楷体" w:cs="宋体"/>
                <w:color w:val="000000"/>
                <w:kern w:val="0"/>
                <w:sz w:val="28"/>
                <w:szCs w:val="28"/>
                <w:highlight w:val="yellow"/>
              </w:rPr>
            </w:pPr>
            <w:r>
              <w:rPr>
                <w:rFonts w:hint="eastAsia" w:ascii="楷体" w:hAnsi="楷体" w:eastAsia="楷体" w:cs="宋体"/>
                <w:color w:val="000000"/>
                <w:kern w:val="0"/>
                <w:sz w:val="28"/>
                <w:szCs w:val="28"/>
              </w:rPr>
              <w:t>债权金额</w:t>
            </w:r>
          </w:p>
        </w:tc>
        <w:tc>
          <w:tcPr>
            <w:tcW w:w="1449" w:type="dxa"/>
            <w:vMerge w:val="restart"/>
            <w:noWrap/>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814" w:type="dxa"/>
            <w:vMerge w:val="continue"/>
            <w:noWrap/>
            <w:vAlign w:val="center"/>
          </w:tcPr>
          <w:p>
            <w:pPr>
              <w:widowControl/>
              <w:jc w:val="center"/>
            </w:pPr>
          </w:p>
        </w:tc>
        <w:tc>
          <w:tcPr>
            <w:tcW w:w="2271" w:type="dxa"/>
            <w:vMerge w:val="continue"/>
            <w:noWrap/>
            <w:vAlign w:val="center"/>
          </w:tcPr>
          <w:p>
            <w:pPr>
              <w:widowControl/>
              <w:jc w:val="center"/>
            </w:pPr>
          </w:p>
        </w:tc>
        <w:tc>
          <w:tcPr>
            <w:tcW w:w="2098" w:type="dxa"/>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未履行金额</w:t>
            </w:r>
          </w:p>
        </w:tc>
        <w:tc>
          <w:tcPr>
            <w:tcW w:w="1896" w:type="dxa"/>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违约金</w:t>
            </w:r>
          </w:p>
        </w:tc>
        <w:tc>
          <w:tcPr>
            <w:tcW w:w="1449" w:type="dxa"/>
            <w:vMerge w:val="continue"/>
            <w:noWrap/>
            <w:vAlign w:val="center"/>
          </w:tcPr>
          <w:p>
            <w:pPr>
              <w:widowControl/>
              <w:jc w:val="center"/>
              <w:rPr>
                <w:rFonts w:ascii="楷体" w:hAnsi="楷体" w:eastAsia="楷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restart"/>
            <w:noWrap/>
            <w:vAlign w:val="center"/>
          </w:tcPr>
          <w:p>
            <w:pPr>
              <w:jc w:val="center"/>
              <w:rPr>
                <w:rFonts w:ascii="楷体" w:hAnsi="楷体" w:eastAsia="楷体" w:cs="宋体"/>
                <w:color w:val="000000"/>
                <w:kern w:val="0"/>
                <w:sz w:val="28"/>
                <w:szCs w:val="28"/>
              </w:rPr>
            </w:pPr>
            <w:r>
              <w:rPr>
                <w:rFonts w:ascii="楷体" w:hAnsi="楷体" w:eastAsia="楷体" w:cs="宋体"/>
                <w:color w:val="000000"/>
                <w:kern w:val="0"/>
                <w:sz w:val="28"/>
                <w:szCs w:val="28"/>
              </w:rPr>
              <w:t>1</w:t>
            </w:r>
          </w:p>
        </w:tc>
        <w:tc>
          <w:tcPr>
            <w:tcW w:w="2271" w:type="dxa"/>
            <w:noWrap/>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江苏海欣润农业发展有限公司</w:t>
            </w:r>
          </w:p>
        </w:tc>
        <w:tc>
          <w:tcPr>
            <w:tcW w:w="2098" w:type="dxa"/>
            <w:vAlign w:val="center"/>
          </w:tcPr>
          <w:p>
            <w:pPr>
              <w:widowControl/>
              <w:jc w:val="right"/>
              <w:rPr>
                <w:rFonts w:ascii="楷体" w:hAnsi="楷体" w:eastAsia="楷体" w:cs="宋体"/>
                <w:color w:val="000000"/>
                <w:kern w:val="0"/>
                <w:sz w:val="28"/>
                <w:szCs w:val="28"/>
              </w:rPr>
            </w:pPr>
            <w:r>
              <w:rPr>
                <w:rFonts w:ascii="楷体" w:hAnsi="楷体" w:eastAsia="楷体" w:cs="宋体"/>
                <w:color w:val="000000"/>
                <w:kern w:val="0"/>
                <w:sz w:val="28"/>
                <w:szCs w:val="28"/>
              </w:rPr>
              <w:t>8,484,144.05</w:t>
            </w:r>
          </w:p>
        </w:tc>
        <w:tc>
          <w:tcPr>
            <w:tcW w:w="1896" w:type="dxa"/>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w:t>
            </w:r>
          </w:p>
        </w:tc>
        <w:tc>
          <w:tcPr>
            <w:tcW w:w="1449" w:type="dxa"/>
            <w:vMerge w:val="restart"/>
            <w:noWrap/>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无质押应收账款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noWrap/>
            <w:vAlign w:val="center"/>
          </w:tcPr>
          <w:p>
            <w:pPr>
              <w:jc w:val="center"/>
              <w:rPr>
                <w:rFonts w:ascii="楷体" w:hAnsi="楷体" w:eastAsia="楷体" w:cs="宋体"/>
                <w:color w:val="000000"/>
                <w:kern w:val="0"/>
                <w:sz w:val="28"/>
                <w:szCs w:val="28"/>
              </w:rPr>
            </w:pPr>
          </w:p>
        </w:tc>
        <w:tc>
          <w:tcPr>
            <w:tcW w:w="2271" w:type="dxa"/>
            <w:noWrap/>
            <w:vAlign w:val="center"/>
          </w:tcPr>
          <w:p>
            <w:pPr>
              <w:widowControl/>
              <w:rPr>
                <w:rFonts w:ascii="楷体" w:hAnsi="楷体" w:eastAsia="楷体" w:cs="宋体"/>
                <w:color w:val="000000"/>
                <w:kern w:val="0"/>
                <w:sz w:val="28"/>
                <w:szCs w:val="28"/>
              </w:rPr>
            </w:pPr>
            <w:r>
              <w:rPr>
                <w:rFonts w:hint="eastAsia" w:ascii="楷体" w:hAnsi="楷体" w:eastAsia="楷体" w:cs="宋体"/>
                <w:color w:val="000000"/>
                <w:kern w:val="0"/>
                <w:sz w:val="28"/>
                <w:szCs w:val="28"/>
              </w:rPr>
              <w:t>江苏省沿海农业发展有限公司</w:t>
            </w:r>
          </w:p>
        </w:tc>
        <w:tc>
          <w:tcPr>
            <w:tcW w:w="2098" w:type="dxa"/>
            <w:vAlign w:val="center"/>
          </w:tcPr>
          <w:p>
            <w:pPr>
              <w:widowControl/>
              <w:jc w:val="right"/>
              <w:rPr>
                <w:rFonts w:ascii="楷体" w:hAnsi="楷体" w:eastAsia="楷体" w:cs="宋体"/>
                <w:color w:val="000000"/>
                <w:kern w:val="0"/>
                <w:sz w:val="28"/>
                <w:szCs w:val="28"/>
              </w:rPr>
            </w:pPr>
            <w:r>
              <w:rPr>
                <w:rFonts w:ascii="楷体" w:hAnsi="楷体" w:eastAsia="楷体" w:cs="宋体"/>
                <w:color w:val="000000"/>
                <w:kern w:val="0"/>
                <w:sz w:val="28"/>
                <w:szCs w:val="28"/>
              </w:rPr>
              <w:t>3,786,507.82</w:t>
            </w:r>
          </w:p>
        </w:tc>
        <w:tc>
          <w:tcPr>
            <w:tcW w:w="1896" w:type="dxa"/>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w:t>
            </w:r>
          </w:p>
        </w:tc>
        <w:tc>
          <w:tcPr>
            <w:tcW w:w="1449" w:type="dxa"/>
            <w:vMerge w:val="continue"/>
            <w:noWrap/>
            <w:vAlign w:val="center"/>
          </w:tcPr>
          <w:p>
            <w:pPr>
              <w:widowControl/>
              <w:jc w:val="center"/>
              <w:rPr>
                <w:rFonts w:ascii="楷体" w:hAnsi="楷体" w:eastAsia="楷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noWrap/>
            <w:vAlign w:val="center"/>
          </w:tcPr>
          <w:p>
            <w:pPr>
              <w:jc w:val="center"/>
              <w:rPr>
                <w:rFonts w:ascii="楷体" w:hAnsi="楷体" w:eastAsia="楷体" w:cs="宋体"/>
                <w:color w:val="000000"/>
                <w:kern w:val="0"/>
                <w:sz w:val="28"/>
                <w:szCs w:val="28"/>
              </w:rPr>
            </w:pPr>
          </w:p>
        </w:tc>
        <w:tc>
          <w:tcPr>
            <w:tcW w:w="2271" w:type="dxa"/>
            <w:noWrap/>
            <w:vAlign w:val="center"/>
          </w:tcPr>
          <w:p>
            <w:pPr>
              <w:widowControl/>
              <w:jc w:val="left"/>
              <w:rPr>
                <w:rFonts w:ascii="楷体" w:hAnsi="楷体" w:eastAsia="楷体" w:cs="宋体"/>
                <w:color w:val="000000"/>
                <w:kern w:val="0"/>
                <w:sz w:val="28"/>
                <w:szCs w:val="28"/>
              </w:rPr>
            </w:pPr>
            <w:r>
              <w:rPr>
                <w:rFonts w:hint="eastAsia" w:ascii="楷体" w:hAnsi="楷体" w:eastAsia="楷体" w:cs="宋体"/>
                <w:color w:val="000000"/>
                <w:kern w:val="0"/>
                <w:sz w:val="28"/>
                <w:szCs w:val="28"/>
              </w:rPr>
              <w:t>陈友乐</w:t>
            </w:r>
          </w:p>
        </w:tc>
        <w:tc>
          <w:tcPr>
            <w:tcW w:w="2098" w:type="dxa"/>
            <w:vAlign w:val="center"/>
          </w:tcPr>
          <w:p>
            <w:pPr>
              <w:widowControl/>
              <w:jc w:val="right"/>
              <w:rPr>
                <w:rFonts w:ascii="楷体" w:hAnsi="楷体" w:eastAsia="楷体" w:cs="宋体"/>
                <w:color w:val="000000"/>
                <w:kern w:val="0"/>
                <w:sz w:val="28"/>
                <w:szCs w:val="28"/>
              </w:rPr>
            </w:pPr>
            <w:r>
              <w:rPr>
                <w:rFonts w:ascii="楷体" w:hAnsi="楷体" w:eastAsia="楷体" w:cs="宋体"/>
                <w:color w:val="000000"/>
                <w:kern w:val="0"/>
                <w:sz w:val="28"/>
                <w:szCs w:val="28"/>
              </w:rPr>
              <w:t>1,281,560.96</w:t>
            </w:r>
          </w:p>
        </w:tc>
        <w:tc>
          <w:tcPr>
            <w:tcW w:w="1896" w:type="dxa"/>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w:t>
            </w:r>
          </w:p>
        </w:tc>
        <w:tc>
          <w:tcPr>
            <w:tcW w:w="1449" w:type="dxa"/>
            <w:vMerge w:val="continue"/>
            <w:noWrap/>
            <w:vAlign w:val="center"/>
          </w:tcPr>
          <w:p>
            <w:pPr>
              <w:widowControl/>
              <w:jc w:val="center"/>
              <w:rPr>
                <w:rFonts w:ascii="楷体" w:hAnsi="楷体" w:eastAsia="楷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noWrap/>
            <w:vAlign w:val="center"/>
          </w:tcPr>
          <w:p>
            <w:pPr>
              <w:jc w:val="center"/>
              <w:rPr>
                <w:rFonts w:ascii="楷体" w:hAnsi="楷体" w:eastAsia="楷体" w:cs="宋体"/>
                <w:color w:val="000000"/>
                <w:kern w:val="0"/>
                <w:sz w:val="28"/>
                <w:szCs w:val="28"/>
              </w:rPr>
            </w:pPr>
          </w:p>
        </w:tc>
        <w:tc>
          <w:tcPr>
            <w:tcW w:w="2271" w:type="dxa"/>
            <w:noWrap/>
            <w:vAlign w:val="center"/>
          </w:tcPr>
          <w:p>
            <w:pPr>
              <w:widowControl/>
              <w:jc w:val="left"/>
              <w:rPr>
                <w:rFonts w:ascii="楷体" w:hAnsi="楷体" w:eastAsia="楷体" w:cs="宋体"/>
                <w:color w:val="000000"/>
                <w:kern w:val="0"/>
                <w:sz w:val="28"/>
                <w:szCs w:val="28"/>
              </w:rPr>
            </w:pPr>
            <w:r>
              <w:rPr>
                <w:rFonts w:hint="eastAsia" w:ascii="楷体" w:hAnsi="楷体" w:eastAsia="楷体" w:cs="宋体"/>
                <w:color w:val="000000"/>
                <w:kern w:val="0"/>
                <w:sz w:val="28"/>
                <w:szCs w:val="28"/>
              </w:rPr>
              <w:t>李清白</w:t>
            </w:r>
          </w:p>
        </w:tc>
        <w:tc>
          <w:tcPr>
            <w:tcW w:w="2098" w:type="dxa"/>
            <w:vAlign w:val="center"/>
          </w:tcPr>
          <w:p>
            <w:pPr>
              <w:widowControl/>
              <w:jc w:val="right"/>
              <w:rPr>
                <w:rFonts w:ascii="楷体" w:hAnsi="楷体" w:eastAsia="楷体" w:cs="宋体"/>
                <w:color w:val="000000"/>
                <w:kern w:val="0"/>
                <w:sz w:val="28"/>
                <w:szCs w:val="28"/>
              </w:rPr>
            </w:pPr>
            <w:r>
              <w:rPr>
                <w:rFonts w:ascii="楷体" w:hAnsi="楷体" w:eastAsia="楷体" w:cs="宋体"/>
                <w:color w:val="000000"/>
                <w:kern w:val="0"/>
                <w:sz w:val="28"/>
                <w:szCs w:val="28"/>
              </w:rPr>
              <w:t>1,115,122.67</w:t>
            </w:r>
          </w:p>
        </w:tc>
        <w:tc>
          <w:tcPr>
            <w:tcW w:w="1896" w:type="dxa"/>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w:t>
            </w:r>
          </w:p>
        </w:tc>
        <w:tc>
          <w:tcPr>
            <w:tcW w:w="1449" w:type="dxa"/>
            <w:vMerge w:val="continue"/>
            <w:noWrap/>
            <w:vAlign w:val="center"/>
          </w:tcPr>
          <w:p>
            <w:pPr>
              <w:widowControl/>
              <w:jc w:val="center"/>
              <w:rPr>
                <w:rFonts w:ascii="楷体" w:hAnsi="楷体" w:eastAsia="楷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noWrap/>
            <w:vAlign w:val="center"/>
          </w:tcPr>
          <w:p>
            <w:pPr>
              <w:jc w:val="center"/>
              <w:rPr>
                <w:rFonts w:ascii="楷体" w:hAnsi="楷体" w:eastAsia="楷体" w:cs="宋体"/>
                <w:color w:val="000000"/>
                <w:kern w:val="0"/>
                <w:sz w:val="28"/>
                <w:szCs w:val="28"/>
              </w:rPr>
            </w:pPr>
          </w:p>
        </w:tc>
        <w:tc>
          <w:tcPr>
            <w:tcW w:w="2271" w:type="dxa"/>
            <w:noWrap/>
            <w:vAlign w:val="center"/>
          </w:tcPr>
          <w:p>
            <w:pPr>
              <w:widowControl/>
              <w:rPr>
                <w:rFonts w:ascii="楷体" w:hAnsi="楷体" w:eastAsia="楷体" w:cs="宋体"/>
                <w:color w:val="000000"/>
                <w:kern w:val="0"/>
                <w:sz w:val="28"/>
                <w:szCs w:val="28"/>
              </w:rPr>
            </w:pPr>
            <w:r>
              <w:rPr>
                <w:rFonts w:hint="eastAsia" w:ascii="楷体" w:hAnsi="楷体" w:eastAsia="楷体" w:cs="宋体"/>
                <w:color w:val="000000"/>
                <w:kern w:val="0"/>
                <w:sz w:val="28"/>
                <w:szCs w:val="28"/>
              </w:rPr>
              <w:t>郁步祥</w:t>
            </w:r>
          </w:p>
        </w:tc>
        <w:tc>
          <w:tcPr>
            <w:tcW w:w="2098" w:type="dxa"/>
            <w:vAlign w:val="center"/>
          </w:tcPr>
          <w:p>
            <w:pPr>
              <w:widowControl/>
              <w:jc w:val="right"/>
              <w:rPr>
                <w:rFonts w:ascii="楷体" w:hAnsi="楷体" w:eastAsia="楷体" w:cs="宋体"/>
                <w:color w:val="000000"/>
                <w:kern w:val="0"/>
                <w:sz w:val="28"/>
                <w:szCs w:val="28"/>
              </w:rPr>
            </w:pPr>
            <w:r>
              <w:rPr>
                <w:rFonts w:ascii="楷体" w:hAnsi="楷体" w:eastAsia="楷体" w:cs="宋体"/>
                <w:color w:val="000000"/>
                <w:kern w:val="0"/>
                <w:sz w:val="28"/>
                <w:szCs w:val="28"/>
              </w:rPr>
              <w:t>464,200.00</w:t>
            </w:r>
          </w:p>
        </w:tc>
        <w:tc>
          <w:tcPr>
            <w:tcW w:w="1896" w:type="dxa"/>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w:t>
            </w:r>
          </w:p>
        </w:tc>
        <w:tc>
          <w:tcPr>
            <w:tcW w:w="1449" w:type="dxa"/>
            <w:vMerge w:val="continue"/>
            <w:noWrap/>
            <w:vAlign w:val="center"/>
          </w:tcPr>
          <w:p>
            <w:pPr>
              <w:widowControl/>
              <w:jc w:val="center"/>
              <w:rPr>
                <w:rFonts w:ascii="楷体" w:hAnsi="楷体" w:eastAsia="楷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noWrap/>
            <w:vAlign w:val="center"/>
          </w:tcPr>
          <w:p>
            <w:pPr>
              <w:jc w:val="center"/>
              <w:rPr>
                <w:rFonts w:ascii="楷体" w:hAnsi="楷体" w:eastAsia="楷体" w:cs="宋体"/>
                <w:color w:val="000000"/>
                <w:kern w:val="0"/>
                <w:sz w:val="28"/>
                <w:szCs w:val="28"/>
              </w:rPr>
            </w:pPr>
          </w:p>
        </w:tc>
        <w:tc>
          <w:tcPr>
            <w:tcW w:w="2271" w:type="dxa"/>
            <w:noWrap/>
            <w:vAlign w:val="center"/>
          </w:tcPr>
          <w:p>
            <w:pPr>
              <w:widowControl/>
              <w:jc w:val="left"/>
              <w:rPr>
                <w:rFonts w:ascii="楷体" w:hAnsi="楷体" w:eastAsia="楷体" w:cs="宋体"/>
                <w:color w:val="000000"/>
                <w:kern w:val="0"/>
                <w:sz w:val="28"/>
                <w:szCs w:val="28"/>
              </w:rPr>
            </w:pPr>
            <w:r>
              <w:rPr>
                <w:rFonts w:hint="eastAsia" w:ascii="楷体" w:hAnsi="楷体" w:eastAsia="楷体" w:cs="宋体"/>
                <w:color w:val="000000"/>
                <w:kern w:val="0"/>
                <w:sz w:val="28"/>
                <w:szCs w:val="28"/>
              </w:rPr>
              <w:t>江苏尚宝牧业有限公司</w:t>
            </w:r>
          </w:p>
        </w:tc>
        <w:tc>
          <w:tcPr>
            <w:tcW w:w="2098" w:type="dxa"/>
            <w:vAlign w:val="center"/>
          </w:tcPr>
          <w:p>
            <w:pPr>
              <w:widowControl/>
              <w:jc w:val="right"/>
              <w:rPr>
                <w:rFonts w:ascii="楷体" w:hAnsi="楷体" w:eastAsia="楷体" w:cs="宋体"/>
                <w:color w:val="000000"/>
                <w:kern w:val="0"/>
                <w:sz w:val="28"/>
                <w:szCs w:val="28"/>
              </w:rPr>
            </w:pPr>
            <w:r>
              <w:rPr>
                <w:rFonts w:ascii="楷体" w:hAnsi="楷体" w:eastAsia="楷体" w:cs="宋体"/>
                <w:color w:val="000000"/>
                <w:kern w:val="0"/>
                <w:sz w:val="28"/>
                <w:szCs w:val="28"/>
              </w:rPr>
              <w:t>7,786.11</w:t>
            </w:r>
          </w:p>
        </w:tc>
        <w:tc>
          <w:tcPr>
            <w:tcW w:w="1896" w:type="dxa"/>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w:t>
            </w:r>
          </w:p>
        </w:tc>
        <w:tc>
          <w:tcPr>
            <w:tcW w:w="1449" w:type="dxa"/>
            <w:vMerge w:val="continue"/>
            <w:noWrap/>
            <w:vAlign w:val="center"/>
          </w:tcPr>
          <w:p>
            <w:pPr>
              <w:widowControl/>
              <w:jc w:val="center"/>
              <w:rPr>
                <w:rFonts w:ascii="楷体" w:hAnsi="楷体" w:eastAsia="楷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noWrap/>
            <w:vAlign w:val="center"/>
          </w:tcPr>
          <w:p>
            <w:pPr>
              <w:jc w:val="center"/>
              <w:rPr>
                <w:rFonts w:ascii="楷体" w:hAnsi="楷体" w:eastAsia="楷体" w:cs="宋体"/>
                <w:color w:val="000000"/>
                <w:kern w:val="0"/>
                <w:sz w:val="28"/>
                <w:szCs w:val="28"/>
              </w:rPr>
            </w:pPr>
          </w:p>
        </w:tc>
        <w:tc>
          <w:tcPr>
            <w:tcW w:w="2271" w:type="dxa"/>
            <w:noWrap/>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常州大江饲料有限公司</w:t>
            </w:r>
          </w:p>
        </w:tc>
        <w:tc>
          <w:tcPr>
            <w:tcW w:w="2098" w:type="dxa"/>
            <w:vAlign w:val="center"/>
          </w:tcPr>
          <w:p>
            <w:pPr>
              <w:widowControl/>
              <w:jc w:val="right"/>
              <w:rPr>
                <w:rFonts w:ascii="楷体" w:hAnsi="楷体" w:eastAsia="楷体" w:cs="宋体"/>
                <w:color w:val="000000"/>
                <w:kern w:val="0"/>
                <w:sz w:val="28"/>
                <w:szCs w:val="28"/>
              </w:rPr>
            </w:pPr>
            <w:r>
              <w:rPr>
                <w:rFonts w:ascii="楷体" w:hAnsi="楷体" w:eastAsia="楷体" w:cs="宋体"/>
                <w:color w:val="000000"/>
                <w:kern w:val="0"/>
                <w:sz w:val="28"/>
                <w:szCs w:val="28"/>
              </w:rPr>
              <w:t>8,314,457.02</w:t>
            </w:r>
          </w:p>
        </w:tc>
        <w:tc>
          <w:tcPr>
            <w:tcW w:w="1896" w:type="dxa"/>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w:t>
            </w:r>
          </w:p>
        </w:tc>
        <w:tc>
          <w:tcPr>
            <w:tcW w:w="1449" w:type="dxa"/>
            <w:vMerge w:val="continue"/>
            <w:noWrap/>
            <w:vAlign w:val="center"/>
          </w:tcPr>
          <w:p>
            <w:pPr>
              <w:widowControl/>
              <w:jc w:val="center"/>
              <w:rPr>
                <w:rFonts w:ascii="楷体" w:hAnsi="楷体" w:eastAsia="楷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noWrap/>
            <w:vAlign w:val="center"/>
          </w:tcPr>
          <w:p>
            <w:pPr>
              <w:jc w:val="center"/>
              <w:rPr>
                <w:rFonts w:ascii="楷体" w:hAnsi="楷体" w:eastAsia="楷体" w:cs="宋体"/>
                <w:color w:val="000000"/>
                <w:kern w:val="0"/>
                <w:sz w:val="28"/>
                <w:szCs w:val="28"/>
              </w:rPr>
            </w:pPr>
          </w:p>
        </w:tc>
        <w:tc>
          <w:tcPr>
            <w:tcW w:w="2271" w:type="dxa"/>
            <w:vMerge w:val="restart"/>
            <w:noWrap/>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江苏省沿海开发（东台）有限公司</w:t>
            </w:r>
          </w:p>
        </w:tc>
        <w:tc>
          <w:tcPr>
            <w:tcW w:w="2098" w:type="dxa"/>
            <w:vAlign w:val="center"/>
          </w:tcPr>
          <w:p>
            <w:pPr>
              <w:widowControl/>
              <w:jc w:val="center"/>
              <w:rPr>
                <w:rFonts w:ascii="楷体" w:hAnsi="楷体" w:eastAsia="楷体" w:cs="宋体"/>
                <w:color w:val="000000"/>
                <w:kern w:val="0"/>
                <w:sz w:val="28"/>
                <w:szCs w:val="28"/>
              </w:rPr>
            </w:pPr>
            <w:r>
              <w:rPr>
                <w:rFonts w:ascii="楷体" w:hAnsi="楷体" w:eastAsia="楷体" w:cs="宋体"/>
                <w:color w:val="000000"/>
                <w:kern w:val="0"/>
                <w:sz w:val="28"/>
                <w:szCs w:val="28"/>
              </w:rPr>
              <w:t>6,791,100.00</w:t>
            </w:r>
          </w:p>
        </w:tc>
        <w:tc>
          <w:tcPr>
            <w:tcW w:w="1896" w:type="dxa"/>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w:t>
            </w:r>
          </w:p>
        </w:tc>
        <w:tc>
          <w:tcPr>
            <w:tcW w:w="1449" w:type="dxa"/>
            <w:vMerge w:val="continue"/>
            <w:noWrap/>
            <w:vAlign w:val="center"/>
          </w:tcPr>
          <w:p>
            <w:pPr>
              <w:widowControl/>
              <w:jc w:val="center"/>
              <w:rPr>
                <w:rFonts w:ascii="楷体" w:hAnsi="楷体" w:eastAsia="楷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noWrap/>
            <w:vAlign w:val="center"/>
          </w:tcPr>
          <w:p>
            <w:pPr>
              <w:jc w:val="center"/>
              <w:rPr>
                <w:rFonts w:ascii="楷体" w:hAnsi="楷体" w:eastAsia="楷体" w:cs="宋体"/>
                <w:color w:val="000000"/>
                <w:kern w:val="0"/>
                <w:sz w:val="28"/>
                <w:szCs w:val="28"/>
              </w:rPr>
            </w:pPr>
          </w:p>
        </w:tc>
        <w:tc>
          <w:tcPr>
            <w:tcW w:w="2271" w:type="dxa"/>
            <w:vMerge w:val="continue"/>
            <w:noWrap/>
            <w:vAlign w:val="center"/>
          </w:tcPr>
          <w:p>
            <w:pPr>
              <w:widowControl/>
              <w:jc w:val="center"/>
              <w:rPr>
                <w:rFonts w:ascii="楷体" w:hAnsi="楷体" w:eastAsia="楷体" w:cs="宋体"/>
                <w:color w:val="000000"/>
                <w:kern w:val="0"/>
                <w:sz w:val="28"/>
                <w:szCs w:val="28"/>
              </w:rPr>
            </w:pPr>
          </w:p>
        </w:tc>
        <w:tc>
          <w:tcPr>
            <w:tcW w:w="2098" w:type="dxa"/>
            <w:vAlign w:val="center"/>
          </w:tcPr>
          <w:p>
            <w:pPr>
              <w:widowControl/>
              <w:jc w:val="center"/>
              <w:rPr>
                <w:rFonts w:ascii="楷体" w:hAnsi="楷体" w:eastAsia="楷体" w:cs="宋体"/>
                <w:color w:val="000000"/>
                <w:kern w:val="0"/>
                <w:sz w:val="28"/>
                <w:szCs w:val="28"/>
              </w:rPr>
            </w:pPr>
            <w:r>
              <w:rPr>
                <w:rFonts w:ascii="楷体" w:hAnsi="楷体" w:eastAsia="楷体" w:cs="宋体"/>
                <w:color w:val="000000"/>
                <w:kern w:val="0"/>
                <w:sz w:val="28"/>
                <w:szCs w:val="28"/>
              </w:rPr>
              <w:t>36,800.00</w:t>
            </w:r>
          </w:p>
        </w:tc>
        <w:tc>
          <w:tcPr>
            <w:tcW w:w="1896" w:type="dxa"/>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w:t>
            </w:r>
          </w:p>
        </w:tc>
        <w:tc>
          <w:tcPr>
            <w:tcW w:w="1449" w:type="dxa"/>
            <w:vMerge w:val="continue"/>
            <w:noWrap/>
            <w:vAlign w:val="center"/>
          </w:tcPr>
          <w:p>
            <w:pPr>
              <w:widowControl/>
              <w:jc w:val="center"/>
              <w:rPr>
                <w:rFonts w:ascii="楷体" w:hAnsi="楷体" w:eastAsia="楷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noWrap/>
            <w:vAlign w:val="center"/>
          </w:tcPr>
          <w:p>
            <w:pPr>
              <w:jc w:val="center"/>
              <w:rPr>
                <w:rFonts w:ascii="楷体" w:hAnsi="楷体" w:eastAsia="楷体" w:cs="宋体"/>
                <w:color w:val="000000"/>
                <w:kern w:val="0"/>
                <w:sz w:val="28"/>
                <w:szCs w:val="28"/>
              </w:rPr>
            </w:pPr>
          </w:p>
        </w:tc>
        <w:tc>
          <w:tcPr>
            <w:tcW w:w="2271" w:type="dxa"/>
            <w:noWrap/>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法院扣款（冻结控制下扣款）</w:t>
            </w:r>
          </w:p>
        </w:tc>
        <w:tc>
          <w:tcPr>
            <w:tcW w:w="2098" w:type="dxa"/>
            <w:vAlign w:val="center"/>
          </w:tcPr>
          <w:p>
            <w:pPr>
              <w:widowControl/>
              <w:jc w:val="center"/>
              <w:rPr>
                <w:rFonts w:ascii="楷体" w:hAnsi="楷体" w:eastAsia="楷体" w:cs="宋体"/>
                <w:color w:val="000000"/>
                <w:kern w:val="0"/>
                <w:sz w:val="28"/>
                <w:szCs w:val="28"/>
              </w:rPr>
            </w:pPr>
            <w:r>
              <w:rPr>
                <w:rFonts w:ascii="楷体" w:hAnsi="楷体" w:eastAsia="楷体" w:cs="宋体"/>
                <w:color w:val="000000"/>
                <w:kern w:val="0"/>
                <w:sz w:val="28"/>
                <w:szCs w:val="28"/>
              </w:rPr>
              <w:t>526,977.22</w:t>
            </w:r>
          </w:p>
        </w:tc>
        <w:tc>
          <w:tcPr>
            <w:tcW w:w="1896" w:type="dxa"/>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w:t>
            </w:r>
          </w:p>
        </w:tc>
        <w:tc>
          <w:tcPr>
            <w:tcW w:w="1449" w:type="dxa"/>
            <w:vMerge w:val="continue"/>
            <w:noWrap/>
            <w:vAlign w:val="center"/>
          </w:tcPr>
          <w:p>
            <w:pPr>
              <w:widowControl/>
              <w:jc w:val="center"/>
              <w:rPr>
                <w:rFonts w:ascii="楷体" w:hAnsi="楷体" w:eastAsia="楷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noWrap/>
            <w:vAlign w:val="center"/>
          </w:tcPr>
          <w:p>
            <w:pPr>
              <w:jc w:val="center"/>
              <w:rPr>
                <w:rFonts w:ascii="楷体" w:hAnsi="楷体" w:eastAsia="楷体" w:cs="宋体"/>
                <w:color w:val="000000"/>
                <w:kern w:val="0"/>
                <w:sz w:val="28"/>
                <w:szCs w:val="28"/>
              </w:rPr>
            </w:pPr>
          </w:p>
        </w:tc>
        <w:tc>
          <w:tcPr>
            <w:tcW w:w="2271" w:type="dxa"/>
            <w:noWrap/>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江苏尚宝牧业有限公司</w:t>
            </w:r>
          </w:p>
        </w:tc>
        <w:tc>
          <w:tcPr>
            <w:tcW w:w="2098" w:type="dxa"/>
            <w:vAlign w:val="center"/>
          </w:tcPr>
          <w:p>
            <w:pPr>
              <w:widowControl/>
              <w:jc w:val="center"/>
              <w:rPr>
                <w:rFonts w:ascii="楷体" w:hAnsi="楷体" w:eastAsia="楷体" w:cs="宋体"/>
                <w:color w:val="000000"/>
                <w:kern w:val="0"/>
                <w:sz w:val="28"/>
                <w:szCs w:val="28"/>
              </w:rPr>
            </w:pPr>
            <w:r>
              <w:rPr>
                <w:rFonts w:ascii="楷体" w:hAnsi="楷体" w:eastAsia="楷体" w:cs="宋体"/>
                <w:color w:val="000000"/>
                <w:kern w:val="0"/>
                <w:sz w:val="28"/>
                <w:szCs w:val="28"/>
              </w:rPr>
              <w:t>20,000.00</w:t>
            </w:r>
          </w:p>
        </w:tc>
        <w:tc>
          <w:tcPr>
            <w:tcW w:w="1896" w:type="dxa"/>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w:t>
            </w:r>
          </w:p>
        </w:tc>
        <w:tc>
          <w:tcPr>
            <w:tcW w:w="1449" w:type="dxa"/>
            <w:vMerge w:val="continue"/>
            <w:noWrap/>
            <w:vAlign w:val="center"/>
          </w:tcPr>
          <w:p>
            <w:pPr>
              <w:widowControl/>
              <w:jc w:val="center"/>
              <w:rPr>
                <w:rFonts w:ascii="楷体" w:hAnsi="楷体" w:eastAsia="楷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noWrap/>
            <w:vAlign w:val="center"/>
          </w:tcPr>
          <w:p>
            <w:pPr>
              <w:jc w:val="center"/>
              <w:rPr>
                <w:rFonts w:ascii="楷体" w:hAnsi="楷体" w:eastAsia="楷体" w:cs="宋体"/>
                <w:color w:val="000000"/>
                <w:kern w:val="0"/>
                <w:sz w:val="28"/>
                <w:szCs w:val="28"/>
              </w:rPr>
            </w:pPr>
          </w:p>
        </w:tc>
        <w:tc>
          <w:tcPr>
            <w:tcW w:w="2271" w:type="dxa"/>
            <w:noWrap/>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李群</w:t>
            </w:r>
          </w:p>
        </w:tc>
        <w:tc>
          <w:tcPr>
            <w:tcW w:w="2098" w:type="dxa"/>
            <w:vAlign w:val="center"/>
          </w:tcPr>
          <w:p>
            <w:pPr>
              <w:widowControl/>
              <w:jc w:val="center"/>
              <w:rPr>
                <w:rFonts w:ascii="楷体" w:hAnsi="楷体" w:eastAsia="楷体" w:cs="宋体"/>
                <w:color w:val="000000"/>
                <w:kern w:val="0"/>
                <w:sz w:val="28"/>
                <w:szCs w:val="28"/>
              </w:rPr>
            </w:pPr>
            <w:r>
              <w:rPr>
                <w:rFonts w:ascii="楷体" w:hAnsi="楷体" w:eastAsia="楷体" w:cs="宋体"/>
                <w:color w:val="000000"/>
                <w:kern w:val="0"/>
                <w:sz w:val="28"/>
                <w:szCs w:val="28"/>
              </w:rPr>
              <w:t>8,832.50</w:t>
            </w:r>
          </w:p>
        </w:tc>
        <w:tc>
          <w:tcPr>
            <w:tcW w:w="1896" w:type="dxa"/>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w:t>
            </w:r>
          </w:p>
        </w:tc>
        <w:tc>
          <w:tcPr>
            <w:tcW w:w="1449" w:type="dxa"/>
            <w:vMerge w:val="continue"/>
            <w:noWrap/>
            <w:vAlign w:val="center"/>
          </w:tcPr>
          <w:p>
            <w:pPr>
              <w:widowControl/>
              <w:jc w:val="center"/>
              <w:rPr>
                <w:rFonts w:ascii="楷体" w:hAnsi="楷体" w:eastAsia="楷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noWrap/>
            <w:vAlign w:val="center"/>
          </w:tcPr>
          <w:p>
            <w:pPr>
              <w:jc w:val="center"/>
              <w:rPr>
                <w:rFonts w:ascii="楷体" w:hAnsi="楷体" w:eastAsia="楷体" w:cs="宋体"/>
                <w:color w:val="000000"/>
                <w:kern w:val="0"/>
                <w:sz w:val="28"/>
                <w:szCs w:val="28"/>
              </w:rPr>
            </w:pPr>
          </w:p>
        </w:tc>
        <w:tc>
          <w:tcPr>
            <w:tcW w:w="2271" w:type="dxa"/>
            <w:noWrap/>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唐仲</w:t>
            </w:r>
          </w:p>
        </w:tc>
        <w:tc>
          <w:tcPr>
            <w:tcW w:w="2098" w:type="dxa"/>
            <w:vAlign w:val="center"/>
          </w:tcPr>
          <w:p>
            <w:pPr>
              <w:widowControl/>
              <w:jc w:val="center"/>
              <w:rPr>
                <w:rFonts w:ascii="楷体" w:hAnsi="楷体" w:eastAsia="楷体" w:cs="宋体"/>
                <w:color w:val="000000"/>
                <w:kern w:val="0"/>
                <w:sz w:val="28"/>
                <w:szCs w:val="28"/>
              </w:rPr>
            </w:pPr>
            <w:r>
              <w:rPr>
                <w:rFonts w:ascii="楷体" w:hAnsi="楷体" w:eastAsia="楷体" w:cs="宋体"/>
                <w:color w:val="000000"/>
                <w:kern w:val="0"/>
                <w:sz w:val="28"/>
                <w:szCs w:val="28"/>
              </w:rPr>
              <w:t>5,796.40</w:t>
            </w:r>
          </w:p>
        </w:tc>
        <w:tc>
          <w:tcPr>
            <w:tcW w:w="1896" w:type="dxa"/>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w:t>
            </w:r>
          </w:p>
        </w:tc>
        <w:tc>
          <w:tcPr>
            <w:tcW w:w="1449" w:type="dxa"/>
            <w:vMerge w:val="continue"/>
            <w:noWrap/>
            <w:vAlign w:val="center"/>
          </w:tcPr>
          <w:p>
            <w:pPr>
              <w:widowControl/>
              <w:jc w:val="center"/>
              <w:rPr>
                <w:rFonts w:ascii="楷体" w:hAnsi="楷体" w:eastAsia="楷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noWrap/>
            <w:vAlign w:val="center"/>
          </w:tcPr>
          <w:p>
            <w:pPr>
              <w:jc w:val="center"/>
              <w:rPr>
                <w:rFonts w:ascii="楷体" w:hAnsi="楷体" w:eastAsia="楷体" w:cs="宋体"/>
                <w:color w:val="000000"/>
                <w:kern w:val="0"/>
                <w:sz w:val="28"/>
                <w:szCs w:val="28"/>
              </w:rPr>
            </w:pPr>
          </w:p>
        </w:tc>
        <w:tc>
          <w:tcPr>
            <w:tcW w:w="2271" w:type="dxa"/>
            <w:noWrap/>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尹倩</w:t>
            </w:r>
          </w:p>
        </w:tc>
        <w:tc>
          <w:tcPr>
            <w:tcW w:w="2098" w:type="dxa"/>
            <w:vAlign w:val="center"/>
          </w:tcPr>
          <w:p>
            <w:pPr>
              <w:widowControl/>
              <w:jc w:val="center"/>
              <w:rPr>
                <w:rFonts w:ascii="楷体" w:hAnsi="楷体" w:eastAsia="楷体" w:cs="宋体"/>
                <w:color w:val="000000"/>
                <w:kern w:val="0"/>
                <w:sz w:val="28"/>
                <w:szCs w:val="28"/>
              </w:rPr>
            </w:pPr>
            <w:r>
              <w:rPr>
                <w:rFonts w:ascii="楷体" w:hAnsi="楷体" w:eastAsia="楷体" w:cs="宋体"/>
                <w:color w:val="000000"/>
                <w:kern w:val="0"/>
                <w:sz w:val="28"/>
                <w:szCs w:val="28"/>
              </w:rPr>
              <w:t>5,742.24</w:t>
            </w:r>
          </w:p>
        </w:tc>
        <w:tc>
          <w:tcPr>
            <w:tcW w:w="1896" w:type="dxa"/>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w:t>
            </w:r>
          </w:p>
        </w:tc>
        <w:tc>
          <w:tcPr>
            <w:tcW w:w="1449" w:type="dxa"/>
            <w:vMerge w:val="continue"/>
            <w:noWrap/>
            <w:vAlign w:val="center"/>
          </w:tcPr>
          <w:p>
            <w:pPr>
              <w:widowControl/>
              <w:jc w:val="center"/>
              <w:rPr>
                <w:rFonts w:ascii="楷体" w:hAnsi="楷体" w:eastAsia="楷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noWrap/>
            <w:vAlign w:val="center"/>
          </w:tcPr>
          <w:p>
            <w:pPr>
              <w:jc w:val="center"/>
              <w:rPr>
                <w:rFonts w:ascii="楷体" w:hAnsi="楷体" w:eastAsia="楷体" w:cs="宋体"/>
                <w:color w:val="000000"/>
                <w:kern w:val="0"/>
                <w:sz w:val="28"/>
                <w:szCs w:val="28"/>
              </w:rPr>
            </w:pPr>
          </w:p>
        </w:tc>
        <w:tc>
          <w:tcPr>
            <w:tcW w:w="2271" w:type="dxa"/>
            <w:noWrap/>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上海市海丰农场社区管理委员会</w:t>
            </w:r>
          </w:p>
        </w:tc>
        <w:tc>
          <w:tcPr>
            <w:tcW w:w="2098" w:type="dxa"/>
            <w:vAlign w:val="center"/>
          </w:tcPr>
          <w:p>
            <w:pPr>
              <w:widowControl/>
              <w:jc w:val="center"/>
              <w:rPr>
                <w:rFonts w:ascii="楷体" w:hAnsi="楷体" w:eastAsia="楷体" w:cs="宋体"/>
                <w:color w:val="000000"/>
                <w:kern w:val="0"/>
                <w:sz w:val="28"/>
                <w:szCs w:val="28"/>
              </w:rPr>
            </w:pPr>
            <w:r>
              <w:rPr>
                <w:rFonts w:ascii="楷体" w:hAnsi="楷体" w:eastAsia="楷体" w:cs="宋体"/>
                <w:color w:val="000000"/>
                <w:kern w:val="0"/>
                <w:sz w:val="28"/>
                <w:szCs w:val="28"/>
              </w:rPr>
              <w:t>4,000.00</w:t>
            </w:r>
          </w:p>
        </w:tc>
        <w:tc>
          <w:tcPr>
            <w:tcW w:w="1896" w:type="dxa"/>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w:t>
            </w:r>
          </w:p>
        </w:tc>
        <w:tc>
          <w:tcPr>
            <w:tcW w:w="1449" w:type="dxa"/>
            <w:vMerge w:val="continue"/>
            <w:noWrap/>
            <w:vAlign w:val="center"/>
          </w:tcPr>
          <w:p>
            <w:pPr>
              <w:widowControl/>
              <w:jc w:val="center"/>
              <w:rPr>
                <w:rFonts w:ascii="楷体" w:hAnsi="楷体" w:eastAsia="楷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noWrap/>
            <w:vAlign w:val="center"/>
          </w:tcPr>
          <w:p>
            <w:pPr>
              <w:jc w:val="center"/>
              <w:rPr>
                <w:rFonts w:ascii="楷体" w:hAnsi="楷体" w:eastAsia="楷体" w:cs="宋体"/>
                <w:color w:val="000000"/>
                <w:kern w:val="0"/>
                <w:sz w:val="28"/>
                <w:szCs w:val="28"/>
              </w:rPr>
            </w:pPr>
          </w:p>
        </w:tc>
        <w:tc>
          <w:tcPr>
            <w:tcW w:w="2271" w:type="dxa"/>
            <w:noWrap/>
            <w:vAlign w:val="center"/>
          </w:tcPr>
          <w:p>
            <w:pPr>
              <w:pStyle w:val="2"/>
              <w:numPr>
                <w:ilvl w:val="0"/>
                <w:numId w:val="0"/>
              </w:numPr>
              <w:spacing w:before="0" w:beforeLines="0" w:after="0" w:afterLines="0" w:line="600" w:lineRule="exact"/>
              <w:jc w:val="center"/>
              <w:rPr>
                <w:rFonts w:ascii="楷体" w:hAnsi="楷体" w:eastAsia="楷体"/>
              </w:rPr>
            </w:pPr>
            <w:r>
              <w:rPr>
                <w:rFonts w:hint="eastAsia" w:ascii="楷体" w:hAnsi="楷体" w:eastAsia="楷体"/>
              </w:rPr>
              <w:t>常州大江饲料有限公司</w:t>
            </w:r>
          </w:p>
        </w:tc>
        <w:tc>
          <w:tcPr>
            <w:tcW w:w="2098" w:type="dxa"/>
            <w:vAlign w:val="center"/>
          </w:tcPr>
          <w:p>
            <w:pPr>
              <w:widowControl/>
              <w:jc w:val="center"/>
              <w:rPr>
                <w:rFonts w:ascii="楷体" w:hAnsi="楷体" w:eastAsia="楷体" w:cs="宋体"/>
                <w:color w:val="000000"/>
                <w:kern w:val="0"/>
                <w:sz w:val="28"/>
                <w:szCs w:val="28"/>
              </w:rPr>
            </w:pPr>
            <w:r>
              <w:rPr>
                <w:rFonts w:ascii="楷体" w:hAnsi="楷体" w:eastAsia="楷体" w:cs="宋体"/>
                <w:color w:val="000000"/>
                <w:kern w:val="0"/>
                <w:sz w:val="28"/>
                <w:szCs w:val="28"/>
              </w:rPr>
              <w:t>7,944,666.65</w:t>
            </w:r>
          </w:p>
        </w:tc>
        <w:tc>
          <w:tcPr>
            <w:tcW w:w="1896" w:type="dxa"/>
            <w:vAlign w:val="center"/>
          </w:tcPr>
          <w:p>
            <w:pPr>
              <w:pStyle w:val="2"/>
              <w:numPr>
                <w:ilvl w:val="0"/>
                <w:numId w:val="0"/>
              </w:numPr>
              <w:spacing w:before="0" w:beforeLines="0" w:after="0" w:afterLines="0" w:line="600" w:lineRule="exact"/>
              <w:jc w:val="center"/>
              <w:rPr>
                <w:rFonts w:ascii="楷体" w:hAnsi="楷体" w:eastAsia="楷体"/>
              </w:rPr>
            </w:pPr>
            <w:r>
              <w:rPr>
                <w:rFonts w:hint="eastAsia" w:ascii="楷体" w:hAnsi="楷体" w:eastAsia="楷体"/>
              </w:rPr>
              <w:t>1.7944666.65元自2020年7月1日起至实际履行之日止的利息；</w:t>
            </w:r>
          </w:p>
          <w:p>
            <w:pPr>
              <w:pStyle w:val="2"/>
              <w:numPr>
                <w:ilvl w:val="0"/>
                <w:numId w:val="0"/>
              </w:numPr>
              <w:spacing w:before="0" w:beforeLines="0" w:after="0" w:afterLines="0" w:line="600" w:lineRule="exact"/>
              <w:jc w:val="center"/>
              <w:rPr>
                <w:rFonts w:ascii="楷体" w:hAnsi="楷体" w:eastAsia="楷体" w:cs="宋体"/>
                <w:color w:val="000000"/>
                <w:kern w:val="0"/>
              </w:rPr>
            </w:pPr>
            <w:r>
              <w:rPr>
                <w:rFonts w:hint="eastAsia" w:ascii="楷体" w:hAnsi="楷体" w:eastAsia="楷体"/>
              </w:rPr>
              <w:t>2.保全申请费5000元。</w:t>
            </w:r>
          </w:p>
        </w:tc>
        <w:tc>
          <w:tcPr>
            <w:tcW w:w="1449" w:type="dxa"/>
            <w:vMerge w:val="continue"/>
            <w:noWrap/>
            <w:vAlign w:val="center"/>
          </w:tcPr>
          <w:p>
            <w:pPr>
              <w:widowControl/>
              <w:jc w:val="center"/>
              <w:rPr>
                <w:rFonts w:ascii="楷体" w:hAnsi="楷体" w:eastAsia="楷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noWrap/>
            <w:vAlign w:val="center"/>
          </w:tcPr>
          <w:p>
            <w:pPr>
              <w:widowControl/>
              <w:jc w:val="center"/>
              <w:rPr>
                <w:rFonts w:ascii="楷体" w:hAnsi="楷体" w:eastAsia="楷体" w:cs="宋体"/>
                <w:color w:val="000000"/>
                <w:kern w:val="0"/>
                <w:sz w:val="28"/>
                <w:szCs w:val="28"/>
              </w:rPr>
            </w:pPr>
          </w:p>
        </w:tc>
        <w:tc>
          <w:tcPr>
            <w:tcW w:w="2271" w:type="dxa"/>
            <w:noWrap/>
            <w:vAlign w:val="center"/>
          </w:tcPr>
          <w:p>
            <w:pPr>
              <w:pStyle w:val="2"/>
              <w:numPr>
                <w:ilvl w:val="0"/>
                <w:numId w:val="0"/>
              </w:numPr>
              <w:spacing w:before="0" w:beforeLines="0" w:after="0" w:afterLines="0" w:line="600" w:lineRule="exact"/>
              <w:jc w:val="center"/>
              <w:rPr>
                <w:rFonts w:ascii="楷体" w:hAnsi="楷体" w:eastAsia="楷体"/>
              </w:rPr>
            </w:pPr>
            <w:r>
              <w:rPr>
                <w:rFonts w:hint="eastAsia" w:ascii="楷体" w:hAnsi="楷体" w:eastAsia="楷体"/>
              </w:rPr>
              <w:t>黄志伟、都昌县宏华特种水产品农民专业合作社、曹晓华</w:t>
            </w:r>
          </w:p>
        </w:tc>
        <w:tc>
          <w:tcPr>
            <w:tcW w:w="2098" w:type="dxa"/>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57</w:t>
            </w:r>
            <w:r>
              <w:rPr>
                <w:rFonts w:ascii="楷体" w:hAnsi="楷体" w:eastAsia="楷体" w:cs="宋体"/>
                <w:color w:val="000000"/>
                <w:kern w:val="0"/>
                <w:sz w:val="28"/>
                <w:szCs w:val="28"/>
              </w:rPr>
              <w:t>,</w:t>
            </w:r>
            <w:r>
              <w:rPr>
                <w:rFonts w:hint="eastAsia" w:ascii="楷体" w:hAnsi="楷体" w:eastAsia="楷体" w:cs="宋体"/>
                <w:color w:val="000000"/>
                <w:kern w:val="0"/>
                <w:sz w:val="28"/>
                <w:szCs w:val="28"/>
              </w:rPr>
              <w:t>793.83</w:t>
            </w:r>
          </w:p>
        </w:tc>
        <w:tc>
          <w:tcPr>
            <w:tcW w:w="1896" w:type="dxa"/>
            <w:vAlign w:val="center"/>
          </w:tcPr>
          <w:p>
            <w:pPr>
              <w:pStyle w:val="2"/>
              <w:numPr>
                <w:ilvl w:val="0"/>
                <w:numId w:val="0"/>
              </w:numPr>
              <w:spacing w:before="0" w:beforeLines="0" w:after="0" w:afterLines="0" w:line="600" w:lineRule="exact"/>
              <w:jc w:val="center"/>
              <w:rPr>
                <w:rFonts w:ascii="楷体" w:hAnsi="楷体" w:eastAsia="楷体"/>
              </w:rPr>
            </w:pPr>
            <w:r>
              <w:rPr>
                <w:rFonts w:hint="eastAsia" w:ascii="楷体" w:hAnsi="楷体" w:eastAsia="楷体"/>
              </w:rPr>
              <w:t>1.</w:t>
            </w:r>
            <w:r>
              <w:rPr>
                <w:rFonts w:ascii="楷体" w:hAnsi="楷体" w:eastAsia="楷体"/>
              </w:rPr>
              <w:t xml:space="preserve">逾期付款违约金（以77,602元为基数，自2018年1月1日起算至实际清偿日止，按日万之六计算）； </w:t>
            </w:r>
          </w:p>
          <w:p>
            <w:pPr>
              <w:pStyle w:val="2"/>
              <w:numPr>
                <w:ilvl w:val="0"/>
                <w:numId w:val="0"/>
              </w:numPr>
              <w:spacing w:before="0" w:beforeLines="0" w:after="0" w:afterLines="0" w:line="600" w:lineRule="exact"/>
              <w:jc w:val="center"/>
              <w:rPr>
                <w:rFonts w:ascii="楷体" w:hAnsi="楷体" w:eastAsia="楷体"/>
              </w:rPr>
            </w:pPr>
            <w:r>
              <w:rPr>
                <w:rFonts w:hint="eastAsia" w:ascii="楷体" w:hAnsi="楷体" w:eastAsia="楷体"/>
              </w:rPr>
              <w:t>2.</w:t>
            </w:r>
            <w:r>
              <w:rPr>
                <w:rFonts w:ascii="楷体" w:hAnsi="楷体" w:eastAsia="楷体"/>
              </w:rPr>
              <w:t>律师费损失5,000元</w:t>
            </w:r>
            <w:r>
              <w:rPr>
                <w:rFonts w:hint="eastAsia" w:ascii="楷体" w:hAnsi="楷体" w:eastAsia="楷体"/>
              </w:rPr>
              <w:t>；</w:t>
            </w:r>
          </w:p>
          <w:p>
            <w:pPr>
              <w:pStyle w:val="2"/>
              <w:numPr>
                <w:ilvl w:val="0"/>
                <w:numId w:val="0"/>
              </w:numPr>
              <w:spacing w:before="0" w:beforeLines="0" w:after="0" w:afterLines="0" w:line="600" w:lineRule="exact"/>
              <w:jc w:val="center"/>
              <w:rPr>
                <w:rFonts w:ascii="楷体" w:hAnsi="楷体" w:eastAsia="楷体"/>
              </w:rPr>
            </w:pPr>
            <w:r>
              <w:rPr>
                <w:rFonts w:hint="eastAsia" w:ascii="楷体" w:hAnsi="楷体" w:eastAsia="楷体"/>
              </w:rPr>
              <w:t>3.公告费560元。</w:t>
            </w:r>
          </w:p>
        </w:tc>
        <w:tc>
          <w:tcPr>
            <w:tcW w:w="1449" w:type="dxa"/>
            <w:vMerge w:val="continue"/>
            <w:noWrap/>
            <w:vAlign w:val="center"/>
          </w:tcPr>
          <w:p>
            <w:pPr>
              <w:widowControl/>
              <w:jc w:val="center"/>
              <w:rPr>
                <w:rFonts w:ascii="楷体" w:hAnsi="楷体" w:eastAsia="楷体" w:cs="宋体"/>
                <w:color w:val="000000"/>
                <w:kern w:val="0"/>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gridSpan w:val="5"/>
            <w:noWrap/>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以上为无质押部分应收账款</w:t>
            </w:r>
          </w:p>
        </w:tc>
      </w:tr>
    </w:tbl>
    <w:p>
      <w:pPr>
        <w:pStyle w:val="6"/>
        <w:spacing w:before="0" w:beforeAutospacing="0" w:after="0" w:afterAutospacing="0" w:line="315" w:lineRule="atLeast"/>
        <w:rPr>
          <w:rFonts w:ascii="Times New Roman" w:hAnsi="Times New Roman" w:eastAsia="楷体" w:cs="Times New Roman"/>
          <w:color w:val="FF0000"/>
          <w:u w:val="single"/>
        </w:rPr>
      </w:pPr>
    </w:p>
    <w:p>
      <w:pPr>
        <w:pStyle w:val="6"/>
        <w:spacing w:before="0" w:beforeAutospacing="0" w:after="0" w:afterAutospacing="0" w:line="315" w:lineRule="atLeast"/>
        <w:rPr>
          <w:rFonts w:ascii="Times New Roman" w:hAnsi="Times New Roman" w:eastAsia="楷体" w:cs="Times New Roman"/>
          <w:color w:val="FF0000"/>
          <w:highlight w:val="yellow"/>
          <w:u w:val="single"/>
        </w:rPr>
      </w:pPr>
      <w:r>
        <w:rPr>
          <w:rFonts w:hint="eastAsia" w:ascii="Times New Roman" w:hAnsi="Times New Roman" w:eastAsia="楷体" w:cs="Times New Roman"/>
          <w:color w:val="FF0000"/>
          <w:highlight w:val="yellow"/>
          <w:u w:val="single"/>
        </w:rPr>
        <w:t>其他特别提示:</w:t>
      </w:r>
    </w:p>
    <w:p>
      <w:pPr>
        <w:pStyle w:val="6"/>
        <w:spacing w:before="0" w:beforeAutospacing="0" w:after="0" w:afterAutospacing="0" w:line="315" w:lineRule="atLeast"/>
        <w:rPr>
          <w:rFonts w:ascii="Times New Roman" w:hAnsi="Times New Roman" w:eastAsia="楷体" w:cs="Times New Roman"/>
          <w:color w:val="FF0000"/>
          <w:highlight w:val="yellow"/>
          <w:u w:val="single"/>
        </w:rPr>
      </w:pPr>
      <w:r>
        <w:rPr>
          <w:rFonts w:hint="eastAsia" w:ascii="Times New Roman" w:hAnsi="Times New Roman" w:eastAsia="楷体" w:cs="Times New Roman"/>
          <w:color w:val="FF0000"/>
          <w:highlight w:val="yellow"/>
          <w:u w:val="single"/>
        </w:rPr>
        <w:t>(1) 上述拍卖标的拍卖成交之后，仅由管理人与买受人办理资产交接手续。所涉及的一切税、费，均由买受人另行支付、自行承担；</w:t>
      </w:r>
    </w:p>
    <w:p>
      <w:pPr>
        <w:pStyle w:val="6"/>
        <w:spacing w:before="0" w:beforeAutospacing="0" w:after="0" w:afterAutospacing="0" w:line="315" w:lineRule="atLeast"/>
        <w:rPr>
          <w:rFonts w:ascii="Times New Roman" w:hAnsi="Times New Roman" w:eastAsia="楷体" w:cs="Times New Roman"/>
          <w:color w:val="FF0000"/>
          <w:highlight w:val="yellow"/>
          <w:u w:val="single"/>
        </w:rPr>
      </w:pPr>
      <w:r>
        <w:rPr>
          <w:rFonts w:hint="eastAsia" w:ascii="Times New Roman" w:hAnsi="Times New Roman" w:eastAsia="楷体" w:cs="Times New Roman"/>
          <w:color w:val="FF0000"/>
          <w:highlight w:val="yellow"/>
          <w:u w:val="single"/>
        </w:rPr>
        <w:t>(</w:t>
      </w:r>
      <w:r>
        <w:rPr>
          <w:rFonts w:ascii="Times New Roman" w:hAnsi="Times New Roman" w:eastAsia="楷体" w:cs="Times New Roman"/>
          <w:color w:val="FF0000"/>
          <w:highlight w:val="yellow"/>
          <w:u w:val="single"/>
        </w:rPr>
        <w:t>2</w:t>
      </w:r>
      <w:r>
        <w:rPr>
          <w:rFonts w:hint="eastAsia" w:ascii="Times New Roman" w:hAnsi="Times New Roman" w:eastAsia="楷体" w:cs="Times New Roman"/>
          <w:color w:val="FF0000"/>
          <w:highlight w:val="yellow"/>
          <w:u w:val="single"/>
        </w:rPr>
        <w:t>) 买受人须自行负责通知债务人应收款项转让事项，管理人可予以必要的配合。可能存在通知不到债务人的风险，该些风险竞买人应当充分考虑，相关风险由竟买人承担；</w:t>
      </w:r>
    </w:p>
    <w:p>
      <w:pPr>
        <w:widowControl/>
        <w:spacing w:line="360" w:lineRule="atLeast"/>
        <w:jc w:val="left"/>
        <w:rPr>
          <w:rFonts w:ascii="Times New Roman" w:hAnsi="Times New Roman" w:eastAsia="楷体" w:cs="Times New Roman"/>
          <w:color w:val="FF0000"/>
          <w:kern w:val="0"/>
          <w:sz w:val="24"/>
          <w:szCs w:val="24"/>
          <w:u w:val="single"/>
        </w:rPr>
      </w:pPr>
      <w:r>
        <w:rPr>
          <w:rFonts w:hint="eastAsia" w:ascii="Times New Roman" w:hAnsi="Times New Roman" w:eastAsia="楷体" w:cs="Times New Roman"/>
          <w:color w:val="FF0000"/>
          <w:kern w:val="0"/>
          <w:sz w:val="24"/>
          <w:szCs w:val="24"/>
          <w:highlight w:val="yellow"/>
          <w:u w:val="single"/>
        </w:rPr>
        <w:t>(</w:t>
      </w:r>
      <w:r>
        <w:rPr>
          <w:rFonts w:ascii="Times New Roman" w:hAnsi="Times New Roman" w:eastAsia="楷体" w:cs="Times New Roman"/>
          <w:color w:val="FF0000"/>
          <w:kern w:val="0"/>
          <w:sz w:val="24"/>
          <w:szCs w:val="24"/>
          <w:highlight w:val="yellow"/>
          <w:u w:val="single"/>
        </w:rPr>
        <w:t>3</w:t>
      </w:r>
      <w:r>
        <w:rPr>
          <w:rFonts w:hint="eastAsia" w:ascii="Times New Roman" w:hAnsi="Times New Roman" w:eastAsia="楷体" w:cs="Times New Roman"/>
          <w:color w:val="FF0000"/>
          <w:kern w:val="0"/>
          <w:sz w:val="24"/>
          <w:szCs w:val="24"/>
          <w:highlight w:val="yellow"/>
          <w:u w:val="single"/>
        </w:rPr>
        <w:t>)上述存在着瑕疵或尚未发现的缺陷，由竞买人自行调查核实并承担相应风险。管理人和拍辅单位对标的债权清收的困难性和可回收性不作出任何承诺或保证。竞买人一旦作出竞买决定，即表明竞买人确认知悉标的可能存在的瑕疵和风险,竞买人自愿承担受让该等标的后可能承受的一切风险以及由该等风险所造成的一切损失或无法实现的预期利益；</w:t>
      </w:r>
    </w:p>
    <w:p>
      <w:pPr>
        <w:widowControl/>
        <w:spacing w:line="360" w:lineRule="atLeast"/>
        <w:jc w:val="left"/>
        <w:rPr>
          <w:rFonts w:ascii="Times New Roman" w:hAnsi="Times New Roman" w:eastAsia="楷体" w:cs="Times New Roman"/>
          <w:color w:val="FF0000"/>
          <w:kern w:val="0"/>
          <w:sz w:val="24"/>
          <w:szCs w:val="24"/>
          <w:highlight w:val="yellow"/>
          <w:u w:val="single"/>
        </w:rPr>
      </w:pPr>
      <w:r>
        <w:rPr>
          <w:rFonts w:hint="eastAsia" w:ascii="Times New Roman" w:hAnsi="Times New Roman" w:eastAsia="楷体" w:cs="Times New Roman"/>
          <w:color w:val="FF0000"/>
          <w:kern w:val="0"/>
          <w:sz w:val="24"/>
          <w:szCs w:val="24"/>
          <w:highlight w:val="yellow"/>
          <w:u w:val="single"/>
        </w:rPr>
        <w:t>(</w:t>
      </w:r>
      <w:r>
        <w:rPr>
          <w:rFonts w:ascii="Times New Roman" w:hAnsi="Times New Roman" w:eastAsia="楷体" w:cs="Times New Roman"/>
          <w:color w:val="FF0000"/>
          <w:kern w:val="0"/>
          <w:sz w:val="24"/>
          <w:szCs w:val="24"/>
          <w:highlight w:val="yellow"/>
          <w:u w:val="single"/>
        </w:rPr>
        <w:t>4</w:t>
      </w:r>
      <w:r>
        <w:rPr>
          <w:rFonts w:hint="eastAsia" w:ascii="Times New Roman" w:hAnsi="Times New Roman" w:eastAsia="楷体" w:cs="Times New Roman"/>
          <w:color w:val="FF0000"/>
          <w:kern w:val="0"/>
          <w:sz w:val="24"/>
          <w:szCs w:val="24"/>
          <w:highlight w:val="yellow"/>
          <w:u w:val="single"/>
        </w:rPr>
        <w:t>)管理人和拍辅单位对此次竞价标的物所作的说明和提供的资料等,不构成对标的物的任何担保,不作为对竞买人参与此次竞价的建议,仅提供竞买人参考。（特别提醒：请有意竞买者自行在拍卖前仔细审查拍卖标的物,调查是否存在瑕疵,认真研究查看所竞买标的物的实际情况,竞买人一旦参与竞买,即视为对拍卖标的已完全了解,并接受拍卖标的现状和一切已知及未知的瑕疵（含显性、隐性瑕疵）,管理人不承担瑕疵担保责任）。拍卖成交之日起，买受人承担标的物可能发生的一切损毁、灭失、贬值等风险。管理人有权在拍卖开始前、拍卖过程中，中止拍卖或撤回拍卖，前述行为对各方不构成违约且管理人不承担各方因此造成的损失。本次网上公开竞价《竞买公告》《竞买须知》等拍卖标的相关文件已在网拍平台公开展示,请仔细阅读。管理人已就前述相关拍卖标的相关文件的所有条款向竞买人如实告知并做出详细说明,竞买人知悉并同意接受前述文件的全部条款和内容,竞买人和资产处置方双方不存在任何歧义和误认,竞买人承诺不再对前述文件的条款提出任何异议。管理人和拍辅单位不对应收款项是否可以收回或潜在的责任和风险做出任何担保，不承担本标的物瑕疵保证，相关风险均由竞买人自行承担。</w:t>
      </w:r>
    </w:p>
    <w:p>
      <w:pPr>
        <w:widowControl/>
        <w:spacing w:line="360" w:lineRule="atLeast"/>
        <w:jc w:val="left"/>
        <w:rPr>
          <w:rFonts w:ascii="Times New Roman" w:hAnsi="Times New Roman" w:eastAsia="楷体" w:cs="Times New Roman"/>
          <w:color w:val="FF0000"/>
          <w:kern w:val="0"/>
          <w:sz w:val="24"/>
          <w:szCs w:val="24"/>
          <w:highlight w:val="yellow"/>
          <w:u w:val="single"/>
        </w:rPr>
      </w:pPr>
      <w:r>
        <w:rPr>
          <w:rFonts w:hint="eastAsia" w:ascii="Times New Roman" w:hAnsi="Times New Roman" w:eastAsia="楷体" w:cs="Times New Roman"/>
          <w:color w:val="FF0000"/>
          <w:kern w:val="0"/>
          <w:sz w:val="24"/>
          <w:szCs w:val="24"/>
          <w:highlight w:val="yellow"/>
          <w:u w:val="single"/>
        </w:rPr>
        <w:t>（5）拍卖标的涉及</w:t>
      </w:r>
      <w:r>
        <w:fldChar w:fldCharType="begin"/>
      </w:r>
      <w:r>
        <w:instrText xml:space="preserve"> HYPERLINK "https://m.baidu.com/s?word=%E5%80%9F%E7%94%A8%E6%9C%9F%E5%86%85%E5%88%A9%E6%81%AF&amp;sa=re_dqa_zy" \t "/Users/lyw/Documents\x/_self" </w:instrText>
      </w:r>
      <w:r>
        <w:fldChar w:fldCharType="separate"/>
      </w:r>
      <w:r>
        <w:rPr>
          <w:rFonts w:hint="eastAsia" w:ascii="Times New Roman" w:hAnsi="Times New Roman" w:eastAsia="楷体" w:cs="Times New Roman"/>
          <w:color w:val="FF0000"/>
          <w:kern w:val="0"/>
          <w:sz w:val="24"/>
          <w:szCs w:val="24"/>
          <w:highlight w:val="yellow"/>
          <w:u w:val="single"/>
        </w:rPr>
        <w:t>借用期内利息</w:t>
      </w:r>
      <w:r>
        <w:rPr>
          <w:rFonts w:hint="eastAsia" w:ascii="Times New Roman" w:hAnsi="Times New Roman" w:eastAsia="楷体" w:cs="Times New Roman"/>
          <w:color w:val="FF0000"/>
          <w:kern w:val="0"/>
          <w:sz w:val="24"/>
          <w:szCs w:val="24"/>
          <w:highlight w:val="yellow"/>
          <w:u w:val="single"/>
        </w:rPr>
        <w:fldChar w:fldCharType="end"/>
      </w:r>
      <w:r>
        <w:rPr>
          <w:rFonts w:hint="eastAsia" w:ascii="Times New Roman" w:hAnsi="Times New Roman" w:eastAsia="楷体" w:cs="Times New Roman"/>
          <w:color w:val="FF0000"/>
          <w:kern w:val="0"/>
          <w:sz w:val="24"/>
          <w:szCs w:val="24"/>
          <w:highlight w:val="yellow"/>
          <w:u w:val="single"/>
        </w:rPr>
        <w:t>、逾期付款后应付的利息等均计算至起拍日2024年5月11日；涉及按照全国银行间同业拆借中心公布的贷款市场报价利率（</w:t>
      </w:r>
      <w:r>
        <w:rPr>
          <w:rFonts w:ascii="Times New Roman" w:hAnsi="Times New Roman" w:eastAsia="楷体" w:cs="Times New Roman"/>
          <w:color w:val="FF0000"/>
          <w:kern w:val="0"/>
          <w:sz w:val="24"/>
          <w:szCs w:val="24"/>
          <w:highlight w:val="yellow"/>
          <w:u w:val="single"/>
        </w:rPr>
        <w:t>LPR</w:t>
      </w:r>
      <w:r>
        <w:rPr>
          <w:rFonts w:hint="eastAsia" w:ascii="Times New Roman" w:hAnsi="Times New Roman" w:eastAsia="楷体" w:cs="Times New Roman"/>
          <w:color w:val="FF0000"/>
          <w:kern w:val="0"/>
          <w:sz w:val="24"/>
          <w:szCs w:val="24"/>
          <w:highlight w:val="yellow"/>
          <w:u w:val="single"/>
        </w:rPr>
        <w:t>）计算的利息，均上浮50%。</w:t>
      </w:r>
    </w:p>
    <w:p>
      <w:pPr>
        <w:widowControl/>
        <w:spacing w:line="360" w:lineRule="atLeast"/>
        <w:jc w:val="left"/>
        <w:rPr>
          <w:rFonts w:ascii="Times New Roman" w:hAnsi="Times New Roman" w:eastAsia="楷体" w:cs="Times New Roman"/>
          <w:kern w:val="0"/>
          <w:sz w:val="24"/>
          <w:szCs w:val="24"/>
        </w:rPr>
      </w:pPr>
      <w:r>
        <w:rPr>
          <w:rFonts w:ascii="Times New Roman" w:hAnsi="Times New Roman" w:eastAsia="楷体" w:cs="Times New Roman"/>
          <w:kern w:val="0"/>
          <w:sz w:val="24"/>
          <w:szCs w:val="24"/>
        </w:rPr>
        <w:t>2. 起拍价、保证金及增价幅度：</w:t>
      </w:r>
    </w:p>
    <w:p>
      <w:pPr>
        <w:widowControl/>
        <w:spacing w:line="360" w:lineRule="atLeast"/>
        <w:jc w:val="left"/>
        <w:rPr>
          <w:rFonts w:ascii="Times New Roman" w:hAnsi="Times New Roman" w:eastAsia="楷体" w:cs="Times New Roman"/>
          <w:b/>
          <w:bCs/>
          <w:color w:val="FF0000"/>
          <w:kern w:val="0"/>
          <w:sz w:val="24"/>
          <w:szCs w:val="24"/>
        </w:rPr>
      </w:pPr>
      <w:r>
        <w:rPr>
          <w:rFonts w:hint="eastAsia" w:ascii="Times New Roman" w:hAnsi="Times New Roman" w:eastAsia="楷体" w:cs="Times New Roman"/>
          <w:b/>
          <w:bCs/>
          <w:color w:val="FF0000"/>
          <w:kern w:val="0"/>
          <w:sz w:val="24"/>
          <w:szCs w:val="24"/>
        </w:rPr>
        <w:t>拍卖标的：</w:t>
      </w:r>
      <w:r>
        <w:rPr>
          <w:rFonts w:ascii="Times New Roman" w:hAnsi="Times New Roman" w:eastAsia="楷体" w:cs="Times New Roman"/>
          <w:b/>
          <w:bCs/>
          <w:color w:val="FF0000"/>
          <w:kern w:val="0"/>
          <w:sz w:val="24"/>
          <w:szCs w:val="24"/>
        </w:rPr>
        <w:t>起拍价：1元；保证金：10,000元；增价幅度100元/次。</w:t>
      </w:r>
    </w:p>
    <w:p>
      <w:pPr>
        <w:widowControl/>
        <w:spacing w:line="360" w:lineRule="atLeast"/>
        <w:jc w:val="left"/>
        <w:rPr>
          <w:rFonts w:ascii="Times New Roman" w:hAnsi="Times New Roman" w:eastAsia="楷体" w:cs="Times New Roman"/>
          <w:b/>
          <w:bCs/>
          <w:color w:val="FF0000"/>
          <w:kern w:val="0"/>
          <w:sz w:val="24"/>
          <w:szCs w:val="24"/>
        </w:rPr>
      </w:pPr>
    </w:p>
    <w:p>
      <w:pPr>
        <w:widowControl/>
        <w:spacing w:line="360" w:lineRule="atLeast"/>
        <w:jc w:val="left"/>
        <w:rPr>
          <w:rFonts w:ascii="Times New Roman" w:hAnsi="Times New Roman" w:eastAsia="楷体" w:cs="Times New Roman"/>
          <w:b/>
          <w:bCs/>
          <w:color w:val="FF0000"/>
          <w:kern w:val="0"/>
          <w:sz w:val="24"/>
          <w:szCs w:val="24"/>
        </w:rPr>
      </w:pPr>
      <w:r>
        <w:rPr>
          <w:rFonts w:ascii="Times New Roman" w:hAnsi="Times New Roman" w:eastAsia="楷体" w:cs="Times New Roman"/>
          <w:b/>
          <w:bCs/>
          <w:color w:val="FF0000"/>
          <w:kern w:val="0"/>
          <w:sz w:val="24"/>
          <w:szCs w:val="24"/>
        </w:rPr>
        <w:t> 特别说明：</w:t>
      </w:r>
    </w:p>
    <w:p>
      <w:pPr>
        <w:widowControl/>
        <w:spacing w:line="360" w:lineRule="atLeast"/>
        <w:jc w:val="left"/>
        <w:rPr>
          <w:rFonts w:ascii="Times New Roman" w:hAnsi="Times New Roman" w:eastAsia="楷体" w:cs="Times New Roman"/>
          <w:kern w:val="0"/>
          <w:sz w:val="24"/>
          <w:szCs w:val="24"/>
        </w:rPr>
      </w:pPr>
      <w:r>
        <w:rPr>
          <w:rFonts w:ascii="Times New Roman" w:hAnsi="Times New Roman" w:eastAsia="楷体" w:cs="Times New Roman"/>
          <w:kern w:val="0"/>
          <w:sz w:val="24"/>
          <w:szCs w:val="24"/>
        </w:rPr>
        <w:t>     对于上述标的权属有异议者，请于</w:t>
      </w:r>
      <w:r>
        <w:rPr>
          <w:rFonts w:ascii="Times New Roman" w:hAnsi="Times New Roman" w:eastAsia="楷体" w:cs="Times New Roman"/>
          <w:color w:val="FF0000"/>
          <w:kern w:val="0"/>
          <w:sz w:val="24"/>
          <w:szCs w:val="24"/>
        </w:rPr>
        <w:t>2024年9</w:t>
      </w:r>
      <w:r>
        <w:rPr>
          <w:rFonts w:hint="eastAsia" w:ascii="Times New Roman" w:hAnsi="Times New Roman" w:eastAsia="楷体" w:cs="Times New Roman"/>
          <w:color w:val="FF0000"/>
          <w:kern w:val="0"/>
          <w:sz w:val="24"/>
          <w:szCs w:val="24"/>
        </w:rPr>
        <w:t>月</w:t>
      </w:r>
      <w:r>
        <w:rPr>
          <w:rFonts w:ascii="Times New Roman" w:hAnsi="Times New Roman" w:eastAsia="楷体" w:cs="Times New Roman"/>
          <w:color w:val="FF0000"/>
          <w:kern w:val="0"/>
          <w:sz w:val="24"/>
          <w:szCs w:val="24"/>
        </w:rPr>
        <w:t>14</w:t>
      </w:r>
      <w:r>
        <w:rPr>
          <w:rFonts w:hint="eastAsia" w:ascii="Times New Roman" w:hAnsi="Times New Roman" w:eastAsia="楷体" w:cs="Times New Roman"/>
          <w:color w:val="FF0000"/>
          <w:kern w:val="0"/>
          <w:sz w:val="24"/>
          <w:szCs w:val="24"/>
        </w:rPr>
        <w:t>日</w:t>
      </w:r>
      <w:r>
        <w:rPr>
          <w:rFonts w:ascii="Times New Roman" w:hAnsi="Times New Roman" w:eastAsia="楷体" w:cs="Times New Roman"/>
          <w:kern w:val="0"/>
          <w:sz w:val="24"/>
          <w:szCs w:val="24"/>
        </w:rPr>
        <w:t>前与管理人联系，联系人：</w:t>
      </w:r>
      <w:r>
        <w:rPr>
          <w:rFonts w:hint="eastAsia" w:ascii="Times New Roman" w:hAnsi="Times New Roman" w:eastAsia="楷体" w:cs="Times New Roman"/>
          <w:kern w:val="0"/>
          <w:sz w:val="24"/>
          <w:szCs w:val="24"/>
        </w:rPr>
        <w:t>李律师，</w:t>
      </w:r>
      <w:r>
        <w:rPr>
          <w:rFonts w:ascii="Times New Roman" w:hAnsi="Times New Roman" w:eastAsia="楷体" w:cs="Times New Roman"/>
          <w:kern w:val="0"/>
          <w:sz w:val="24"/>
          <w:szCs w:val="24"/>
        </w:rPr>
        <w:t>021-</w:t>
      </w:r>
      <w:r>
        <w:rPr>
          <w:rFonts w:hint="eastAsia" w:ascii="Times New Roman" w:hAnsi="Times New Roman" w:eastAsia="楷体" w:cs="Times New Roman"/>
          <w:kern w:val="0"/>
          <w:sz w:val="24"/>
          <w:szCs w:val="24"/>
        </w:rPr>
        <w:t>61681566</w:t>
      </w:r>
      <w:r>
        <w:rPr>
          <w:rFonts w:ascii="Times New Roman" w:hAnsi="Times New Roman" w:eastAsia="楷体" w:cs="Times New Roman"/>
          <w:kern w:val="0"/>
          <w:sz w:val="24"/>
          <w:szCs w:val="24"/>
        </w:rPr>
        <w:t>。</w:t>
      </w:r>
    </w:p>
    <w:p>
      <w:pPr>
        <w:widowControl/>
        <w:spacing w:line="360" w:lineRule="atLeast"/>
        <w:jc w:val="left"/>
        <w:rPr>
          <w:rFonts w:ascii="Times New Roman" w:hAnsi="Times New Roman" w:eastAsia="楷体" w:cs="Times New Roman"/>
          <w:kern w:val="0"/>
          <w:sz w:val="24"/>
          <w:szCs w:val="24"/>
        </w:rPr>
      </w:pPr>
      <w:r>
        <w:rPr>
          <w:rFonts w:ascii="Times New Roman" w:hAnsi="Times New Roman" w:eastAsia="楷体" w:cs="Times New Roman"/>
          <w:kern w:val="0"/>
          <w:sz w:val="24"/>
          <w:szCs w:val="24"/>
        </w:rPr>
        <w:t> </w:t>
      </w:r>
    </w:p>
    <w:p>
      <w:pPr>
        <w:widowControl/>
        <w:spacing w:line="360" w:lineRule="atLeast"/>
        <w:jc w:val="left"/>
        <w:rPr>
          <w:rFonts w:ascii="Times New Roman" w:hAnsi="Times New Roman" w:eastAsia="楷体" w:cs="Times New Roman"/>
          <w:kern w:val="0"/>
          <w:sz w:val="24"/>
          <w:szCs w:val="24"/>
        </w:rPr>
      </w:pPr>
      <w:r>
        <w:rPr>
          <w:rFonts w:ascii="Times New Roman" w:hAnsi="Times New Roman" w:eastAsia="楷体" w:cs="Times New Roman"/>
          <w:kern w:val="0"/>
          <w:sz w:val="24"/>
          <w:szCs w:val="24"/>
        </w:rPr>
        <w:t>三、 咨询与调查</w:t>
      </w:r>
    </w:p>
    <w:p>
      <w:pPr>
        <w:widowControl/>
        <w:spacing w:line="360" w:lineRule="atLeast"/>
        <w:jc w:val="left"/>
        <w:rPr>
          <w:rFonts w:ascii="Times New Roman" w:hAnsi="Times New Roman" w:eastAsia="楷体" w:cs="Times New Roman"/>
          <w:kern w:val="0"/>
          <w:sz w:val="24"/>
          <w:szCs w:val="24"/>
        </w:rPr>
      </w:pPr>
      <w:r>
        <w:rPr>
          <w:rFonts w:ascii="Times New Roman" w:hAnsi="Times New Roman" w:eastAsia="楷体" w:cs="Times New Roman"/>
          <w:kern w:val="0"/>
          <w:sz w:val="24"/>
          <w:szCs w:val="24"/>
        </w:rPr>
        <w:t>1. 自本公告发布之日起至</w:t>
      </w:r>
      <w:r>
        <w:rPr>
          <w:rFonts w:ascii="Times New Roman" w:hAnsi="Times New Roman" w:eastAsia="楷体" w:cs="Times New Roman"/>
          <w:color w:val="FF0000"/>
          <w:kern w:val="0"/>
          <w:sz w:val="24"/>
          <w:szCs w:val="24"/>
        </w:rPr>
        <w:t>2024年9月20日止</w:t>
      </w:r>
      <w:r>
        <w:rPr>
          <w:rFonts w:ascii="Times New Roman" w:hAnsi="Times New Roman" w:eastAsia="楷体" w:cs="Times New Roman"/>
          <w:kern w:val="0"/>
          <w:sz w:val="24"/>
          <w:szCs w:val="24"/>
        </w:rPr>
        <w:t>（节假日休息）接受咨询。联系人：陶先生（13917592019）、万先生（13764889115）；联系地址：上海市黄浦区</w:t>
      </w:r>
      <w:r>
        <w:rPr>
          <w:rFonts w:hint="eastAsia" w:ascii="Times New Roman" w:hAnsi="Times New Roman" w:eastAsia="楷体" w:cs="Times New Roman"/>
          <w:kern w:val="0"/>
          <w:sz w:val="24"/>
          <w:szCs w:val="24"/>
        </w:rPr>
        <w:t>四川中路1</w:t>
      </w:r>
      <w:r>
        <w:rPr>
          <w:rFonts w:ascii="Times New Roman" w:hAnsi="Times New Roman" w:eastAsia="楷体" w:cs="Times New Roman"/>
          <w:kern w:val="0"/>
          <w:sz w:val="24"/>
          <w:szCs w:val="24"/>
        </w:rPr>
        <w:t>81号</w:t>
      </w:r>
      <w:r>
        <w:rPr>
          <w:rFonts w:hint="eastAsia" w:ascii="Times New Roman" w:hAnsi="Times New Roman" w:eastAsia="楷体" w:cs="Times New Roman"/>
          <w:kern w:val="0"/>
          <w:sz w:val="24"/>
          <w:szCs w:val="24"/>
        </w:rPr>
        <w:t>4楼</w:t>
      </w:r>
      <w:r>
        <w:rPr>
          <w:rFonts w:ascii="Times New Roman" w:hAnsi="Times New Roman" w:eastAsia="楷体" w:cs="Times New Roman"/>
          <w:kern w:val="0"/>
          <w:sz w:val="24"/>
          <w:szCs w:val="24"/>
        </w:rPr>
        <w:t>。</w:t>
      </w:r>
    </w:p>
    <w:p>
      <w:pPr>
        <w:widowControl/>
        <w:spacing w:line="360" w:lineRule="atLeast"/>
        <w:jc w:val="left"/>
        <w:rPr>
          <w:rFonts w:ascii="Times New Roman" w:hAnsi="Times New Roman" w:eastAsia="楷体" w:cs="Times New Roman"/>
          <w:kern w:val="0"/>
          <w:sz w:val="24"/>
          <w:szCs w:val="24"/>
        </w:rPr>
      </w:pPr>
      <w:r>
        <w:rPr>
          <w:rFonts w:ascii="Times New Roman" w:hAnsi="Times New Roman" w:eastAsia="楷体" w:cs="Times New Roman"/>
          <w:kern w:val="0"/>
          <w:sz w:val="24"/>
          <w:szCs w:val="24"/>
        </w:rPr>
        <w:t>2. 本次拍卖标的为</w:t>
      </w:r>
      <w:r>
        <w:rPr>
          <w:rFonts w:hint="eastAsia" w:ascii="Times New Roman" w:hAnsi="Times New Roman" w:eastAsia="楷体" w:cs="Times New Roman"/>
          <w:kern w:val="0"/>
          <w:sz w:val="24"/>
          <w:szCs w:val="24"/>
        </w:rPr>
        <w:t>应收款项</w:t>
      </w:r>
      <w:r>
        <w:rPr>
          <w:rFonts w:ascii="Times New Roman" w:hAnsi="Times New Roman" w:eastAsia="楷体" w:cs="Times New Roman"/>
          <w:kern w:val="0"/>
          <w:sz w:val="24"/>
          <w:szCs w:val="24"/>
        </w:rPr>
        <w:t>，不安排看样。标的物以其现状为准，管理人和拍辅单位不承担拍卖标的资产的瑕疵保证责任。除拍卖文件披露外，竞买人应对上述拍卖标的的实际状况以及瑕疵（含显性、隐性瑕疵）等自行调查核实、承担投资风险。</w:t>
      </w:r>
    </w:p>
    <w:p>
      <w:pPr>
        <w:widowControl/>
        <w:spacing w:line="360" w:lineRule="atLeast"/>
        <w:jc w:val="left"/>
        <w:rPr>
          <w:rFonts w:ascii="Times New Roman" w:hAnsi="Times New Roman" w:eastAsia="楷体" w:cs="Times New Roman"/>
          <w:kern w:val="0"/>
          <w:sz w:val="24"/>
          <w:szCs w:val="24"/>
        </w:rPr>
      </w:pPr>
      <w:r>
        <w:rPr>
          <w:rFonts w:ascii="Times New Roman" w:hAnsi="Times New Roman" w:eastAsia="楷体" w:cs="Times New Roman"/>
          <w:kern w:val="0"/>
          <w:sz w:val="24"/>
          <w:szCs w:val="24"/>
        </w:rPr>
        <w:t> </w:t>
      </w:r>
    </w:p>
    <w:p>
      <w:pPr>
        <w:widowControl/>
        <w:spacing w:line="360" w:lineRule="atLeast"/>
        <w:jc w:val="left"/>
        <w:rPr>
          <w:rFonts w:ascii="Times New Roman" w:hAnsi="Times New Roman" w:eastAsia="楷体" w:cs="Times New Roman"/>
          <w:kern w:val="0"/>
          <w:sz w:val="24"/>
          <w:szCs w:val="24"/>
        </w:rPr>
      </w:pPr>
      <w:r>
        <w:rPr>
          <w:rFonts w:ascii="Times New Roman" w:hAnsi="Times New Roman" w:eastAsia="楷体" w:cs="Times New Roman"/>
          <w:kern w:val="0"/>
          <w:sz w:val="24"/>
          <w:szCs w:val="24"/>
        </w:rPr>
        <w:t>四、竞买人条件：</w:t>
      </w:r>
    </w:p>
    <w:p>
      <w:pPr>
        <w:widowControl/>
        <w:spacing w:line="360" w:lineRule="atLeast"/>
        <w:jc w:val="left"/>
        <w:rPr>
          <w:rFonts w:ascii="Times New Roman" w:hAnsi="Times New Roman" w:eastAsia="楷体" w:cs="Times New Roman"/>
          <w:kern w:val="0"/>
          <w:sz w:val="24"/>
          <w:szCs w:val="24"/>
        </w:rPr>
      </w:pPr>
      <w:r>
        <w:rPr>
          <w:rFonts w:ascii="Times New Roman" w:hAnsi="Times New Roman" w:eastAsia="楷体" w:cs="Times New Roman"/>
          <w:kern w:val="0"/>
          <w:sz w:val="24"/>
          <w:szCs w:val="24"/>
        </w:rPr>
        <w:t>1. 竞买人须为具备完全民事行为能力的公民、法人或其他组织。</w:t>
      </w:r>
    </w:p>
    <w:p>
      <w:pPr>
        <w:widowControl/>
        <w:spacing w:line="360" w:lineRule="atLeast"/>
        <w:jc w:val="left"/>
        <w:rPr>
          <w:rFonts w:ascii="Times New Roman" w:hAnsi="Times New Roman" w:eastAsia="楷体" w:cs="Times New Roman"/>
          <w:kern w:val="0"/>
          <w:sz w:val="24"/>
          <w:szCs w:val="24"/>
        </w:rPr>
      </w:pPr>
      <w:r>
        <w:rPr>
          <w:rFonts w:ascii="Times New Roman" w:hAnsi="Times New Roman" w:eastAsia="楷体" w:cs="Times New Roman"/>
          <w:kern w:val="0"/>
          <w:sz w:val="24"/>
          <w:szCs w:val="24"/>
        </w:rPr>
        <w:t>特别提示：</w:t>
      </w:r>
    </w:p>
    <w:p>
      <w:pPr>
        <w:widowControl/>
        <w:spacing w:line="360" w:lineRule="atLeast"/>
        <w:jc w:val="left"/>
        <w:rPr>
          <w:rFonts w:ascii="Times New Roman" w:hAnsi="Times New Roman" w:eastAsia="楷体" w:cs="Times New Roman"/>
          <w:kern w:val="0"/>
          <w:sz w:val="24"/>
          <w:szCs w:val="24"/>
        </w:rPr>
      </w:pPr>
      <w:r>
        <w:rPr>
          <w:rFonts w:ascii="Times New Roman" w:hAnsi="Times New Roman" w:eastAsia="楷体" w:cs="Times New Roman"/>
          <w:kern w:val="0"/>
          <w:sz w:val="24"/>
          <w:szCs w:val="24"/>
        </w:rPr>
        <w:t>2. 竞买人可委托代理人（具备完全民事行为能力的自然人）进行，但须在竞买开始前向管理人或拍辅单位办理委托手续；竞买成功后，竞买人（法定代表人、其他组织的负责人）须与委托代理人一同到拍辅单位（地址：上海市黄浦区</w:t>
      </w:r>
      <w:r>
        <w:rPr>
          <w:rFonts w:hint="eastAsia" w:ascii="Times New Roman" w:hAnsi="Times New Roman" w:eastAsia="楷体" w:cs="Times New Roman"/>
          <w:kern w:val="0"/>
          <w:sz w:val="24"/>
          <w:szCs w:val="24"/>
        </w:rPr>
        <w:t>四川中路1</w:t>
      </w:r>
      <w:r>
        <w:rPr>
          <w:rFonts w:ascii="Times New Roman" w:hAnsi="Times New Roman" w:eastAsia="楷体" w:cs="Times New Roman"/>
          <w:kern w:val="0"/>
          <w:sz w:val="24"/>
          <w:szCs w:val="24"/>
        </w:rPr>
        <w:t>81</w:t>
      </w:r>
      <w:r>
        <w:rPr>
          <w:rFonts w:hint="eastAsia" w:ascii="Times New Roman" w:hAnsi="Times New Roman" w:eastAsia="楷体" w:cs="Times New Roman"/>
          <w:kern w:val="0"/>
          <w:sz w:val="24"/>
          <w:szCs w:val="24"/>
        </w:rPr>
        <w:t>号4楼</w:t>
      </w:r>
      <w:r>
        <w:rPr>
          <w:rFonts w:ascii="Times New Roman" w:hAnsi="Times New Roman" w:eastAsia="楷体" w:cs="Times New Roman"/>
          <w:kern w:val="0"/>
          <w:sz w:val="24"/>
          <w:szCs w:val="24"/>
        </w:rPr>
        <w:t>）办理交接手续。委托手续包含委托书，双方主体/身份信息复印件及联系人手机号，需于</w:t>
      </w:r>
      <w:r>
        <w:rPr>
          <w:rFonts w:ascii="Times New Roman" w:hAnsi="Times New Roman" w:eastAsia="楷体" w:cs="Times New Roman"/>
          <w:color w:val="FF0000"/>
          <w:kern w:val="0"/>
          <w:sz w:val="24"/>
          <w:szCs w:val="24"/>
        </w:rPr>
        <w:t>2024年9月18日</w:t>
      </w:r>
      <w:r>
        <w:rPr>
          <w:rFonts w:ascii="Times New Roman" w:hAnsi="Times New Roman" w:eastAsia="楷体" w:cs="Times New Roman"/>
          <w:kern w:val="0"/>
          <w:sz w:val="24"/>
          <w:szCs w:val="24"/>
        </w:rPr>
        <w:t>前提交至管理人或拍辅单位，在正式拍卖前录入系统，委托代理人方可报名。开拍前无委托手续或委托手续不全的，竞买活动认定为参拍人的本人行为，成交后裁定参拍人为买受人，参拍人不符合本次拍卖竞买资质的，没收保证金并重新拍卖。</w:t>
      </w:r>
    </w:p>
    <w:p>
      <w:pPr>
        <w:widowControl/>
        <w:spacing w:line="360" w:lineRule="atLeast"/>
        <w:jc w:val="left"/>
        <w:rPr>
          <w:rFonts w:ascii="Times New Roman" w:hAnsi="Times New Roman" w:eastAsia="楷体" w:cs="Times New Roman"/>
          <w:kern w:val="0"/>
          <w:sz w:val="24"/>
          <w:szCs w:val="24"/>
        </w:rPr>
      </w:pPr>
      <w:r>
        <w:rPr>
          <w:rFonts w:ascii="Times New Roman" w:hAnsi="Times New Roman" w:eastAsia="楷体" w:cs="Times New Roman"/>
          <w:kern w:val="0"/>
          <w:sz w:val="24"/>
          <w:szCs w:val="24"/>
        </w:rPr>
        <w:t>3</w:t>
      </w:r>
      <w:r>
        <w:rPr>
          <w:rFonts w:hint="eastAsia" w:ascii="Times New Roman" w:hAnsi="Times New Roman" w:eastAsia="楷体" w:cs="Times New Roman"/>
          <w:kern w:val="0"/>
          <w:sz w:val="24"/>
          <w:szCs w:val="24"/>
        </w:rPr>
        <w:t>、本次拍卖标的情况较为复杂，标的物以其现状为准，法院、管理人、拍卖机构不承担资产的瑕疵保证责任。除拍卖文件披露外，竞买人应对拍卖标的的实际状况以及瑕疵（含显性、隐性瑕疵）等自行调查核实、承担投资风险。</w:t>
      </w:r>
    </w:p>
    <w:p>
      <w:pPr>
        <w:widowControl/>
        <w:spacing w:line="360" w:lineRule="atLeast"/>
        <w:jc w:val="left"/>
        <w:rPr>
          <w:rFonts w:ascii="Times New Roman" w:hAnsi="Times New Roman" w:eastAsia="楷体" w:cs="Times New Roman"/>
          <w:kern w:val="0"/>
          <w:sz w:val="24"/>
          <w:szCs w:val="24"/>
        </w:rPr>
      </w:pPr>
      <w:r>
        <w:rPr>
          <w:rFonts w:ascii="Times New Roman" w:hAnsi="Times New Roman" w:eastAsia="楷体" w:cs="Times New Roman"/>
          <w:kern w:val="0"/>
          <w:sz w:val="24"/>
          <w:szCs w:val="24"/>
        </w:rPr>
        <w:t> </w:t>
      </w:r>
    </w:p>
    <w:p>
      <w:pPr>
        <w:widowControl/>
        <w:spacing w:line="360" w:lineRule="atLeast"/>
        <w:jc w:val="left"/>
        <w:rPr>
          <w:rFonts w:ascii="Times New Roman" w:hAnsi="Times New Roman" w:eastAsia="楷体" w:cs="Times New Roman"/>
          <w:kern w:val="0"/>
          <w:sz w:val="24"/>
          <w:szCs w:val="24"/>
        </w:rPr>
      </w:pPr>
      <w:r>
        <w:rPr>
          <w:rFonts w:ascii="Times New Roman" w:hAnsi="Times New Roman" w:eastAsia="楷体" w:cs="Times New Roman"/>
          <w:kern w:val="0"/>
          <w:sz w:val="24"/>
          <w:szCs w:val="24"/>
        </w:rPr>
        <w:t>五、优先购买权人</w:t>
      </w:r>
    </w:p>
    <w:p>
      <w:pPr>
        <w:widowControl/>
        <w:spacing w:line="360" w:lineRule="atLeast"/>
        <w:jc w:val="left"/>
        <w:rPr>
          <w:rFonts w:ascii="Times New Roman" w:hAnsi="Times New Roman" w:eastAsia="楷体" w:cs="Times New Roman"/>
          <w:kern w:val="0"/>
          <w:sz w:val="24"/>
          <w:szCs w:val="24"/>
        </w:rPr>
      </w:pPr>
      <w:r>
        <w:rPr>
          <w:rFonts w:ascii="Times New Roman" w:hAnsi="Times New Roman" w:eastAsia="楷体" w:cs="Times New Roman"/>
          <w:kern w:val="0"/>
          <w:sz w:val="24"/>
          <w:szCs w:val="24"/>
        </w:rPr>
        <w:t>本标的物不涉及优先购买权。</w:t>
      </w:r>
    </w:p>
    <w:p>
      <w:pPr>
        <w:widowControl/>
        <w:spacing w:line="360" w:lineRule="atLeast"/>
        <w:jc w:val="left"/>
        <w:rPr>
          <w:rFonts w:ascii="Times New Roman" w:hAnsi="Times New Roman" w:eastAsia="楷体" w:cs="Times New Roman"/>
          <w:kern w:val="0"/>
          <w:sz w:val="24"/>
          <w:szCs w:val="24"/>
        </w:rPr>
      </w:pPr>
      <w:r>
        <w:rPr>
          <w:rFonts w:ascii="Times New Roman" w:hAnsi="Times New Roman" w:eastAsia="楷体" w:cs="Times New Roman"/>
          <w:kern w:val="0"/>
          <w:sz w:val="24"/>
          <w:szCs w:val="24"/>
        </w:rPr>
        <w:t> </w:t>
      </w:r>
    </w:p>
    <w:p>
      <w:pPr>
        <w:widowControl/>
        <w:spacing w:line="360" w:lineRule="atLeast"/>
        <w:jc w:val="left"/>
        <w:rPr>
          <w:rFonts w:ascii="Times New Roman" w:hAnsi="Times New Roman" w:eastAsia="楷体" w:cs="Times New Roman"/>
          <w:kern w:val="0"/>
          <w:sz w:val="24"/>
          <w:szCs w:val="24"/>
        </w:rPr>
      </w:pPr>
      <w:r>
        <w:rPr>
          <w:rFonts w:ascii="Times New Roman" w:hAnsi="Times New Roman" w:eastAsia="楷体" w:cs="Times New Roman"/>
          <w:kern w:val="0"/>
          <w:sz w:val="24"/>
          <w:szCs w:val="24"/>
        </w:rPr>
        <w:t>六、拍卖方式</w:t>
      </w:r>
    </w:p>
    <w:p>
      <w:pPr>
        <w:widowControl/>
        <w:spacing w:line="360" w:lineRule="atLeast"/>
        <w:jc w:val="left"/>
        <w:rPr>
          <w:rFonts w:ascii="Times New Roman" w:hAnsi="Times New Roman" w:eastAsia="楷体" w:cs="Times New Roman"/>
          <w:kern w:val="0"/>
          <w:sz w:val="24"/>
          <w:szCs w:val="24"/>
        </w:rPr>
      </w:pPr>
      <w:r>
        <w:rPr>
          <w:rFonts w:ascii="Times New Roman" w:hAnsi="Times New Roman" w:eastAsia="楷体" w:cs="Times New Roman"/>
          <w:kern w:val="0"/>
          <w:sz w:val="24"/>
          <w:szCs w:val="24"/>
        </w:rPr>
        <w:t>本次拍卖采取有保留价的增价拍卖方式，保留价即为起拍价，一人或一人以上报名，拍卖结束时出价最高的竞价人竞买成功。至少一人报名且出价不低于起拍价，方可成交。无人报名或出价的，本场拍卖将流拍。</w:t>
      </w:r>
    </w:p>
    <w:p>
      <w:pPr>
        <w:widowControl/>
        <w:spacing w:line="360" w:lineRule="atLeast"/>
        <w:jc w:val="left"/>
        <w:rPr>
          <w:rFonts w:ascii="Times New Roman" w:hAnsi="Times New Roman" w:eastAsia="楷体" w:cs="Times New Roman"/>
          <w:kern w:val="0"/>
          <w:sz w:val="24"/>
          <w:szCs w:val="24"/>
        </w:rPr>
      </w:pPr>
      <w:r>
        <w:rPr>
          <w:rFonts w:ascii="Times New Roman" w:hAnsi="Times New Roman" w:eastAsia="楷体" w:cs="Times New Roman"/>
          <w:kern w:val="0"/>
          <w:sz w:val="24"/>
          <w:szCs w:val="24"/>
        </w:rPr>
        <w:t> </w:t>
      </w:r>
    </w:p>
    <w:p>
      <w:pPr>
        <w:widowControl/>
        <w:spacing w:line="360" w:lineRule="atLeast"/>
        <w:jc w:val="left"/>
        <w:rPr>
          <w:rFonts w:ascii="Times New Roman" w:hAnsi="Times New Roman" w:eastAsia="楷体" w:cs="Times New Roman"/>
          <w:kern w:val="0"/>
          <w:sz w:val="24"/>
          <w:szCs w:val="24"/>
        </w:rPr>
      </w:pPr>
      <w:r>
        <w:rPr>
          <w:rFonts w:ascii="Times New Roman" w:hAnsi="Times New Roman" w:eastAsia="楷体" w:cs="Times New Roman"/>
          <w:kern w:val="0"/>
          <w:sz w:val="24"/>
          <w:szCs w:val="24"/>
        </w:rPr>
        <w:t>七、拍卖延时</w:t>
      </w:r>
    </w:p>
    <w:p>
      <w:pPr>
        <w:widowControl/>
        <w:spacing w:line="360" w:lineRule="atLeast"/>
        <w:jc w:val="left"/>
        <w:rPr>
          <w:rFonts w:ascii="Times New Roman" w:hAnsi="Times New Roman" w:eastAsia="楷体" w:cs="Times New Roman"/>
          <w:kern w:val="0"/>
          <w:sz w:val="24"/>
          <w:szCs w:val="24"/>
        </w:rPr>
      </w:pPr>
      <w:r>
        <w:rPr>
          <w:rFonts w:ascii="Times New Roman" w:hAnsi="Times New Roman" w:eastAsia="楷体" w:cs="Times New Roman"/>
          <w:kern w:val="0"/>
          <w:sz w:val="24"/>
          <w:szCs w:val="24"/>
        </w:rPr>
        <w:t>本次拍卖活动设置延时出价功能，在拍卖活动结束前，每最后5分钟如果有竞买人出价，将自动延迟5分钟。</w:t>
      </w:r>
    </w:p>
    <w:p>
      <w:pPr>
        <w:widowControl/>
        <w:spacing w:line="360" w:lineRule="atLeast"/>
        <w:jc w:val="left"/>
        <w:rPr>
          <w:rFonts w:ascii="Times New Roman" w:hAnsi="Times New Roman" w:eastAsia="楷体" w:cs="Times New Roman"/>
          <w:kern w:val="0"/>
          <w:sz w:val="24"/>
          <w:szCs w:val="24"/>
        </w:rPr>
      </w:pPr>
      <w:r>
        <w:rPr>
          <w:rFonts w:ascii="Times New Roman" w:hAnsi="Times New Roman" w:eastAsia="楷体" w:cs="Times New Roman"/>
          <w:kern w:val="0"/>
          <w:sz w:val="24"/>
          <w:szCs w:val="24"/>
        </w:rPr>
        <w:t> </w:t>
      </w:r>
    </w:p>
    <w:p>
      <w:pPr>
        <w:widowControl/>
        <w:spacing w:line="360" w:lineRule="atLeast"/>
        <w:jc w:val="left"/>
        <w:rPr>
          <w:rFonts w:ascii="Times New Roman" w:hAnsi="Times New Roman" w:eastAsia="楷体" w:cs="Times New Roman"/>
          <w:kern w:val="0"/>
          <w:sz w:val="24"/>
          <w:szCs w:val="24"/>
        </w:rPr>
      </w:pPr>
      <w:r>
        <w:rPr>
          <w:rFonts w:ascii="Times New Roman" w:hAnsi="Times New Roman" w:eastAsia="楷体" w:cs="Times New Roman"/>
          <w:kern w:val="0"/>
          <w:sz w:val="24"/>
          <w:szCs w:val="24"/>
        </w:rPr>
        <w:t>八、税费及其他费用承担</w:t>
      </w:r>
    </w:p>
    <w:p>
      <w:pPr>
        <w:widowControl/>
        <w:spacing w:line="360" w:lineRule="atLeast"/>
        <w:jc w:val="left"/>
        <w:rPr>
          <w:rFonts w:ascii="Times New Roman" w:hAnsi="Times New Roman" w:eastAsia="楷体" w:cs="Times New Roman"/>
          <w:kern w:val="0"/>
          <w:sz w:val="24"/>
          <w:szCs w:val="24"/>
        </w:rPr>
      </w:pPr>
      <w:r>
        <w:rPr>
          <w:rFonts w:ascii="Times New Roman" w:hAnsi="Times New Roman" w:eastAsia="楷体" w:cs="Times New Roman"/>
          <w:b/>
          <w:bCs/>
          <w:kern w:val="0"/>
          <w:sz w:val="24"/>
          <w:szCs w:val="24"/>
        </w:rPr>
        <w:t> </w:t>
      </w:r>
      <w:r>
        <w:rPr>
          <w:rFonts w:ascii="Times New Roman" w:hAnsi="Times New Roman" w:eastAsia="楷体" w:cs="Times New Roman"/>
          <w:kern w:val="0"/>
          <w:sz w:val="24"/>
          <w:szCs w:val="24"/>
        </w:rPr>
        <w:t>1. 特别提示：本标的物存在综合服务费及软件服务费由买受人承担。</w:t>
      </w:r>
    </w:p>
    <w:p>
      <w:pPr>
        <w:pStyle w:val="6"/>
        <w:spacing w:before="156" w:beforeAutospacing="0" w:after="156" w:afterAutospacing="0" w:line="315" w:lineRule="atLeast"/>
        <w:rPr>
          <w:rFonts w:ascii="Times New Roman" w:hAnsi="Times New Roman" w:eastAsia="楷体" w:cs="Times New Roman"/>
        </w:rPr>
      </w:pPr>
      <w:r>
        <w:rPr>
          <w:rFonts w:ascii="Times New Roman" w:hAnsi="Times New Roman" w:eastAsia="楷体" w:cs="Times New Roman"/>
        </w:rPr>
        <w:t>(1)</w:t>
      </w:r>
      <w:r>
        <w:rPr>
          <w:rFonts w:hint="eastAsia" w:ascii="Times New Roman" w:hAnsi="Times New Roman" w:eastAsia="楷体" w:cs="Times New Roman"/>
        </w:rPr>
        <w:t>综合服务费由拍卖辅助机构收取（按拍卖成交价累进递减计算，拍卖成交价人民币</w:t>
      </w:r>
      <w:r>
        <w:rPr>
          <w:rFonts w:ascii="Times New Roman" w:hAnsi="Times New Roman" w:eastAsia="楷体" w:cs="Times New Roman"/>
        </w:rPr>
        <w:t>200</w:t>
      </w:r>
      <w:r>
        <w:rPr>
          <w:rFonts w:hint="eastAsia" w:ascii="Times New Roman" w:hAnsi="Times New Roman" w:eastAsia="楷体" w:cs="Times New Roman"/>
        </w:rPr>
        <w:t>万以下（含</w:t>
      </w:r>
      <w:r>
        <w:rPr>
          <w:rFonts w:ascii="Times New Roman" w:hAnsi="Times New Roman" w:eastAsia="楷体" w:cs="Times New Roman"/>
        </w:rPr>
        <w:t>200</w:t>
      </w:r>
      <w:r>
        <w:rPr>
          <w:rFonts w:hint="eastAsia" w:ascii="Times New Roman" w:hAnsi="Times New Roman" w:eastAsia="楷体" w:cs="Times New Roman"/>
        </w:rPr>
        <w:t>万）的，收费比例</w:t>
      </w:r>
      <w:r>
        <w:rPr>
          <w:rFonts w:ascii="Times New Roman" w:hAnsi="Times New Roman" w:eastAsia="楷体" w:cs="Times New Roman"/>
        </w:rPr>
        <w:t>1.5%</w:t>
      </w:r>
      <w:r>
        <w:rPr>
          <w:rFonts w:hint="eastAsia" w:ascii="Times New Roman" w:hAnsi="Times New Roman" w:eastAsia="楷体" w:cs="Times New Roman"/>
        </w:rPr>
        <w:t>；超过</w:t>
      </w:r>
      <w:r>
        <w:rPr>
          <w:rFonts w:ascii="Times New Roman" w:hAnsi="Times New Roman" w:eastAsia="楷体" w:cs="Times New Roman"/>
        </w:rPr>
        <w:t>200</w:t>
      </w:r>
      <w:r>
        <w:rPr>
          <w:rFonts w:hint="eastAsia" w:ascii="Times New Roman" w:hAnsi="Times New Roman" w:eastAsia="楷体" w:cs="Times New Roman"/>
        </w:rPr>
        <w:t>万至</w:t>
      </w:r>
      <w:r>
        <w:rPr>
          <w:rFonts w:ascii="Times New Roman" w:hAnsi="Times New Roman" w:eastAsia="楷体" w:cs="Times New Roman"/>
        </w:rPr>
        <w:t>1000</w:t>
      </w:r>
      <w:r>
        <w:rPr>
          <w:rFonts w:hint="eastAsia" w:ascii="Times New Roman" w:hAnsi="Times New Roman" w:eastAsia="楷体" w:cs="Times New Roman"/>
        </w:rPr>
        <w:t>万（含</w:t>
      </w:r>
      <w:r>
        <w:rPr>
          <w:rFonts w:ascii="Times New Roman" w:hAnsi="Times New Roman" w:eastAsia="楷体" w:cs="Times New Roman"/>
        </w:rPr>
        <w:t>1000</w:t>
      </w:r>
      <w:r>
        <w:rPr>
          <w:rFonts w:hint="eastAsia" w:ascii="Times New Roman" w:hAnsi="Times New Roman" w:eastAsia="楷体" w:cs="Times New Roman"/>
        </w:rPr>
        <w:t>万）的部分，收费比例</w:t>
      </w:r>
      <w:r>
        <w:rPr>
          <w:rFonts w:ascii="Times New Roman" w:hAnsi="Times New Roman" w:eastAsia="楷体" w:cs="Times New Roman"/>
        </w:rPr>
        <w:t>0.9%</w:t>
      </w:r>
      <w:r>
        <w:rPr>
          <w:rFonts w:hint="eastAsia" w:ascii="Times New Roman" w:hAnsi="Times New Roman" w:eastAsia="楷体" w:cs="Times New Roman"/>
        </w:rPr>
        <w:t>；</w:t>
      </w:r>
      <w:r>
        <w:rPr>
          <w:rFonts w:ascii="Times New Roman" w:hAnsi="Times New Roman" w:eastAsia="楷体" w:cs="Times New Roman"/>
        </w:rPr>
        <w:t>1000</w:t>
      </w:r>
      <w:r>
        <w:rPr>
          <w:rFonts w:hint="eastAsia" w:ascii="Times New Roman" w:hAnsi="Times New Roman" w:eastAsia="楷体" w:cs="Times New Roman"/>
        </w:rPr>
        <w:t>万以上的部分，收费比例</w:t>
      </w:r>
      <w:r>
        <w:rPr>
          <w:rFonts w:ascii="Times New Roman" w:hAnsi="Times New Roman" w:eastAsia="楷体" w:cs="Times New Roman"/>
        </w:rPr>
        <w:t>0.6%</w:t>
      </w:r>
      <w:r>
        <w:rPr>
          <w:rFonts w:hint="eastAsia" w:ascii="Times New Roman" w:hAnsi="Times New Roman" w:eastAsia="楷体" w:cs="Times New Roman"/>
        </w:rPr>
        <w:t>，封顶为</w:t>
      </w:r>
      <w:r>
        <w:rPr>
          <w:rFonts w:ascii="Times New Roman" w:hAnsi="Times New Roman" w:eastAsia="楷体" w:cs="Times New Roman"/>
        </w:rPr>
        <w:t>25</w:t>
      </w:r>
      <w:r>
        <w:rPr>
          <w:rFonts w:hint="eastAsia" w:ascii="Times New Roman" w:hAnsi="Times New Roman" w:eastAsia="楷体" w:cs="Times New Roman"/>
        </w:rPr>
        <w:t>万元），买受人须于成交后的</w:t>
      </w:r>
      <w:r>
        <w:rPr>
          <w:rFonts w:ascii="Times New Roman" w:hAnsi="Times New Roman" w:eastAsia="楷体" w:cs="Times New Roman"/>
          <w:b/>
          <w:bCs/>
          <w:color w:val="FF0000"/>
        </w:rPr>
        <w:t>7</w:t>
      </w:r>
      <w:r>
        <w:rPr>
          <w:rFonts w:hint="eastAsia" w:ascii="Times New Roman" w:hAnsi="Times New Roman" w:eastAsia="楷体" w:cs="Times New Roman"/>
          <w:b/>
          <w:bCs/>
          <w:color w:val="FF0000"/>
        </w:rPr>
        <w:t>日</w:t>
      </w:r>
      <w:r>
        <w:rPr>
          <w:rFonts w:hint="eastAsia" w:ascii="Times New Roman" w:hAnsi="Times New Roman" w:eastAsia="楷体" w:cs="Times New Roman"/>
        </w:rPr>
        <w:t>内将综合服务费汇款至上海国际商品拍卖有限公司指定账户【户名：上海国际商品拍卖有限公司，开户银行：上海银行黄浦支行，账号：</w:t>
      </w:r>
      <w:r>
        <w:rPr>
          <w:rFonts w:ascii="Times New Roman" w:hAnsi="Times New Roman" w:eastAsia="楷体" w:cs="Times New Roman"/>
        </w:rPr>
        <w:t>00003046582</w:t>
      </w:r>
      <w:r>
        <w:rPr>
          <w:rFonts w:hint="eastAsia" w:ascii="Times New Roman" w:hAnsi="Times New Roman" w:eastAsia="楷体" w:cs="Times New Roman"/>
        </w:rPr>
        <w:t>】。</w:t>
      </w:r>
    </w:p>
    <w:p>
      <w:pPr>
        <w:pStyle w:val="6"/>
        <w:spacing w:before="156" w:beforeAutospacing="0" w:after="156" w:afterAutospacing="0" w:line="315" w:lineRule="atLeast"/>
        <w:rPr>
          <w:rFonts w:ascii="Times New Roman" w:hAnsi="Times New Roman" w:eastAsia="楷体" w:cs="Times New Roman"/>
        </w:rPr>
      </w:pPr>
      <w:r>
        <w:rPr>
          <w:rFonts w:hint="eastAsia" w:ascii="Times New Roman" w:hAnsi="Times New Roman" w:eastAsia="楷体" w:cs="Times New Roman"/>
        </w:rPr>
        <w:t>（</w:t>
      </w:r>
      <w:r>
        <w:rPr>
          <w:rFonts w:ascii="Times New Roman" w:hAnsi="Times New Roman" w:eastAsia="楷体" w:cs="Times New Roman"/>
        </w:rPr>
        <w:t>2） 软件服务费由阿里拍卖平台收取，付费方式及软件服务费金额等请详见《阿里拍卖平台破产资产处置频道收费规则》。</w:t>
      </w:r>
      <w:r>
        <w:rPr>
          <w:rFonts w:hint="eastAsia" w:ascii="Times New Roman" w:hAnsi="Times New Roman" w:eastAsia="楷体" w:cs="Times New Roman"/>
        </w:rPr>
        <w:t>买受人须于成交后的</w:t>
      </w:r>
      <w:r>
        <w:rPr>
          <w:rFonts w:ascii="Times New Roman" w:hAnsi="Times New Roman" w:eastAsia="楷体" w:cs="Times New Roman"/>
          <w:b/>
          <w:color w:val="FF0000"/>
        </w:rPr>
        <w:t>7</w:t>
      </w:r>
      <w:r>
        <w:rPr>
          <w:rFonts w:hint="eastAsia" w:ascii="Times New Roman" w:hAnsi="Times New Roman" w:eastAsia="楷体" w:cs="Times New Roman"/>
          <w:b/>
          <w:color w:val="FF0000"/>
        </w:rPr>
        <w:t>日</w:t>
      </w:r>
      <w:r>
        <w:rPr>
          <w:rFonts w:hint="eastAsia" w:ascii="Times New Roman" w:hAnsi="Times New Roman" w:eastAsia="楷体" w:cs="Times New Roman"/>
        </w:rPr>
        <w:t>内</w:t>
      </w:r>
      <w:r>
        <w:rPr>
          <w:rFonts w:ascii="Times New Roman" w:hAnsi="Times New Roman" w:eastAsia="楷体" w:cs="Times New Roman"/>
        </w:rPr>
        <w:t>通过线上完成相应费用的支付后，保证金将转为部分成交价款转至管理人的支付宝账户。</w:t>
      </w:r>
    </w:p>
    <w:p>
      <w:pPr>
        <w:widowControl/>
        <w:spacing w:line="360" w:lineRule="atLeast"/>
        <w:jc w:val="left"/>
        <w:rPr>
          <w:rFonts w:ascii="Times New Roman" w:hAnsi="Times New Roman" w:eastAsia="楷体" w:cs="Times New Roman"/>
          <w:kern w:val="0"/>
          <w:sz w:val="24"/>
          <w:szCs w:val="24"/>
        </w:rPr>
      </w:pPr>
      <w:r>
        <w:rPr>
          <w:rFonts w:hint="eastAsia" w:ascii="Times New Roman" w:hAnsi="Times New Roman" w:eastAsia="楷体" w:cs="Times New Roman"/>
          <w:kern w:val="0"/>
          <w:sz w:val="24"/>
          <w:szCs w:val="24"/>
        </w:rPr>
        <w:t>（</w:t>
      </w:r>
      <w:r>
        <w:rPr>
          <w:rFonts w:ascii="Times New Roman" w:hAnsi="Times New Roman" w:eastAsia="楷体" w:cs="Times New Roman"/>
          <w:kern w:val="0"/>
          <w:sz w:val="24"/>
          <w:szCs w:val="24"/>
        </w:rPr>
        <w:t>3）上述综合服务费和软件服务费，买受人逾期未全额缴纳的，阿里拍卖平台和拍卖辅助机构可对其进行依法追缴。买受人缴纳相关费用后如需索取发票的，买受人可与拍卖辅助机构联系开具或在阿里支付系统中查看已完成支付的软件服务费记录并点击申请开票。</w:t>
      </w:r>
    </w:p>
    <w:p>
      <w:pPr>
        <w:widowControl/>
        <w:spacing w:line="360" w:lineRule="atLeast"/>
        <w:jc w:val="left"/>
        <w:rPr>
          <w:rFonts w:ascii="Times New Roman" w:hAnsi="Times New Roman" w:eastAsia="楷体" w:cs="Times New Roman"/>
          <w:kern w:val="0"/>
          <w:sz w:val="24"/>
          <w:szCs w:val="24"/>
        </w:rPr>
      </w:pPr>
      <w:r>
        <w:rPr>
          <w:rFonts w:ascii="Times New Roman" w:hAnsi="Times New Roman" w:eastAsia="楷体" w:cs="Times New Roman"/>
          <w:kern w:val="0"/>
          <w:sz w:val="24"/>
          <w:szCs w:val="24"/>
        </w:rPr>
        <w:t> </w:t>
      </w:r>
    </w:p>
    <w:p>
      <w:pPr>
        <w:widowControl/>
        <w:spacing w:line="360" w:lineRule="atLeast"/>
        <w:jc w:val="left"/>
        <w:rPr>
          <w:rFonts w:ascii="Times New Roman" w:hAnsi="Times New Roman" w:eastAsia="楷体" w:cs="Times New Roman"/>
          <w:kern w:val="0"/>
          <w:sz w:val="24"/>
          <w:szCs w:val="24"/>
        </w:rPr>
      </w:pPr>
      <w:r>
        <w:rPr>
          <w:rFonts w:ascii="Times New Roman" w:hAnsi="Times New Roman" w:eastAsia="楷体" w:cs="Times New Roman"/>
          <w:kern w:val="0"/>
          <w:sz w:val="24"/>
          <w:szCs w:val="24"/>
        </w:rPr>
        <w:t>九、保证金和余款支付</w:t>
      </w:r>
    </w:p>
    <w:p>
      <w:pPr>
        <w:widowControl/>
        <w:spacing w:line="360" w:lineRule="atLeast"/>
        <w:jc w:val="left"/>
        <w:rPr>
          <w:rFonts w:ascii="Times New Roman" w:hAnsi="Times New Roman" w:eastAsia="楷体" w:cs="Times New Roman"/>
          <w:kern w:val="0"/>
          <w:sz w:val="24"/>
          <w:szCs w:val="24"/>
        </w:rPr>
      </w:pPr>
      <w:r>
        <w:rPr>
          <w:rFonts w:ascii="Times New Roman" w:hAnsi="Times New Roman" w:eastAsia="楷体" w:cs="Times New Roman"/>
          <w:kern w:val="0"/>
          <w:sz w:val="24"/>
          <w:szCs w:val="24"/>
        </w:rPr>
        <w:t>1. 拍卖竞价前将通过淘宝网司法拍卖网络平台系统在竞买人支付宝账户内锁定相应资金作为应缴的保证金，拍卖结束后未能竞得者锁定的保证金自动解锁，锁定期间不计利息。</w:t>
      </w:r>
    </w:p>
    <w:p>
      <w:pPr>
        <w:widowControl/>
        <w:spacing w:line="360" w:lineRule="exact"/>
        <w:jc w:val="left"/>
        <w:rPr>
          <w:rFonts w:ascii="Times New Roman" w:hAnsi="Times New Roman" w:eastAsia="楷体" w:cs="Times New Roman"/>
          <w:kern w:val="0"/>
          <w:sz w:val="24"/>
          <w:szCs w:val="24"/>
        </w:rPr>
      </w:pPr>
      <w:r>
        <w:rPr>
          <w:rFonts w:ascii="Times New Roman" w:hAnsi="Times New Roman" w:eastAsia="楷体" w:cs="Times New Roman"/>
          <w:kern w:val="0"/>
          <w:sz w:val="24"/>
          <w:szCs w:val="24"/>
        </w:rPr>
        <w:t>2. 拍卖成交后，买受人交纳的保证金可以充抵价款，本标的物买受人原锁定的保证金24小时内自动转入管理人指定账户。拍卖余款请买受人在拍卖成交后</w:t>
      </w:r>
      <w:r>
        <w:rPr>
          <w:rFonts w:ascii="Times New Roman" w:hAnsi="Times New Roman" w:eastAsia="楷体" w:cs="Times New Roman"/>
          <w:b/>
          <w:bCs/>
          <w:color w:val="FF0000"/>
          <w:kern w:val="0"/>
          <w:sz w:val="24"/>
          <w:szCs w:val="24"/>
        </w:rPr>
        <w:t>7日</w:t>
      </w:r>
      <w:r>
        <w:rPr>
          <w:rFonts w:ascii="Times New Roman" w:hAnsi="Times New Roman" w:eastAsia="楷体" w:cs="Times New Roman"/>
          <w:color w:val="FF0000"/>
          <w:kern w:val="0"/>
          <w:sz w:val="24"/>
          <w:szCs w:val="24"/>
        </w:rPr>
        <w:t>内</w:t>
      </w:r>
      <w:r>
        <w:rPr>
          <w:rFonts w:ascii="Times New Roman" w:hAnsi="Times New Roman" w:eastAsia="楷体" w:cs="Times New Roman"/>
          <w:kern w:val="0"/>
          <w:sz w:val="24"/>
          <w:szCs w:val="24"/>
        </w:rPr>
        <w:t>汇款至管理人如下账户：</w:t>
      </w:r>
    </w:p>
    <w:p>
      <w:pPr>
        <w:pStyle w:val="6"/>
        <w:spacing w:before="0" w:beforeAutospacing="0" w:after="0" w:afterAutospacing="0" w:line="400" w:lineRule="atLeast"/>
        <w:rPr>
          <w:rFonts w:ascii="Times New Roman" w:hAnsi="Times New Roman" w:eastAsia="楷体" w:cs="Times New Roman"/>
        </w:rPr>
      </w:pPr>
      <w:r>
        <w:rPr>
          <w:rFonts w:hint="eastAsia" w:ascii="Times New Roman" w:hAnsi="Times New Roman" w:eastAsia="楷体" w:cs="Times New Roman"/>
        </w:rPr>
        <w:t>户名：上海光明饲料有限公司管理人；</w:t>
      </w:r>
      <w:r>
        <w:rPr>
          <w:rFonts w:hint="eastAsia" w:ascii="Times New Roman" w:hAnsi="Times New Roman" w:eastAsia="楷体" w:cs="Times New Roman"/>
        </w:rPr>
        <w:cr/>
      </w:r>
      <w:r>
        <w:rPr>
          <w:rFonts w:hint="eastAsia" w:ascii="Times New Roman" w:hAnsi="Times New Roman" w:eastAsia="楷体" w:cs="Times New Roman"/>
        </w:rPr>
        <w:t>开户银行：中国银行股份有限公司上海市上海中心大厦支行；</w:t>
      </w:r>
      <w:r>
        <w:rPr>
          <w:rFonts w:hint="eastAsia" w:ascii="Times New Roman" w:hAnsi="Times New Roman" w:eastAsia="楷体" w:cs="Times New Roman"/>
        </w:rPr>
        <w:cr/>
      </w:r>
      <w:r>
        <w:rPr>
          <w:rFonts w:hint="eastAsia" w:ascii="Times New Roman" w:hAnsi="Times New Roman" w:eastAsia="楷体" w:cs="Times New Roman"/>
        </w:rPr>
        <w:t>账号：</w:t>
      </w:r>
      <w:r>
        <w:rPr>
          <w:rFonts w:ascii="Times New Roman" w:hAnsi="Times New Roman" w:eastAsia="楷体" w:cs="Times New Roman"/>
        </w:rPr>
        <w:t>450784654941</w:t>
      </w:r>
      <w:r>
        <w:rPr>
          <w:rFonts w:hint="eastAsia" w:ascii="Times New Roman" w:hAnsi="Times New Roman" w:eastAsia="楷体" w:cs="Times New Roman"/>
        </w:rPr>
        <w:t>。</w:t>
      </w:r>
    </w:p>
    <w:p>
      <w:pPr>
        <w:widowControl/>
        <w:spacing w:line="360" w:lineRule="atLeast"/>
        <w:jc w:val="left"/>
        <w:rPr>
          <w:rFonts w:ascii="Times New Roman" w:hAnsi="Times New Roman" w:eastAsia="楷体" w:cs="Times New Roman"/>
          <w:kern w:val="0"/>
          <w:sz w:val="24"/>
          <w:szCs w:val="24"/>
        </w:rPr>
      </w:pPr>
      <w:r>
        <w:rPr>
          <w:rFonts w:ascii="Times New Roman" w:hAnsi="Times New Roman" w:eastAsia="楷体" w:cs="Times New Roman"/>
          <w:kern w:val="0"/>
          <w:sz w:val="24"/>
          <w:szCs w:val="24"/>
        </w:rPr>
        <w:t>3.  债务人财产拍卖因标的物本身价值，其起拍价、保证金、竞拍成交价格相对较高的，竞买人参与竞拍，支付保证金及余款可能会遇到当天限额无法支付的情况，请竞买人根据自身情况选择网上充值银行。各大银行充值和支付的限额情况可上网查询，网址：https://www.taobao.com/market/paimai/sf-helpcenter.php?path=sf-hc-right-content5#q1。</w:t>
      </w:r>
    </w:p>
    <w:p>
      <w:pPr>
        <w:pStyle w:val="6"/>
        <w:spacing w:before="0" w:beforeAutospacing="0" w:after="0" w:afterAutospacing="0" w:line="400" w:lineRule="atLeast"/>
        <w:rPr>
          <w:rFonts w:ascii="Times New Roman" w:hAnsi="Times New Roman" w:eastAsia="楷体" w:cs="Times New Roman"/>
        </w:rPr>
      </w:pPr>
      <w:r>
        <w:rPr>
          <w:rFonts w:ascii="Times New Roman" w:hAnsi="Times New Roman" w:eastAsia="楷体" w:cs="Times New Roman"/>
        </w:rPr>
        <w:t>4.买受人存在不符合竞拍资质或逾期支付拍卖款、不支付拍卖款等情形的，视为买受人悔拍，已交纳的保证金不予退还，计入</w:t>
      </w:r>
      <w:r>
        <w:rPr>
          <w:rFonts w:hint="eastAsia" w:ascii="Times New Roman" w:hAnsi="Times New Roman" w:eastAsia="楷体" w:cs="Times New Roman"/>
          <w:color w:val="FF0000"/>
        </w:rPr>
        <w:t>上海光明饲料有限公司</w:t>
      </w:r>
      <w:r>
        <w:rPr>
          <w:rFonts w:ascii="Times New Roman" w:hAnsi="Times New Roman" w:eastAsia="楷体" w:cs="Times New Roman"/>
        </w:rPr>
        <w:t>的破产财产</w:t>
      </w:r>
      <w:r>
        <w:rPr>
          <w:rFonts w:hint="eastAsia" w:ascii="Times New Roman" w:hAnsi="Times New Roman" w:eastAsia="楷体" w:cs="Times New Roman"/>
        </w:rPr>
        <w:t>，</w:t>
      </w:r>
      <w:r>
        <w:rPr>
          <w:rFonts w:hint="eastAsia" w:ascii="Times New Roman" w:hAnsi="Times New Roman" w:eastAsia="楷体" w:cs="Times New Roman"/>
          <w:color w:val="FF0000"/>
        </w:rPr>
        <w:t>且</w:t>
      </w:r>
      <w:r>
        <w:rPr>
          <w:rFonts w:ascii="Times New Roman" w:hAnsi="Times New Roman" w:eastAsia="楷体" w:cs="Times New Roman"/>
          <w:color w:val="FF0000"/>
        </w:rPr>
        <w:t>管理人</w:t>
      </w:r>
      <w:r>
        <w:rPr>
          <w:rFonts w:hint="eastAsia" w:ascii="Times New Roman" w:hAnsi="Times New Roman" w:eastAsia="楷体" w:cs="Times New Roman"/>
          <w:color w:val="FF0000"/>
        </w:rPr>
        <w:t>有权</w:t>
      </w:r>
      <w:r>
        <w:rPr>
          <w:rFonts w:ascii="Times New Roman" w:hAnsi="Times New Roman" w:eastAsia="楷体" w:cs="Times New Roman"/>
          <w:color w:val="FF0000"/>
        </w:rPr>
        <w:t>重新拍卖标的物，悔拍人不得再次参与竞买</w:t>
      </w:r>
      <w:r>
        <w:rPr>
          <w:rFonts w:hint="eastAsia" w:ascii="Times New Roman" w:hAnsi="Times New Roman" w:eastAsia="楷体" w:cs="Times New Roman"/>
          <w:color w:val="FF0000"/>
        </w:rPr>
        <w:t>。</w:t>
      </w:r>
      <w:r>
        <w:rPr>
          <w:rFonts w:ascii="Times New Roman" w:hAnsi="Times New Roman" w:eastAsia="楷体" w:cs="Times New Roman"/>
        </w:rPr>
        <w:t> </w:t>
      </w:r>
    </w:p>
    <w:p>
      <w:pPr>
        <w:widowControl/>
        <w:spacing w:line="360" w:lineRule="atLeast"/>
        <w:jc w:val="left"/>
        <w:rPr>
          <w:rFonts w:ascii="Times New Roman" w:hAnsi="Times New Roman" w:eastAsia="楷体" w:cs="Times New Roman"/>
          <w:kern w:val="0"/>
          <w:sz w:val="24"/>
          <w:szCs w:val="24"/>
        </w:rPr>
      </w:pPr>
      <w:r>
        <w:rPr>
          <w:rFonts w:ascii="Times New Roman" w:hAnsi="Times New Roman" w:eastAsia="楷体" w:cs="Times New Roman"/>
          <w:kern w:val="0"/>
          <w:sz w:val="24"/>
          <w:szCs w:val="24"/>
        </w:rPr>
        <w:t> </w:t>
      </w:r>
    </w:p>
    <w:p>
      <w:pPr>
        <w:widowControl/>
        <w:spacing w:line="360" w:lineRule="atLeast"/>
        <w:jc w:val="left"/>
        <w:rPr>
          <w:rFonts w:ascii="Times New Roman" w:hAnsi="Times New Roman" w:eastAsia="楷体" w:cs="Times New Roman"/>
          <w:kern w:val="0"/>
          <w:sz w:val="24"/>
          <w:szCs w:val="24"/>
        </w:rPr>
      </w:pPr>
      <w:r>
        <w:rPr>
          <w:rFonts w:ascii="Times New Roman" w:hAnsi="Times New Roman" w:eastAsia="楷体" w:cs="Times New Roman"/>
          <w:kern w:val="0"/>
          <w:sz w:val="24"/>
          <w:szCs w:val="24"/>
        </w:rPr>
        <w:t>十、拍品交付</w:t>
      </w:r>
    </w:p>
    <w:p>
      <w:pPr>
        <w:widowControl/>
        <w:spacing w:line="360" w:lineRule="atLeast"/>
        <w:jc w:val="left"/>
        <w:rPr>
          <w:rFonts w:ascii="Times New Roman" w:hAnsi="Times New Roman" w:eastAsia="楷体" w:cs="Times New Roman"/>
          <w:kern w:val="0"/>
          <w:sz w:val="24"/>
          <w:szCs w:val="24"/>
        </w:rPr>
      </w:pPr>
      <w:r>
        <w:rPr>
          <w:rFonts w:ascii="Times New Roman" w:hAnsi="Times New Roman" w:eastAsia="楷体" w:cs="Times New Roman"/>
          <w:kern w:val="0"/>
          <w:sz w:val="24"/>
          <w:szCs w:val="24"/>
        </w:rPr>
        <w:t>1. 买受人应于付清全部拍卖成交款后</w:t>
      </w:r>
      <w:r>
        <w:rPr>
          <w:rFonts w:ascii="Times New Roman" w:hAnsi="Times New Roman" w:eastAsia="楷体" w:cs="Times New Roman"/>
          <w:b/>
          <w:bCs/>
          <w:color w:val="FF0000"/>
          <w:kern w:val="0"/>
          <w:sz w:val="24"/>
          <w:szCs w:val="24"/>
        </w:rPr>
        <w:t>5个工作日</w:t>
      </w:r>
      <w:r>
        <w:rPr>
          <w:rFonts w:ascii="Times New Roman" w:hAnsi="Times New Roman" w:eastAsia="楷体" w:cs="Times New Roman"/>
          <w:kern w:val="0"/>
          <w:sz w:val="24"/>
          <w:szCs w:val="24"/>
        </w:rPr>
        <w:t>内（遇节假日顺延）凭付款凭证及相关身份材料到拍辅单位（地址：上海市黄浦区</w:t>
      </w:r>
      <w:r>
        <w:rPr>
          <w:rFonts w:hint="eastAsia" w:ascii="Times New Roman" w:hAnsi="Times New Roman" w:eastAsia="楷体" w:cs="Times New Roman"/>
          <w:kern w:val="0"/>
          <w:sz w:val="24"/>
          <w:szCs w:val="24"/>
        </w:rPr>
        <w:t>四川中路1</w:t>
      </w:r>
      <w:r>
        <w:rPr>
          <w:rFonts w:ascii="Times New Roman" w:hAnsi="Times New Roman" w:eastAsia="楷体" w:cs="Times New Roman"/>
          <w:kern w:val="0"/>
          <w:sz w:val="24"/>
          <w:szCs w:val="24"/>
        </w:rPr>
        <w:t>81号</w:t>
      </w:r>
      <w:r>
        <w:rPr>
          <w:rFonts w:hint="eastAsia" w:ascii="Times New Roman" w:hAnsi="Times New Roman" w:eastAsia="楷体" w:cs="Times New Roman"/>
          <w:kern w:val="0"/>
          <w:sz w:val="24"/>
          <w:szCs w:val="24"/>
        </w:rPr>
        <w:t>4楼</w:t>
      </w:r>
      <w:r>
        <w:rPr>
          <w:rFonts w:ascii="Times New Roman" w:hAnsi="Times New Roman" w:eastAsia="楷体" w:cs="Times New Roman"/>
          <w:kern w:val="0"/>
          <w:sz w:val="24"/>
          <w:szCs w:val="24"/>
        </w:rPr>
        <w:t>）签署拍卖成交确认文件。</w:t>
      </w:r>
    </w:p>
    <w:p>
      <w:pPr>
        <w:widowControl/>
        <w:spacing w:line="360" w:lineRule="atLeast"/>
        <w:jc w:val="left"/>
        <w:rPr>
          <w:rFonts w:ascii="Times New Roman" w:hAnsi="Times New Roman" w:eastAsia="楷体" w:cs="Times New Roman"/>
          <w:color w:val="FF0000"/>
          <w:kern w:val="0"/>
          <w:sz w:val="24"/>
          <w:szCs w:val="24"/>
          <w:u w:val="single"/>
        </w:rPr>
      </w:pPr>
      <w:r>
        <w:rPr>
          <w:rFonts w:ascii="Times New Roman" w:hAnsi="Times New Roman" w:eastAsia="楷体" w:cs="Times New Roman"/>
          <w:kern w:val="0"/>
          <w:sz w:val="24"/>
          <w:szCs w:val="24"/>
        </w:rPr>
        <w:t xml:space="preserve">2. </w:t>
      </w:r>
      <w:r>
        <w:rPr>
          <w:rFonts w:hint="eastAsia" w:ascii="Times New Roman" w:hAnsi="Times New Roman" w:eastAsia="楷体" w:cs="Times New Roman"/>
          <w:kern w:val="0"/>
          <w:sz w:val="24"/>
          <w:szCs w:val="24"/>
        </w:rPr>
        <w:t>管理人在收到买受人支付的所有成交价款当日即为本次拍卖标的的交割日。自交割日起，拍卖标的所涉及到相关的瑕疵、损失、义务、责任以及拍卖标的因任何事由而减损、毁损、灭失的风险由买受人承担。自交割之日起，拍卖标的相关款项和权益均归买受人所有。交割日后，管理人不承担拍卖标的的追索、执行、求偿及申报应收款项义务，且对此不承担任何责任，买受人不得就与标的有关事项以任何理由向管理人追究任何法律责任。</w:t>
      </w:r>
      <w:r>
        <w:rPr>
          <w:rFonts w:hint="eastAsia" w:ascii="Times New Roman" w:hAnsi="Times New Roman" w:eastAsia="楷体" w:cs="Times New Roman"/>
          <w:color w:val="FF0000"/>
          <w:kern w:val="0"/>
          <w:sz w:val="24"/>
          <w:szCs w:val="24"/>
          <w:highlight w:val="yellow"/>
          <w:u w:val="single"/>
        </w:rPr>
        <w:t>买受人须自行负责通知债务人应收款项转让事项，管理人予以配合，如无特殊情况，人民法院不予出具裁定书和协助执行通知书。</w:t>
      </w:r>
    </w:p>
    <w:p>
      <w:pPr>
        <w:widowControl/>
        <w:spacing w:line="360" w:lineRule="atLeast"/>
        <w:jc w:val="left"/>
        <w:rPr>
          <w:rFonts w:ascii="Times New Roman" w:hAnsi="Times New Roman" w:eastAsia="楷体" w:cs="Times New Roman"/>
          <w:kern w:val="0"/>
          <w:sz w:val="24"/>
          <w:szCs w:val="24"/>
        </w:rPr>
      </w:pPr>
      <w:r>
        <w:rPr>
          <w:rFonts w:ascii="Times New Roman" w:hAnsi="Times New Roman" w:eastAsia="楷体" w:cs="Times New Roman"/>
          <w:kern w:val="0"/>
          <w:sz w:val="24"/>
          <w:szCs w:val="24"/>
        </w:rPr>
        <w:t> </w:t>
      </w:r>
    </w:p>
    <w:p>
      <w:pPr>
        <w:widowControl/>
        <w:spacing w:line="360" w:lineRule="atLeast"/>
        <w:jc w:val="left"/>
        <w:rPr>
          <w:rFonts w:ascii="Times New Roman" w:hAnsi="Times New Roman" w:eastAsia="楷体" w:cs="Times New Roman"/>
          <w:kern w:val="0"/>
          <w:sz w:val="24"/>
          <w:szCs w:val="24"/>
        </w:rPr>
      </w:pPr>
      <w:r>
        <w:rPr>
          <w:rFonts w:ascii="Times New Roman" w:hAnsi="Times New Roman" w:eastAsia="楷体" w:cs="Times New Roman"/>
          <w:kern w:val="0"/>
          <w:sz w:val="24"/>
          <w:szCs w:val="24"/>
        </w:rPr>
        <w:t>十一、特别提醒</w:t>
      </w:r>
    </w:p>
    <w:p>
      <w:pPr>
        <w:widowControl/>
        <w:spacing w:line="360" w:lineRule="atLeast"/>
        <w:jc w:val="left"/>
        <w:rPr>
          <w:rFonts w:ascii="Times New Roman" w:hAnsi="Times New Roman" w:eastAsia="楷体" w:cs="Times New Roman"/>
          <w:kern w:val="0"/>
          <w:sz w:val="24"/>
          <w:szCs w:val="24"/>
        </w:rPr>
      </w:pPr>
      <w:r>
        <w:rPr>
          <w:rFonts w:ascii="Times New Roman" w:hAnsi="Times New Roman" w:eastAsia="楷体" w:cs="Times New Roman"/>
          <w:kern w:val="0"/>
          <w:sz w:val="24"/>
          <w:szCs w:val="24"/>
        </w:rPr>
        <w:t>1. 标的物以实物现状为准，管理人和拍辅单位不承担标的物瑕疵担保责任。</w:t>
      </w:r>
    </w:p>
    <w:p>
      <w:pPr>
        <w:widowControl/>
        <w:spacing w:line="360" w:lineRule="atLeast"/>
        <w:jc w:val="left"/>
        <w:rPr>
          <w:rFonts w:ascii="Times New Roman" w:hAnsi="Times New Roman" w:eastAsia="楷体" w:cs="Times New Roman"/>
          <w:kern w:val="0"/>
          <w:sz w:val="24"/>
          <w:szCs w:val="24"/>
        </w:rPr>
      </w:pPr>
      <w:r>
        <w:rPr>
          <w:rFonts w:ascii="Times New Roman" w:hAnsi="Times New Roman" w:eastAsia="楷体" w:cs="Times New Roman"/>
          <w:kern w:val="0"/>
          <w:sz w:val="24"/>
          <w:szCs w:val="24"/>
        </w:rPr>
        <w:t>2. 与标的物有利害关系的人可参加竞拍，不参加竞拍的请关注本次拍卖活动的整个过程。</w:t>
      </w:r>
    </w:p>
    <w:p>
      <w:pPr>
        <w:widowControl/>
        <w:spacing w:line="360" w:lineRule="atLeast"/>
        <w:jc w:val="left"/>
        <w:rPr>
          <w:rFonts w:ascii="Times New Roman" w:hAnsi="Times New Roman" w:eastAsia="楷体" w:cs="Times New Roman"/>
          <w:kern w:val="0"/>
          <w:sz w:val="24"/>
          <w:szCs w:val="24"/>
        </w:rPr>
      </w:pPr>
      <w:r>
        <w:rPr>
          <w:rFonts w:ascii="Times New Roman" w:hAnsi="Times New Roman" w:eastAsia="楷体" w:cs="Times New Roman"/>
          <w:kern w:val="0"/>
          <w:sz w:val="24"/>
          <w:szCs w:val="24"/>
        </w:rPr>
        <w:t>3. 在拍卖竞价前请务必再仔细阅读管理人发布的拍卖须知。</w:t>
      </w:r>
    </w:p>
    <w:p>
      <w:pPr>
        <w:widowControl/>
        <w:spacing w:line="360" w:lineRule="atLeast"/>
        <w:jc w:val="left"/>
        <w:rPr>
          <w:rFonts w:ascii="Times New Roman" w:hAnsi="Times New Roman" w:eastAsia="楷体" w:cs="Times New Roman"/>
          <w:kern w:val="0"/>
          <w:sz w:val="24"/>
          <w:szCs w:val="24"/>
        </w:rPr>
      </w:pPr>
      <w:r>
        <w:rPr>
          <w:rFonts w:ascii="Times New Roman" w:hAnsi="Times New Roman" w:eastAsia="楷体" w:cs="Times New Roman"/>
          <w:kern w:val="0"/>
          <w:sz w:val="24"/>
          <w:szCs w:val="24"/>
        </w:rPr>
        <w:t xml:space="preserve">4. </w:t>
      </w:r>
      <w:r>
        <w:rPr>
          <w:rFonts w:hint="eastAsia" w:ascii="Times New Roman" w:hAnsi="Times New Roman" w:eastAsia="楷体" w:cs="Times New Roman"/>
          <w:kern w:val="0"/>
          <w:sz w:val="24"/>
          <w:szCs w:val="24"/>
        </w:rPr>
        <w:t>拍卖成交，竞买人成为买受人即视为知晓并接受拍卖标的所有现状，同时承诺：</w:t>
      </w:r>
    </w:p>
    <w:p>
      <w:pPr>
        <w:widowControl/>
        <w:spacing w:line="360" w:lineRule="atLeast"/>
        <w:jc w:val="left"/>
        <w:rPr>
          <w:rFonts w:ascii="Times New Roman" w:hAnsi="Times New Roman" w:eastAsia="楷体" w:cs="Times New Roman"/>
          <w:kern w:val="0"/>
          <w:sz w:val="24"/>
          <w:szCs w:val="24"/>
        </w:rPr>
      </w:pPr>
      <w:r>
        <w:rPr>
          <w:rFonts w:hint="eastAsia" w:ascii="Times New Roman" w:hAnsi="Times New Roman" w:eastAsia="楷体" w:cs="Times New Roman"/>
          <w:kern w:val="0"/>
          <w:sz w:val="24"/>
          <w:szCs w:val="24"/>
        </w:rPr>
        <w:t>（</w:t>
      </w:r>
      <w:r>
        <w:rPr>
          <w:rFonts w:ascii="Times New Roman" w:hAnsi="Times New Roman" w:eastAsia="楷体" w:cs="Times New Roman"/>
          <w:kern w:val="0"/>
          <w:sz w:val="24"/>
          <w:szCs w:val="24"/>
        </w:rPr>
        <w:t>1</w:t>
      </w:r>
      <w:r>
        <w:rPr>
          <w:rFonts w:hint="eastAsia" w:ascii="Times New Roman" w:hAnsi="Times New Roman" w:eastAsia="楷体" w:cs="Times New Roman"/>
          <w:kern w:val="0"/>
          <w:sz w:val="24"/>
          <w:szCs w:val="24"/>
        </w:rPr>
        <w:t>）在交接期间内，当管理人将标的文件交付给买受人时（如有），买受人应及时受领标的文件并在随附的标的文件清单上签字。如买受人不及时受领标的文件，则自愿承担迟延受领标的文件所产生的一切法律后果。在交接期后，买受人无权再就标的文件及其交付范围向管理人提出任何主张。</w:t>
      </w:r>
    </w:p>
    <w:p>
      <w:pPr>
        <w:widowControl/>
        <w:spacing w:line="360" w:lineRule="atLeast"/>
        <w:jc w:val="left"/>
        <w:rPr>
          <w:rFonts w:ascii="Times New Roman" w:hAnsi="Times New Roman" w:eastAsia="楷体" w:cs="Times New Roman"/>
          <w:kern w:val="0"/>
          <w:sz w:val="24"/>
          <w:szCs w:val="24"/>
        </w:rPr>
      </w:pPr>
      <w:r>
        <w:rPr>
          <w:rFonts w:hint="eastAsia" w:ascii="Times New Roman" w:hAnsi="Times New Roman" w:eastAsia="楷体" w:cs="Times New Roman"/>
          <w:kern w:val="0"/>
          <w:sz w:val="24"/>
          <w:szCs w:val="24"/>
        </w:rPr>
        <w:t>（</w:t>
      </w:r>
      <w:r>
        <w:rPr>
          <w:rFonts w:ascii="Times New Roman" w:hAnsi="Times New Roman" w:eastAsia="楷体" w:cs="Times New Roman"/>
          <w:kern w:val="0"/>
          <w:sz w:val="24"/>
          <w:szCs w:val="24"/>
        </w:rPr>
        <w:t>2</w:t>
      </w:r>
      <w:r>
        <w:rPr>
          <w:rFonts w:hint="eastAsia" w:ascii="Times New Roman" w:hAnsi="Times New Roman" w:eastAsia="楷体" w:cs="Times New Roman"/>
          <w:kern w:val="0"/>
          <w:sz w:val="24"/>
          <w:szCs w:val="24"/>
        </w:rPr>
        <w:t>）竞买人承诺：一旦拍卖成交，竞买人作为买受人将按照标的现状受让标的，接受标的的所有瑕疵和风险，不因拍卖标的的来源、瑕疵和风险，而请求管理人或受益人承担相应责任，或以此作为买受人履行约定或法定义务的抗辩。拍卖标的自拍卖公告日起至拍卖标的相关权利移转给买受人之日发生变化的，买受人承认并接受该变化，不因拍卖标的的变化而请求管理人或受益人承担相应的责任，或以此作为买受人履行约定或法定义务的抗辩。</w:t>
      </w:r>
    </w:p>
    <w:p>
      <w:pPr>
        <w:widowControl/>
        <w:spacing w:line="360" w:lineRule="atLeast"/>
        <w:jc w:val="left"/>
        <w:rPr>
          <w:rFonts w:ascii="Times New Roman" w:hAnsi="Times New Roman" w:eastAsia="楷体" w:cs="Times New Roman"/>
          <w:kern w:val="0"/>
          <w:sz w:val="24"/>
          <w:szCs w:val="24"/>
        </w:rPr>
      </w:pPr>
      <w:r>
        <w:rPr>
          <w:rFonts w:ascii="Times New Roman" w:hAnsi="Times New Roman" w:eastAsia="楷体" w:cs="Times New Roman"/>
          <w:kern w:val="0"/>
          <w:sz w:val="24"/>
          <w:szCs w:val="24"/>
        </w:rPr>
        <w:t> </w:t>
      </w:r>
    </w:p>
    <w:p>
      <w:pPr>
        <w:widowControl/>
        <w:spacing w:line="360" w:lineRule="atLeast"/>
        <w:jc w:val="left"/>
        <w:rPr>
          <w:rFonts w:ascii="Times New Roman" w:hAnsi="Times New Roman" w:eastAsia="楷体" w:cs="Times New Roman"/>
          <w:kern w:val="0"/>
          <w:sz w:val="24"/>
          <w:szCs w:val="24"/>
        </w:rPr>
      </w:pPr>
      <w:r>
        <w:rPr>
          <w:rFonts w:ascii="Times New Roman" w:hAnsi="Times New Roman" w:eastAsia="楷体" w:cs="Times New Roman"/>
          <w:kern w:val="0"/>
          <w:sz w:val="24"/>
          <w:szCs w:val="24"/>
        </w:rPr>
        <w:t>十二、免责声明</w:t>
      </w:r>
    </w:p>
    <w:p>
      <w:pPr>
        <w:widowControl/>
        <w:spacing w:line="360" w:lineRule="atLeast"/>
        <w:jc w:val="left"/>
        <w:rPr>
          <w:rFonts w:ascii="Times New Roman" w:hAnsi="Times New Roman" w:eastAsia="楷体" w:cs="Times New Roman"/>
          <w:kern w:val="0"/>
          <w:sz w:val="24"/>
          <w:szCs w:val="24"/>
        </w:rPr>
      </w:pPr>
      <w:r>
        <w:rPr>
          <w:rFonts w:hint="eastAsia" w:ascii="Times New Roman" w:hAnsi="Times New Roman" w:eastAsia="楷体" w:cs="Times New Roman"/>
          <w:kern w:val="0"/>
          <w:sz w:val="24"/>
          <w:szCs w:val="24"/>
        </w:rPr>
        <w:t xml:space="preserve">免责声明：本场拍卖会提供的信息或数据采集于关联方提供的相关资料，管理人和拍卖公司不保证所披露的信息或数据的完整、准确及所披露的债权数额一定能全额收回，也不为此承担任何保证责任，特作如下声明： </w:t>
      </w:r>
    </w:p>
    <w:p>
      <w:pPr>
        <w:widowControl/>
        <w:spacing w:line="360" w:lineRule="atLeast"/>
        <w:jc w:val="left"/>
        <w:rPr>
          <w:rFonts w:ascii="Times New Roman" w:hAnsi="Times New Roman" w:eastAsia="楷体" w:cs="Times New Roman"/>
          <w:kern w:val="0"/>
          <w:sz w:val="24"/>
          <w:szCs w:val="24"/>
        </w:rPr>
      </w:pPr>
      <w:r>
        <w:rPr>
          <w:rFonts w:hint="eastAsia" w:ascii="Times New Roman" w:hAnsi="Times New Roman" w:eastAsia="楷体" w:cs="Times New Roman"/>
          <w:kern w:val="0"/>
          <w:sz w:val="24"/>
          <w:szCs w:val="24"/>
        </w:rPr>
        <w:t xml:space="preserve">1.本拍卖文件所披露的信息或数据，均是对可能收集到的资料进行整理，其中披露的任何数据、信息等所有内容，均不构成任何法律或其他专业建议或意见，也不构成任何承诺或意思表示； </w:t>
      </w:r>
    </w:p>
    <w:p>
      <w:pPr>
        <w:widowControl/>
        <w:spacing w:line="360" w:lineRule="atLeast"/>
        <w:jc w:val="left"/>
        <w:rPr>
          <w:rFonts w:ascii="Times New Roman" w:hAnsi="Times New Roman" w:eastAsia="楷体" w:cs="Times New Roman"/>
          <w:kern w:val="0"/>
          <w:sz w:val="24"/>
          <w:szCs w:val="24"/>
        </w:rPr>
      </w:pPr>
      <w:r>
        <w:rPr>
          <w:rFonts w:hint="eastAsia" w:ascii="Times New Roman" w:hAnsi="Times New Roman" w:eastAsia="楷体" w:cs="Times New Roman"/>
          <w:kern w:val="0"/>
          <w:sz w:val="24"/>
          <w:szCs w:val="24"/>
        </w:rPr>
        <w:t xml:space="preserve">2.本拍卖文件所披露的信息或数据，仅限于可能收集到的标的公司的重大信息或数据，并不代表标的公司所涉及的全部信息或数据； </w:t>
      </w:r>
    </w:p>
    <w:p>
      <w:pPr>
        <w:widowControl/>
        <w:spacing w:line="360" w:lineRule="atLeast"/>
        <w:jc w:val="left"/>
        <w:rPr>
          <w:rFonts w:ascii="Times New Roman" w:hAnsi="Times New Roman" w:eastAsia="楷体" w:cs="Times New Roman"/>
          <w:kern w:val="0"/>
          <w:sz w:val="24"/>
          <w:szCs w:val="24"/>
        </w:rPr>
      </w:pPr>
      <w:r>
        <w:rPr>
          <w:rFonts w:hint="eastAsia" w:ascii="Times New Roman" w:hAnsi="Times New Roman" w:eastAsia="楷体" w:cs="Times New Roman"/>
          <w:kern w:val="0"/>
          <w:sz w:val="24"/>
          <w:szCs w:val="24"/>
        </w:rPr>
        <w:t xml:space="preserve">3.本拍卖文件所披露的信息、数据等所有内容，仅作为本次拍卖参考之用，竞买人或其他任何人自行承担根据本拍卖文件直接或间接作出的任何承诺或行为而产生的全部后果和风险； </w:t>
      </w:r>
    </w:p>
    <w:p>
      <w:pPr>
        <w:widowControl/>
        <w:spacing w:line="360" w:lineRule="atLeast"/>
        <w:jc w:val="left"/>
        <w:rPr>
          <w:rFonts w:ascii="Times New Roman" w:hAnsi="Times New Roman" w:eastAsia="楷体" w:cs="Times New Roman"/>
          <w:kern w:val="0"/>
          <w:sz w:val="24"/>
          <w:szCs w:val="24"/>
        </w:rPr>
      </w:pPr>
      <w:r>
        <w:rPr>
          <w:rFonts w:hint="eastAsia" w:ascii="Times New Roman" w:hAnsi="Times New Roman" w:eastAsia="楷体" w:cs="Times New Roman"/>
          <w:kern w:val="0"/>
          <w:sz w:val="24"/>
          <w:szCs w:val="24"/>
        </w:rPr>
        <w:t>4.所有参与本次拍卖活动的竞买人，均被视为已经仔细阅读、明确了解并完全同意本声明。</w:t>
      </w:r>
    </w:p>
    <w:p>
      <w:pPr>
        <w:widowControl/>
        <w:spacing w:line="360" w:lineRule="atLeast"/>
        <w:jc w:val="left"/>
        <w:rPr>
          <w:rFonts w:ascii="Times New Roman" w:hAnsi="Times New Roman" w:eastAsia="楷体" w:cs="Times New Roman"/>
          <w:kern w:val="0"/>
          <w:sz w:val="24"/>
          <w:szCs w:val="24"/>
        </w:rPr>
      </w:pPr>
    </w:p>
    <w:p>
      <w:pPr>
        <w:widowControl/>
        <w:spacing w:line="360" w:lineRule="atLeast"/>
        <w:jc w:val="left"/>
        <w:rPr>
          <w:rFonts w:ascii="Times New Roman" w:hAnsi="Times New Roman" w:eastAsia="楷体" w:cs="Times New Roman"/>
          <w:kern w:val="0"/>
          <w:sz w:val="24"/>
          <w:szCs w:val="24"/>
        </w:rPr>
      </w:pPr>
      <w:r>
        <w:rPr>
          <w:rFonts w:ascii="Times New Roman" w:hAnsi="Times New Roman" w:eastAsia="楷体" w:cs="Times New Roman"/>
          <w:kern w:val="0"/>
          <w:sz w:val="24"/>
          <w:szCs w:val="24"/>
        </w:rPr>
        <w:t>咨询电话：13917592019（陶先生）、13764889115（万先生）</w:t>
      </w:r>
    </w:p>
    <w:p>
      <w:pPr>
        <w:widowControl/>
        <w:spacing w:line="360" w:lineRule="atLeast"/>
        <w:jc w:val="left"/>
        <w:rPr>
          <w:rFonts w:ascii="Times New Roman" w:hAnsi="Times New Roman" w:eastAsia="楷体" w:cs="Times New Roman"/>
          <w:kern w:val="0"/>
          <w:sz w:val="24"/>
          <w:szCs w:val="24"/>
        </w:rPr>
      </w:pPr>
      <w:r>
        <w:rPr>
          <w:rFonts w:ascii="Times New Roman" w:hAnsi="Times New Roman" w:eastAsia="楷体" w:cs="Times New Roman"/>
          <w:kern w:val="0"/>
          <w:sz w:val="24"/>
          <w:szCs w:val="24"/>
        </w:rPr>
        <w:t>法院监督电话：021-5895-1988</w:t>
      </w:r>
    </w:p>
    <w:p>
      <w:pPr>
        <w:widowControl/>
        <w:spacing w:line="360" w:lineRule="atLeast"/>
        <w:jc w:val="left"/>
        <w:rPr>
          <w:rFonts w:ascii="Times New Roman" w:hAnsi="Times New Roman" w:eastAsia="楷体" w:cs="Times New Roman"/>
          <w:kern w:val="0"/>
          <w:sz w:val="24"/>
          <w:szCs w:val="24"/>
        </w:rPr>
      </w:pPr>
      <w:r>
        <w:rPr>
          <w:rFonts w:ascii="Times New Roman" w:hAnsi="Times New Roman" w:eastAsia="楷体" w:cs="Times New Roman"/>
          <w:kern w:val="0"/>
          <w:sz w:val="24"/>
          <w:szCs w:val="24"/>
        </w:rPr>
        <w:t>淘宝技术咨询：400-822-2870</w:t>
      </w:r>
    </w:p>
    <w:p>
      <w:pPr>
        <w:widowControl/>
        <w:spacing w:line="360" w:lineRule="atLeast"/>
        <w:jc w:val="left"/>
        <w:rPr>
          <w:rFonts w:ascii="Times New Roman" w:hAnsi="Times New Roman" w:eastAsia="楷体" w:cs="Times New Roman"/>
          <w:kern w:val="0"/>
          <w:sz w:val="24"/>
          <w:szCs w:val="24"/>
        </w:rPr>
      </w:pPr>
      <w:r>
        <w:rPr>
          <w:rFonts w:ascii="Times New Roman" w:hAnsi="Times New Roman" w:eastAsia="楷体" w:cs="Times New Roman"/>
          <w:kern w:val="0"/>
          <w:sz w:val="24"/>
          <w:szCs w:val="24"/>
        </w:rPr>
        <w:t>本公告未尽事宜，请向管理人或拍辅单位咨询。</w:t>
      </w:r>
    </w:p>
    <w:p>
      <w:pPr>
        <w:widowControl/>
        <w:spacing w:line="360" w:lineRule="atLeast"/>
        <w:jc w:val="right"/>
        <w:rPr>
          <w:rFonts w:ascii="Times New Roman" w:hAnsi="Times New Roman" w:eastAsia="楷体" w:cs="Times New Roman"/>
          <w:kern w:val="0"/>
          <w:sz w:val="24"/>
          <w:szCs w:val="24"/>
        </w:rPr>
      </w:pPr>
      <w:r>
        <w:rPr>
          <w:rFonts w:hint="eastAsia" w:ascii="Times New Roman" w:hAnsi="Times New Roman" w:eastAsia="楷体" w:cs="Times New Roman"/>
          <w:kern w:val="0"/>
          <w:sz w:val="24"/>
          <w:szCs w:val="24"/>
        </w:rPr>
        <w:t>上海光明饲料有限公司</w:t>
      </w:r>
      <w:r>
        <w:rPr>
          <w:rFonts w:ascii="Times New Roman" w:hAnsi="Times New Roman" w:eastAsia="楷体" w:cs="Times New Roman"/>
          <w:kern w:val="0"/>
          <w:sz w:val="24"/>
          <w:szCs w:val="24"/>
        </w:rPr>
        <w:t>管理人</w:t>
      </w:r>
    </w:p>
    <w:p>
      <w:pPr>
        <w:widowControl/>
        <w:spacing w:line="360" w:lineRule="atLeast"/>
        <w:jc w:val="right"/>
        <w:rPr>
          <w:rFonts w:ascii="Times New Roman" w:hAnsi="Times New Roman" w:eastAsia="楷体" w:cs="Times New Roman"/>
          <w:kern w:val="0"/>
          <w:sz w:val="24"/>
          <w:szCs w:val="24"/>
        </w:rPr>
      </w:pPr>
      <w:r>
        <w:rPr>
          <w:rFonts w:ascii="Times New Roman" w:hAnsi="Times New Roman" w:eastAsia="楷体" w:cs="Times New Roman"/>
          <w:kern w:val="0"/>
          <w:sz w:val="24"/>
          <w:szCs w:val="24"/>
        </w:rPr>
        <w:t>二〇二</w:t>
      </w:r>
      <w:r>
        <w:rPr>
          <w:rFonts w:hint="eastAsia" w:ascii="Times New Roman" w:hAnsi="Times New Roman" w:eastAsia="楷体" w:cs="Times New Roman"/>
          <w:kern w:val="0"/>
          <w:sz w:val="24"/>
          <w:szCs w:val="24"/>
        </w:rPr>
        <w:t>四</w:t>
      </w:r>
      <w:r>
        <w:rPr>
          <w:rFonts w:ascii="Times New Roman" w:hAnsi="Times New Roman" w:eastAsia="楷体" w:cs="Times New Roman"/>
          <w:kern w:val="0"/>
          <w:sz w:val="24"/>
          <w:szCs w:val="24"/>
        </w:rPr>
        <w:t>年</w:t>
      </w:r>
      <w:r>
        <w:rPr>
          <w:rFonts w:hint="eastAsia" w:ascii="Times New Roman" w:hAnsi="Times New Roman" w:eastAsia="楷体" w:cs="Times New Roman"/>
          <w:kern w:val="0"/>
          <w:sz w:val="24"/>
          <w:szCs w:val="24"/>
        </w:rPr>
        <w:t>九</w:t>
      </w:r>
      <w:r>
        <w:rPr>
          <w:rFonts w:ascii="Times New Roman" w:hAnsi="Times New Roman" w:eastAsia="楷体" w:cs="Times New Roman"/>
          <w:kern w:val="0"/>
          <w:sz w:val="24"/>
          <w:szCs w:val="24"/>
        </w:rPr>
        <w:t>月</w:t>
      </w:r>
      <w:r>
        <w:rPr>
          <w:rFonts w:hint="eastAsia" w:ascii="Times New Roman" w:hAnsi="Times New Roman" w:eastAsia="楷体" w:cs="Times New Roman"/>
          <w:kern w:val="0"/>
          <w:sz w:val="24"/>
          <w:szCs w:val="24"/>
        </w:rPr>
        <w:t>十一</w:t>
      </w:r>
      <w:r>
        <w:rPr>
          <w:rFonts w:ascii="Times New Roman" w:hAnsi="Times New Roman" w:eastAsia="楷体" w:cs="Times New Roman"/>
          <w:kern w:val="0"/>
          <w:sz w:val="24"/>
          <w:szCs w:val="24"/>
        </w:rPr>
        <w:t>日</w:t>
      </w:r>
    </w:p>
    <w:p>
      <w:pPr>
        <w:widowControl/>
        <w:jc w:val="left"/>
        <w:rPr>
          <w:rFonts w:cs="宋体" w:asciiTheme="minorEastAsia" w:hAnsiTheme="minorEastAsia"/>
          <w:b/>
          <w:bCs/>
          <w:color w:val="000000" w:themeColor="text1"/>
          <w:kern w:val="0"/>
          <w:sz w:val="24"/>
          <w:szCs w:val="24"/>
          <w14:textFill>
            <w14:solidFill>
              <w14:schemeClr w14:val="tx1"/>
            </w14:solidFill>
          </w14:textFill>
        </w:rPr>
      </w:pPr>
    </w:p>
    <w:p>
      <w:pPr>
        <w:widowControl/>
        <w:jc w:val="left"/>
        <w:rPr>
          <w:rFonts w:ascii="Times New Roman" w:hAnsi="Times New Roman" w:eastAsia="楷体" w:cs="Times New Roman"/>
          <w:kern w:val="0"/>
          <w:sz w:val="24"/>
          <w:szCs w:val="24"/>
        </w:rPr>
      </w:pPr>
    </w:p>
    <w:p>
      <w:pPr>
        <w:pStyle w:val="6"/>
        <w:spacing w:before="0" w:beforeAutospacing="0" w:after="0" w:afterAutospacing="0" w:line="360" w:lineRule="atLeast"/>
        <w:ind w:firstLine="480" w:firstLineChars="200"/>
        <w:jc w:val="center"/>
        <w:rPr>
          <w:rFonts w:ascii="Times New Roman" w:hAnsi="Times New Roman" w:eastAsia="楷体" w:cs="Times New Roman"/>
        </w:rPr>
      </w:pPr>
      <w:r>
        <w:rPr>
          <w:rFonts w:hint="eastAsia" w:ascii="Times New Roman" w:hAnsi="Times New Roman" w:eastAsia="楷体" w:cs="Times New Roman"/>
        </w:rPr>
        <w:t>拍卖须知</w:t>
      </w:r>
    </w:p>
    <w:p>
      <w:pPr>
        <w:pStyle w:val="6"/>
        <w:spacing w:before="0" w:beforeAutospacing="0" w:after="0" w:afterAutospacing="0" w:line="360" w:lineRule="atLeast"/>
        <w:ind w:firstLine="480" w:firstLineChars="200"/>
        <w:rPr>
          <w:rFonts w:ascii="Times New Roman" w:hAnsi="Times New Roman" w:eastAsia="楷体" w:cs="Times New Roman"/>
        </w:rPr>
      </w:pPr>
      <w:r>
        <w:rPr>
          <w:rFonts w:hint="eastAsia" w:ascii="Times New Roman" w:hAnsi="Times New Roman" w:eastAsia="楷体" w:cs="Times New Roman"/>
        </w:rPr>
        <w:t>上海光明饲料有限公司管理人（下称“管理人”）将于</w:t>
      </w:r>
      <w:r>
        <w:rPr>
          <w:rFonts w:ascii="Times New Roman" w:hAnsi="Times New Roman" w:eastAsia="楷体" w:cs="Times New Roman"/>
          <w:color w:val="FF0000"/>
        </w:rPr>
        <w:t>2024</w:t>
      </w:r>
      <w:r>
        <w:rPr>
          <w:rFonts w:hint="eastAsia" w:ascii="Times New Roman" w:hAnsi="Times New Roman" w:eastAsia="楷体" w:cs="Times New Roman"/>
          <w:color w:val="FF0000"/>
        </w:rPr>
        <w:t>年</w:t>
      </w:r>
      <w:r>
        <w:rPr>
          <w:rFonts w:ascii="Times New Roman" w:hAnsi="Times New Roman" w:eastAsia="楷体" w:cs="Times New Roman"/>
          <w:color w:val="FF0000"/>
        </w:rPr>
        <w:t>9</w:t>
      </w:r>
      <w:r>
        <w:rPr>
          <w:rFonts w:hint="eastAsia" w:ascii="Times New Roman" w:hAnsi="Times New Roman" w:eastAsia="楷体" w:cs="Times New Roman"/>
          <w:color w:val="FF0000"/>
        </w:rPr>
        <w:t>月</w:t>
      </w:r>
      <w:r>
        <w:rPr>
          <w:rFonts w:ascii="Times New Roman" w:hAnsi="Times New Roman" w:eastAsia="楷体" w:cs="Times New Roman"/>
          <w:color w:val="FF0000"/>
        </w:rPr>
        <w:t>19日10时至2024年9月20日10时止（延时除外）</w:t>
      </w:r>
      <w:r>
        <w:rPr>
          <w:rFonts w:ascii="Times New Roman" w:hAnsi="Times New Roman" w:eastAsia="楷体" w:cs="Times New Roman"/>
        </w:rPr>
        <w:t>在淘宝网司法拍卖网络平台（处置单位：</w:t>
      </w:r>
      <w:r>
        <w:rPr>
          <w:rFonts w:hint="eastAsia" w:ascii="Times New Roman" w:hAnsi="Times New Roman" w:eastAsia="楷体" w:cs="Times New Roman"/>
        </w:rPr>
        <w:t>上海光明饲料有限公司管理人</w:t>
      </w:r>
      <w:r>
        <w:rPr>
          <w:rFonts w:ascii="Times New Roman" w:hAnsi="Times New Roman" w:eastAsia="楷体" w:cs="Times New Roman"/>
        </w:rPr>
        <w:t>；监督单位：</w:t>
      </w:r>
      <w:r>
        <w:rPr>
          <w:rFonts w:hint="eastAsia" w:ascii="Times New Roman" w:hAnsi="Times New Roman" w:eastAsia="楷体" w:cs="Times New Roman"/>
        </w:rPr>
        <w:t>上海市第三中级人民法院</w:t>
      </w:r>
      <w:r>
        <w:rPr>
          <w:rFonts w:ascii="Times New Roman" w:hAnsi="Times New Roman" w:eastAsia="楷体" w:cs="Times New Roman"/>
        </w:rPr>
        <w:t>；拍卖辅助单位：上海国际商品拍卖有限公司），进行公开拍卖活动，现公告如下：</w:t>
      </w:r>
    </w:p>
    <w:p>
      <w:pPr>
        <w:pStyle w:val="6"/>
        <w:spacing w:before="0" w:beforeAutospacing="0" w:after="0" w:afterAutospacing="0" w:line="400" w:lineRule="exact"/>
        <w:rPr>
          <w:rFonts w:ascii="Times New Roman" w:hAnsi="Times New Roman" w:eastAsia="楷体" w:cs="Times New Roman"/>
        </w:rPr>
      </w:pPr>
      <w:r>
        <w:rPr>
          <w:rFonts w:hint="eastAsia" w:ascii="Times New Roman" w:hAnsi="Times New Roman" w:eastAsia="楷体" w:cs="Times New Roman"/>
        </w:rPr>
        <w:t>一、本《拍卖须知》根据《中华人民共和国民事诉讼法》等相关法律规定所制订，竞买人应认真仔细阅读，了解本须知的全部内容。</w:t>
      </w:r>
    </w:p>
    <w:p>
      <w:pPr>
        <w:pStyle w:val="6"/>
        <w:spacing w:before="0" w:beforeAutospacing="0" w:after="0" w:afterAutospacing="0" w:line="400" w:lineRule="exact"/>
        <w:rPr>
          <w:rFonts w:ascii="Times New Roman" w:hAnsi="Times New Roman" w:eastAsia="楷体" w:cs="Times New Roman"/>
        </w:rPr>
      </w:pPr>
      <w:r>
        <w:rPr>
          <w:rFonts w:hint="eastAsia" w:ascii="Times New Roman" w:hAnsi="Times New Roman" w:eastAsia="楷体" w:cs="Times New Roman"/>
        </w:rPr>
        <w:t>二、本次拍卖活动遵循“公开、公平、公正、诚实守信”的原则，拍卖活动具备法律效力。参加本次拍卖活动的竞买人必须遵守本须知的各项条款，并对自己的行为承担法律责任。</w:t>
      </w:r>
    </w:p>
    <w:p>
      <w:pPr>
        <w:widowControl/>
        <w:spacing w:line="360" w:lineRule="atLeast"/>
        <w:jc w:val="left"/>
        <w:rPr>
          <w:rFonts w:ascii="Times New Roman" w:hAnsi="Times New Roman" w:eastAsia="楷体" w:cs="Times New Roman"/>
          <w:color w:val="FF0000"/>
          <w:kern w:val="0"/>
          <w:sz w:val="24"/>
          <w:szCs w:val="24"/>
        </w:rPr>
      </w:pPr>
      <w:r>
        <w:rPr>
          <w:rFonts w:hint="eastAsia" w:ascii="Times New Roman" w:hAnsi="Times New Roman" w:eastAsia="楷体" w:cs="Times New Roman"/>
          <w:sz w:val="24"/>
          <w:szCs w:val="24"/>
        </w:rPr>
        <w:t>三、</w:t>
      </w:r>
      <w:bookmarkStart w:id="0" w:name="_Hlk22207693"/>
      <w:r>
        <w:rPr>
          <w:rFonts w:hint="eastAsia" w:ascii="Times New Roman" w:hAnsi="Times New Roman" w:eastAsia="楷体" w:cs="Times New Roman"/>
          <w:sz w:val="24"/>
          <w:szCs w:val="24"/>
        </w:rPr>
        <w:t>本次拍卖标的</w:t>
      </w:r>
      <w:bookmarkEnd w:id="0"/>
      <w:r>
        <w:rPr>
          <w:rFonts w:hint="eastAsia" w:ascii="Times New Roman" w:hAnsi="Times New Roman" w:eastAsia="楷体" w:cs="Times New Roman"/>
          <w:sz w:val="24"/>
          <w:szCs w:val="24"/>
        </w:rPr>
        <w:t>为</w:t>
      </w:r>
      <w:r>
        <w:rPr>
          <w:rFonts w:hint="eastAsia" w:ascii="Times New Roman" w:hAnsi="Times New Roman" w:eastAsia="楷体" w:cs="Times New Roman"/>
          <w:color w:val="FF0000"/>
          <w:kern w:val="0"/>
          <w:sz w:val="24"/>
          <w:szCs w:val="24"/>
        </w:rPr>
        <w:t>上海光明饲料有限公司</w:t>
      </w:r>
      <w:r>
        <w:rPr>
          <w:rFonts w:ascii="Times New Roman" w:hAnsi="Times New Roman" w:eastAsia="楷体" w:cs="Times New Roman"/>
          <w:color w:val="FF0000"/>
          <w:kern w:val="0"/>
          <w:sz w:val="24"/>
          <w:szCs w:val="24"/>
        </w:rPr>
        <w:t>破产财产-</w:t>
      </w:r>
      <w:r>
        <w:rPr>
          <w:rFonts w:hint="eastAsia" w:ascii="Times New Roman" w:hAnsi="Times New Roman" w:eastAsia="楷体" w:cs="Times New Roman"/>
          <w:color w:val="FF0000"/>
          <w:kern w:val="0"/>
          <w:sz w:val="24"/>
          <w:szCs w:val="24"/>
        </w:rPr>
        <w:t>无质押部分（共</w:t>
      </w:r>
      <w:r>
        <w:rPr>
          <w:rFonts w:hint="eastAsia" w:ascii="Times New Roman" w:hAnsi="Times New Roman" w:eastAsia="楷体" w:cs="Times New Roman"/>
          <w:color w:val="FF0000"/>
          <w:kern w:val="0"/>
          <w:sz w:val="24"/>
          <w:szCs w:val="24"/>
          <w:lang w:eastAsia="zh-CN"/>
        </w:rPr>
        <w:t>17项</w:t>
      </w:r>
      <w:r>
        <w:rPr>
          <w:rFonts w:hint="eastAsia" w:ascii="Times New Roman" w:hAnsi="Times New Roman" w:eastAsia="楷体" w:cs="Times New Roman"/>
          <w:color w:val="FF0000"/>
          <w:kern w:val="0"/>
          <w:sz w:val="24"/>
          <w:szCs w:val="24"/>
        </w:rPr>
        <w:t>），按现状合并拍卖。</w:t>
      </w:r>
    </w:p>
    <w:p>
      <w:pPr>
        <w:pStyle w:val="6"/>
        <w:spacing w:before="0" w:beforeAutospacing="0" w:after="0" w:afterAutospacing="0" w:line="400" w:lineRule="exact"/>
        <w:rPr>
          <w:rFonts w:ascii="Times New Roman" w:hAnsi="Times New Roman" w:eastAsia="楷体" w:cs="Times New Roman"/>
        </w:rPr>
      </w:pPr>
      <w:r>
        <w:rPr>
          <w:rFonts w:hint="eastAsia" w:ascii="Times New Roman" w:hAnsi="Times New Roman" w:eastAsia="楷体" w:cs="Times New Roman"/>
        </w:rPr>
        <w:t>四、竞买人应当符合相关法律、行政法规、规章等规定的受让资格和条件；如因不符合条件参加竞买的，由竞买人自行承担相应的法律责任。</w:t>
      </w:r>
    </w:p>
    <w:p>
      <w:pPr>
        <w:pStyle w:val="6"/>
        <w:spacing w:before="0" w:beforeAutospacing="0" w:after="0" w:afterAutospacing="0" w:line="400" w:lineRule="exact"/>
        <w:rPr>
          <w:rFonts w:ascii="Times New Roman" w:hAnsi="Times New Roman" w:eastAsia="楷体" w:cs="Times New Roman"/>
        </w:rPr>
      </w:pPr>
      <w:r>
        <w:rPr>
          <w:rFonts w:hint="eastAsia" w:ascii="Times New Roman" w:hAnsi="Times New Roman" w:eastAsia="楷体" w:cs="Times New Roman"/>
        </w:rPr>
        <w:t>五、参照最高人民法院《关于人民法院网络司法拍卖若干问题的规定》第三十四条之规定：实施网络司法拍卖的，下列机构和人员不得竞买并不得委托他人代为竞买与其相关的拍卖财产：1.负责执行的人民法院；2.网络服务提供者；3.承担拍卖辅助工作的社会机构或者组织；4.第1至3项规定主体的工作人员及其近亲属。</w:t>
      </w:r>
    </w:p>
    <w:p>
      <w:pPr>
        <w:pStyle w:val="6"/>
        <w:spacing w:before="0" w:beforeAutospacing="0" w:after="0" w:afterAutospacing="0" w:line="400" w:lineRule="exact"/>
        <w:rPr>
          <w:rFonts w:ascii="Times New Roman" w:hAnsi="Times New Roman" w:eastAsia="楷体" w:cs="Times New Roman"/>
        </w:rPr>
      </w:pPr>
      <w:r>
        <w:rPr>
          <w:rFonts w:hint="eastAsia" w:ascii="Times New Roman" w:hAnsi="Times New Roman" w:eastAsia="楷体" w:cs="Times New Roman"/>
        </w:rPr>
        <w:t>六、参与竞拍前，竞买人应自行到相关职能部门咨询确认拍卖标的股权过户登记的手续，并评估相关风险。管理人和辅拍单位不做股权过户的任何承诺，不承担股权不能过户的任何法律责任。如买受人最终无法办理变更登记，管理人有权撤销本次拍卖。</w:t>
      </w:r>
    </w:p>
    <w:p>
      <w:pPr>
        <w:pStyle w:val="6"/>
        <w:spacing w:before="0" w:beforeAutospacing="0" w:after="0" w:afterAutospacing="0" w:line="400" w:lineRule="exact"/>
        <w:rPr>
          <w:rFonts w:ascii="Times New Roman" w:hAnsi="Times New Roman" w:eastAsia="楷体" w:cs="Times New Roman"/>
        </w:rPr>
      </w:pPr>
      <w:r>
        <w:rPr>
          <w:rFonts w:hint="eastAsia" w:ascii="Times New Roman" w:hAnsi="Times New Roman" w:eastAsia="楷体" w:cs="Times New Roman"/>
        </w:rPr>
        <w:t>七、本次拍卖成功后，买受人未能在</w:t>
      </w:r>
      <w:r>
        <w:rPr>
          <w:rFonts w:hint="eastAsia" w:ascii="Times New Roman" w:hAnsi="Times New Roman" w:eastAsia="楷体" w:cs="Times New Roman"/>
          <w:color w:val="FF0000"/>
        </w:rPr>
        <w:t>7日内</w:t>
      </w:r>
      <w:r>
        <w:rPr>
          <w:rFonts w:hint="eastAsia" w:ascii="Times New Roman" w:hAnsi="Times New Roman" w:eastAsia="楷体" w:cs="Times New Roman"/>
        </w:rPr>
        <w:t>向管理人指定账户足额缴纳拍卖余款的，视为买受人悔拍，管理人有权没收其缴纳的保证金，同时有权对标的物另行处置。</w:t>
      </w:r>
    </w:p>
    <w:p>
      <w:pPr>
        <w:pStyle w:val="6"/>
        <w:spacing w:before="0" w:beforeAutospacing="0" w:after="0" w:afterAutospacing="0" w:line="400" w:lineRule="exact"/>
        <w:rPr>
          <w:rFonts w:ascii="Times New Roman" w:hAnsi="Times New Roman" w:eastAsia="楷体" w:cs="Times New Roman"/>
        </w:rPr>
      </w:pPr>
      <w:r>
        <w:rPr>
          <w:rFonts w:hint="eastAsia" w:ascii="Times New Roman" w:hAnsi="Times New Roman" w:eastAsia="楷体" w:cs="Times New Roman"/>
        </w:rPr>
        <w:t>八、买受人在按要求缴纳全部拍卖款后应及时办理股权过户登记手续，并由管理人和拍辅单位提供必要的协助，逾期不办理的，买受人自行承担本标的物后续可能发生的所有相关不利后果。</w:t>
      </w:r>
    </w:p>
    <w:p>
      <w:pPr>
        <w:pStyle w:val="6"/>
        <w:spacing w:before="0" w:beforeAutospacing="0" w:after="0" w:afterAutospacing="0" w:line="400" w:lineRule="exact"/>
        <w:rPr>
          <w:rFonts w:ascii="Times New Roman" w:hAnsi="Times New Roman" w:eastAsia="楷体" w:cs="Times New Roman"/>
        </w:rPr>
      </w:pPr>
      <w:r>
        <w:rPr>
          <w:rFonts w:hint="eastAsia" w:ascii="Times New Roman" w:hAnsi="Times New Roman" w:eastAsia="楷体" w:cs="Times New Roman"/>
        </w:rPr>
        <w:t>九、竞买人应认真咨询了解拍卖标的对买受资质的要求和有关确权、过户的手续。拍卖成交后，如因买受人自身不具备相应条件或者其他原因造成拍卖标的不能过户至买受人名下而产生的所有后果和损失由买受人承担，委托人和拍卖人对此不承担任何责任，请竞买人充分注意此投资风险。</w:t>
      </w:r>
    </w:p>
    <w:p>
      <w:pPr>
        <w:pStyle w:val="6"/>
        <w:spacing w:before="0" w:beforeAutospacing="0" w:after="0" w:afterAutospacing="0" w:line="400" w:lineRule="exact"/>
        <w:rPr>
          <w:rFonts w:ascii="Times New Roman" w:hAnsi="Times New Roman" w:eastAsia="楷体" w:cs="Times New Roman"/>
        </w:rPr>
      </w:pPr>
      <w:r>
        <w:rPr>
          <w:rFonts w:hint="eastAsia" w:ascii="Times New Roman" w:hAnsi="Times New Roman" w:eastAsia="楷体" w:cs="Times New Roman"/>
        </w:rPr>
        <w:t>十、买受人对其所购得标的的处置，必须符合《公司法》等相关法律法规、规章的有关规定。</w:t>
      </w:r>
    </w:p>
    <w:p>
      <w:pPr>
        <w:pStyle w:val="6"/>
        <w:spacing w:before="0" w:beforeAutospacing="0" w:after="0" w:afterAutospacing="0" w:line="400" w:lineRule="exact"/>
        <w:rPr>
          <w:rFonts w:ascii="Times New Roman" w:hAnsi="Times New Roman" w:eastAsia="楷体" w:cs="Times New Roman"/>
        </w:rPr>
      </w:pPr>
      <w:r>
        <w:rPr>
          <w:rFonts w:hint="eastAsia" w:ascii="Times New Roman" w:hAnsi="Times New Roman" w:eastAsia="楷体" w:cs="Times New Roman"/>
        </w:rPr>
        <w:t>十一、本次拍卖活动计价货币为人民币，拍卖时的起拍价、成交价均不含买受人在拍卖标的物交割、过户时所发生的有关税费。</w:t>
      </w:r>
    </w:p>
    <w:p>
      <w:pPr>
        <w:pStyle w:val="6"/>
        <w:spacing w:before="0" w:beforeAutospacing="0" w:after="0" w:afterAutospacing="0" w:line="400" w:lineRule="exact"/>
        <w:rPr>
          <w:rFonts w:ascii="Times New Roman" w:hAnsi="Times New Roman" w:eastAsia="楷体" w:cs="Times New Roman"/>
        </w:rPr>
      </w:pPr>
      <w:r>
        <w:rPr>
          <w:rFonts w:hint="eastAsia" w:ascii="Times New Roman" w:hAnsi="Times New Roman" w:eastAsia="楷体" w:cs="Times New Roman"/>
        </w:rPr>
        <w:t>十二、参加竞买的人应当遵守拍卖须知的规定，不得阻挠其他竞买人竞拍，不得操纵、垄断竞拍价格，严禁竞买人恶意串标，上述行为一经发现，将取消其竞买资格，并追究相关的法律责任。</w:t>
      </w:r>
    </w:p>
    <w:p>
      <w:pPr>
        <w:pStyle w:val="6"/>
        <w:spacing w:before="0" w:beforeAutospacing="0" w:after="0" w:afterAutospacing="0" w:line="400" w:lineRule="exact"/>
        <w:rPr>
          <w:rFonts w:ascii="Times New Roman" w:hAnsi="Times New Roman" w:eastAsia="楷体" w:cs="Times New Roman"/>
        </w:rPr>
      </w:pPr>
      <w:r>
        <w:rPr>
          <w:rFonts w:hint="eastAsia" w:ascii="Times New Roman" w:hAnsi="Times New Roman" w:eastAsia="楷体" w:cs="Times New Roman"/>
        </w:rPr>
        <w:t>十三、法院和管理人有权随时中止拍卖或撤回拍卖。</w:t>
      </w:r>
    </w:p>
    <w:p>
      <w:pPr>
        <w:pStyle w:val="6"/>
        <w:spacing w:before="0" w:beforeAutospacing="0" w:after="0" w:afterAutospacing="0" w:line="400" w:lineRule="exact"/>
        <w:rPr>
          <w:rFonts w:ascii="Times New Roman" w:hAnsi="Times New Roman" w:eastAsia="楷体" w:cs="Times New Roman"/>
        </w:rPr>
      </w:pPr>
      <w:r>
        <w:rPr>
          <w:rFonts w:hint="eastAsia" w:ascii="Times New Roman" w:hAnsi="Times New Roman" w:eastAsia="楷体" w:cs="Times New Roman"/>
        </w:rPr>
        <w:t>十四、凡发现拍卖中有违规行为，可如实举报。</w:t>
      </w:r>
    </w:p>
    <w:p>
      <w:pPr>
        <w:pStyle w:val="6"/>
        <w:spacing w:before="0" w:beforeAutospacing="0" w:after="0" w:afterAutospacing="0" w:line="400" w:lineRule="exact"/>
        <w:rPr>
          <w:rFonts w:ascii="Times New Roman" w:hAnsi="Times New Roman" w:eastAsia="楷体" w:cs="Times New Roman"/>
        </w:rPr>
      </w:pPr>
      <w:r>
        <w:rPr>
          <w:rFonts w:hint="eastAsia" w:ascii="Times New Roman" w:hAnsi="Times New Roman" w:eastAsia="楷体" w:cs="Times New Roman"/>
        </w:rPr>
        <w:t> </w:t>
      </w:r>
    </w:p>
    <w:p>
      <w:pPr>
        <w:pStyle w:val="6"/>
        <w:spacing w:before="0" w:beforeAutospacing="0" w:after="0" w:afterAutospacing="0" w:line="400" w:lineRule="exact"/>
        <w:rPr>
          <w:rFonts w:ascii="Times New Roman" w:hAnsi="Times New Roman" w:eastAsia="楷体" w:cs="Times New Roman"/>
        </w:rPr>
      </w:pPr>
      <w:r>
        <w:rPr>
          <w:rFonts w:hint="eastAsia" w:ascii="Times New Roman" w:hAnsi="Times New Roman" w:eastAsia="楷体" w:cs="Times New Roman"/>
        </w:rPr>
        <w:t> </w:t>
      </w:r>
    </w:p>
    <w:p>
      <w:pPr>
        <w:pStyle w:val="6"/>
        <w:spacing w:before="0" w:beforeAutospacing="0" w:after="0" w:afterAutospacing="0" w:line="400" w:lineRule="exact"/>
        <w:ind w:left="420"/>
        <w:rPr>
          <w:rFonts w:ascii="Times New Roman" w:hAnsi="Times New Roman" w:eastAsia="楷体" w:cs="Times New Roman"/>
        </w:rPr>
      </w:pPr>
      <w:r>
        <w:rPr>
          <w:rFonts w:hint="eastAsia" w:ascii="Times New Roman" w:hAnsi="Times New Roman" w:eastAsia="楷体" w:cs="Times New Roman"/>
        </w:rPr>
        <w:t>咨询电话：13917592019（陶先生）、</w:t>
      </w:r>
      <w:r>
        <w:rPr>
          <w:rFonts w:ascii="Times New Roman" w:hAnsi="Times New Roman" w:eastAsia="楷体" w:cs="Times New Roman"/>
        </w:rPr>
        <w:t>13764889115</w:t>
      </w:r>
      <w:r>
        <w:rPr>
          <w:rFonts w:hint="eastAsia" w:ascii="Times New Roman" w:hAnsi="Times New Roman" w:eastAsia="楷体" w:cs="Times New Roman"/>
        </w:rPr>
        <w:t>（万先生）</w:t>
      </w:r>
    </w:p>
    <w:p>
      <w:pPr>
        <w:pStyle w:val="6"/>
        <w:spacing w:before="0" w:beforeAutospacing="0" w:after="0" w:afterAutospacing="0" w:line="400" w:lineRule="exact"/>
        <w:ind w:left="420"/>
        <w:rPr>
          <w:rFonts w:ascii="Times New Roman" w:hAnsi="Times New Roman" w:eastAsia="楷体" w:cs="Times New Roman"/>
        </w:rPr>
      </w:pPr>
      <w:r>
        <w:rPr>
          <w:rFonts w:hint="eastAsia" w:ascii="Times New Roman" w:hAnsi="Times New Roman" w:eastAsia="楷体" w:cs="Times New Roman"/>
        </w:rPr>
        <w:t>法院监督电话：</w:t>
      </w:r>
      <w:r>
        <w:rPr>
          <w:rFonts w:ascii="Times New Roman" w:hAnsi="Times New Roman" w:eastAsia="楷体" w:cs="Times New Roman"/>
        </w:rPr>
        <w:t>021-5895-1988</w:t>
      </w:r>
    </w:p>
    <w:p>
      <w:pPr>
        <w:pStyle w:val="6"/>
        <w:spacing w:before="0" w:beforeAutospacing="0" w:after="0" w:afterAutospacing="0" w:line="400" w:lineRule="exact"/>
        <w:ind w:left="420"/>
        <w:rPr>
          <w:rFonts w:ascii="Times New Roman" w:hAnsi="Times New Roman" w:eastAsia="楷体" w:cs="Times New Roman"/>
        </w:rPr>
      </w:pPr>
      <w:r>
        <w:rPr>
          <w:rFonts w:hint="eastAsia" w:ascii="Times New Roman" w:hAnsi="Times New Roman" w:eastAsia="楷体" w:cs="Times New Roman"/>
        </w:rPr>
        <w:t>淘宝技术咨询：400-822-2870</w:t>
      </w:r>
    </w:p>
    <w:p>
      <w:pPr>
        <w:pStyle w:val="6"/>
        <w:spacing w:before="0" w:beforeAutospacing="0" w:after="0" w:afterAutospacing="0" w:line="400" w:lineRule="exact"/>
        <w:ind w:left="420"/>
        <w:rPr>
          <w:rFonts w:ascii="Times New Roman" w:hAnsi="Times New Roman" w:eastAsia="楷体" w:cs="Times New Roman"/>
        </w:rPr>
      </w:pPr>
      <w:r>
        <w:rPr>
          <w:rFonts w:hint="eastAsia" w:ascii="Times New Roman" w:hAnsi="Times New Roman" w:eastAsia="楷体" w:cs="Times New Roman"/>
        </w:rPr>
        <w:t>本须知未尽事宜，请向管理人或拍辅单位咨询。</w:t>
      </w:r>
    </w:p>
    <w:p>
      <w:pPr>
        <w:pStyle w:val="6"/>
        <w:spacing w:before="0" w:beforeAutospacing="0" w:after="0" w:afterAutospacing="0" w:line="400" w:lineRule="exact"/>
        <w:ind w:left="42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w:t>
      </w:r>
    </w:p>
    <w:p>
      <w:pPr>
        <w:widowControl/>
        <w:spacing w:line="360" w:lineRule="atLeast"/>
        <w:jc w:val="right"/>
        <w:rPr>
          <w:rFonts w:ascii="Times New Roman" w:hAnsi="Times New Roman" w:eastAsia="楷体" w:cs="Times New Roman"/>
          <w:kern w:val="0"/>
          <w:sz w:val="24"/>
          <w:szCs w:val="24"/>
        </w:rPr>
      </w:pPr>
      <w:r>
        <w:rPr>
          <w:rFonts w:hint="eastAsia" w:ascii="Times New Roman" w:hAnsi="Times New Roman" w:eastAsia="楷体" w:cs="Times New Roman"/>
          <w:kern w:val="0"/>
          <w:sz w:val="24"/>
          <w:szCs w:val="24"/>
        </w:rPr>
        <w:t> </w:t>
      </w:r>
    </w:p>
    <w:p>
      <w:pPr>
        <w:widowControl/>
        <w:spacing w:line="360" w:lineRule="atLeast"/>
        <w:jc w:val="right"/>
        <w:rPr>
          <w:rFonts w:ascii="Times New Roman" w:hAnsi="Times New Roman" w:eastAsia="楷体" w:cs="Times New Roman"/>
          <w:kern w:val="0"/>
          <w:sz w:val="24"/>
          <w:szCs w:val="24"/>
        </w:rPr>
      </w:pPr>
      <w:r>
        <w:rPr>
          <w:rFonts w:hint="eastAsia" w:ascii="Times New Roman" w:hAnsi="Times New Roman" w:eastAsia="楷体" w:cs="Times New Roman"/>
          <w:kern w:val="0"/>
          <w:sz w:val="24"/>
          <w:szCs w:val="24"/>
        </w:rPr>
        <w:t>上海光明饲料有限公司</w:t>
      </w:r>
      <w:r>
        <w:rPr>
          <w:rFonts w:ascii="Times New Roman" w:hAnsi="Times New Roman" w:eastAsia="楷体" w:cs="Times New Roman"/>
          <w:kern w:val="0"/>
          <w:sz w:val="24"/>
          <w:szCs w:val="24"/>
        </w:rPr>
        <w:t>管理人</w:t>
      </w:r>
    </w:p>
    <w:p>
      <w:pPr>
        <w:widowControl/>
        <w:spacing w:line="360" w:lineRule="atLeast"/>
        <w:jc w:val="right"/>
        <w:rPr>
          <w:rFonts w:ascii="Times New Roman" w:hAnsi="Times New Roman" w:eastAsia="楷体" w:cs="Times New Roman"/>
          <w:kern w:val="0"/>
          <w:sz w:val="24"/>
          <w:szCs w:val="24"/>
        </w:rPr>
      </w:pPr>
      <w:r>
        <w:rPr>
          <w:rFonts w:ascii="Times New Roman" w:hAnsi="Times New Roman" w:eastAsia="楷体" w:cs="Times New Roman"/>
          <w:kern w:val="0"/>
          <w:sz w:val="24"/>
          <w:szCs w:val="24"/>
        </w:rPr>
        <w:t>二〇二</w:t>
      </w:r>
      <w:r>
        <w:rPr>
          <w:rFonts w:hint="eastAsia" w:ascii="Times New Roman" w:hAnsi="Times New Roman" w:eastAsia="楷体" w:cs="Times New Roman"/>
          <w:kern w:val="0"/>
          <w:sz w:val="24"/>
          <w:szCs w:val="24"/>
        </w:rPr>
        <w:t>四</w:t>
      </w:r>
      <w:r>
        <w:rPr>
          <w:rFonts w:ascii="Times New Roman" w:hAnsi="Times New Roman" w:eastAsia="楷体" w:cs="Times New Roman"/>
          <w:kern w:val="0"/>
          <w:sz w:val="24"/>
          <w:szCs w:val="24"/>
        </w:rPr>
        <w:t>年</w:t>
      </w:r>
      <w:r>
        <w:rPr>
          <w:rFonts w:hint="eastAsia" w:ascii="Times New Roman" w:hAnsi="Times New Roman" w:eastAsia="楷体" w:cs="Times New Roman"/>
          <w:kern w:val="0"/>
          <w:sz w:val="24"/>
          <w:szCs w:val="24"/>
        </w:rPr>
        <w:t>九</w:t>
      </w:r>
      <w:r>
        <w:rPr>
          <w:rFonts w:ascii="Times New Roman" w:hAnsi="Times New Roman" w:eastAsia="楷体" w:cs="Times New Roman"/>
          <w:kern w:val="0"/>
          <w:sz w:val="24"/>
          <w:szCs w:val="24"/>
        </w:rPr>
        <w:t>月</w:t>
      </w:r>
      <w:r>
        <w:rPr>
          <w:rFonts w:hint="eastAsia" w:ascii="Times New Roman" w:hAnsi="Times New Roman" w:eastAsia="楷体" w:cs="Times New Roman"/>
          <w:kern w:val="0"/>
          <w:sz w:val="24"/>
          <w:szCs w:val="24"/>
        </w:rPr>
        <w:t>十一</w:t>
      </w:r>
      <w:r>
        <w:rPr>
          <w:rFonts w:ascii="Times New Roman" w:hAnsi="Times New Roman" w:eastAsia="楷体" w:cs="Times New Roman"/>
          <w:kern w:val="0"/>
          <w:sz w:val="24"/>
          <w:szCs w:val="24"/>
        </w:rPr>
        <w:t>日</w:t>
      </w:r>
    </w:p>
    <w:p>
      <w:pPr>
        <w:widowControl/>
        <w:jc w:val="left"/>
        <w:rPr>
          <w:rFonts w:asciiTheme="minorEastAsia" w:hAnsiTheme="minorEastAsia"/>
          <w:sz w:val="24"/>
          <w:szCs w:val="24"/>
        </w:rPr>
      </w:pPr>
      <w:r>
        <w:rPr>
          <w:rFonts w:asciiTheme="minorEastAsia" w:hAnsiTheme="minorEastAsia"/>
          <w:sz w:val="24"/>
          <w:szCs w:val="24"/>
        </w:rPr>
        <w:br w:type="page"/>
      </w:r>
    </w:p>
    <w:p>
      <w:pPr>
        <w:widowControl/>
        <w:shd w:val="clear" w:color="auto" w:fill="FFFFFF"/>
        <w:spacing w:before="100" w:beforeAutospacing="1" w:after="100" w:afterAutospacing="1"/>
        <w:jc w:val="center"/>
        <w:rPr>
          <w:rFonts w:ascii="宋体" w:hAnsi="宋体" w:eastAsia="宋体" w:cs="宋体"/>
          <w:kern w:val="0"/>
          <w:sz w:val="24"/>
          <w:szCs w:val="24"/>
        </w:rPr>
      </w:pPr>
      <w:r>
        <w:rPr>
          <w:rFonts w:ascii="宋体" w:hAnsi="宋体" w:eastAsia="宋体" w:cs="宋体"/>
          <w:color w:val="C21F3A"/>
          <w:kern w:val="0"/>
          <w:sz w:val="30"/>
          <w:szCs w:val="30"/>
        </w:rPr>
        <w:t>标的物介绍</w:t>
      </w:r>
    </w:p>
    <w:tbl>
      <w:tblPr>
        <w:tblStyle w:val="7"/>
        <w:tblpPr w:leftFromText="180" w:rightFromText="180" w:vertAnchor="text" w:horzAnchor="page" w:tblpX="1798" w:tblpY="583"/>
        <w:tblOverlap w:val="never"/>
        <w:tblW w:w="85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22"/>
        <w:gridCol w:w="810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2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15" w:lineRule="atLeast"/>
              <w:jc w:val="center"/>
              <w:rPr>
                <w:rFonts w:ascii="宋体" w:hAnsi="宋体" w:eastAsia="宋体" w:cs="宋体"/>
                <w:kern w:val="0"/>
                <w:sz w:val="24"/>
                <w:szCs w:val="24"/>
              </w:rPr>
            </w:pPr>
            <w:bookmarkStart w:id="3" w:name="_GoBack"/>
            <w:r>
              <w:rPr>
                <w:rFonts w:ascii="宋体" w:hAnsi="宋体" w:eastAsia="宋体" w:cs="宋体"/>
                <w:kern w:val="0"/>
                <w:sz w:val="24"/>
                <w:szCs w:val="24"/>
              </w:rPr>
              <w:t>拍品概况</w:t>
            </w:r>
          </w:p>
        </w:tc>
        <w:tc>
          <w:tcPr>
            <w:tcW w:w="81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15" w:lineRule="atLeast"/>
              <w:jc w:val="left"/>
              <w:rPr>
                <w:rFonts w:ascii="宋体" w:hAnsi="宋体" w:eastAsia="宋体" w:cs="宋体"/>
                <w:kern w:val="0"/>
                <w:sz w:val="24"/>
                <w:szCs w:val="24"/>
              </w:rPr>
            </w:pPr>
            <w:r>
              <w:rPr>
                <w:rFonts w:hint="eastAsia" w:ascii="宋体" w:hAnsi="宋体" w:eastAsia="宋体" w:cs="宋体"/>
                <w:b/>
                <w:bCs/>
                <w:color w:val="FF0000"/>
                <w:kern w:val="0"/>
                <w:sz w:val="24"/>
                <w:szCs w:val="24"/>
              </w:rPr>
              <w:t>上海光明饲料有限公司破产财产-无质押部分（共</w:t>
            </w:r>
            <w:r>
              <w:rPr>
                <w:rFonts w:hint="eastAsia" w:ascii="宋体" w:hAnsi="宋体" w:eastAsia="宋体" w:cs="宋体"/>
                <w:b/>
                <w:bCs/>
                <w:color w:val="FF0000"/>
                <w:kern w:val="0"/>
                <w:sz w:val="24"/>
                <w:szCs w:val="24"/>
                <w:lang w:eastAsia="zh-CN"/>
              </w:rPr>
              <w:t>17项</w:t>
            </w:r>
            <w:r>
              <w:rPr>
                <w:rFonts w:hint="eastAsia" w:ascii="宋体" w:hAnsi="宋体" w:eastAsia="宋体" w:cs="宋体"/>
                <w:b/>
                <w:bCs/>
                <w:color w:val="FF0000"/>
                <w:kern w:val="0"/>
                <w:sz w:val="24"/>
                <w:szCs w:val="24"/>
              </w:rPr>
              <w:t>），按现状合并拍卖。</w:t>
            </w:r>
          </w:p>
          <w:tbl>
            <w:tblPr>
              <w:tblStyle w:val="7"/>
              <w:tblW w:w="9202" w:type="dxa"/>
              <w:jc w:val="center"/>
              <w:tblLayout w:type="fixed"/>
              <w:tblCellMar>
                <w:top w:w="0" w:type="dxa"/>
                <w:left w:w="0" w:type="dxa"/>
                <w:bottom w:w="0" w:type="dxa"/>
                <w:right w:w="0" w:type="dxa"/>
              </w:tblCellMar>
            </w:tblPr>
            <w:tblGrid>
              <w:gridCol w:w="456"/>
              <w:gridCol w:w="2360"/>
              <w:gridCol w:w="2187"/>
              <w:gridCol w:w="1853"/>
              <w:gridCol w:w="2346"/>
            </w:tblGrid>
            <w:tr>
              <w:tblPrEx>
                <w:tblCellMar>
                  <w:top w:w="0" w:type="dxa"/>
                  <w:left w:w="0" w:type="dxa"/>
                  <w:bottom w:w="0" w:type="dxa"/>
                  <w:right w:w="0" w:type="dxa"/>
                </w:tblCellMar>
              </w:tblPrEx>
              <w:trPr>
                <w:trHeight w:val="671" w:hRule="atLeast"/>
                <w:jc w:val="center"/>
              </w:trPr>
              <w:tc>
                <w:tcPr>
                  <w:tcW w:w="4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color w:val="000000"/>
                      <w:kern w:val="0"/>
                      <w:sz w:val="24"/>
                      <w:szCs w:val="24"/>
                    </w:rPr>
                    <w:t>序号</w:t>
                  </w:r>
                </w:p>
              </w:tc>
              <w:tc>
                <w:tcPr>
                  <w:tcW w:w="23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color w:val="000000"/>
                      <w:kern w:val="0"/>
                      <w:sz w:val="24"/>
                      <w:szCs w:val="24"/>
                    </w:rPr>
                    <w:t>名称</w:t>
                  </w:r>
                </w:p>
              </w:tc>
              <w:tc>
                <w:tcPr>
                  <w:tcW w:w="21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color w:val="000000"/>
                      <w:kern w:val="0"/>
                      <w:sz w:val="24"/>
                      <w:szCs w:val="24"/>
                    </w:rPr>
                    <w:t>未履行金额/元</w:t>
                  </w:r>
                </w:p>
              </w:tc>
              <w:tc>
                <w:tcPr>
                  <w:tcW w:w="18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color w:val="000000"/>
                      <w:kern w:val="0"/>
                      <w:sz w:val="24"/>
                      <w:szCs w:val="24"/>
                    </w:rPr>
                    <w:t>违约金</w:t>
                  </w:r>
                </w:p>
              </w:tc>
              <w:tc>
                <w:tcPr>
                  <w:tcW w:w="23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color w:val="000000"/>
                      <w:kern w:val="0"/>
                      <w:sz w:val="24"/>
                      <w:szCs w:val="24"/>
                    </w:rPr>
                    <w:t>科目</w:t>
                  </w:r>
                </w:p>
              </w:tc>
            </w:tr>
            <w:tr>
              <w:tblPrEx>
                <w:tblCellMar>
                  <w:top w:w="0" w:type="dxa"/>
                  <w:left w:w="0" w:type="dxa"/>
                  <w:bottom w:w="0" w:type="dxa"/>
                  <w:right w:w="0" w:type="dxa"/>
                </w:tblCellMar>
              </w:tblPrEx>
              <w:trPr>
                <w:trHeight w:val="340" w:hRule="atLeast"/>
                <w:jc w:val="center"/>
              </w:trPr>
              <w:tc>
                <w:tcPr>
                  <w:tcW w:w="4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color w:val="000000"/>
                      <w:kern w:val="0"/>
                      <w:sz w:val="24"/>
                      <w:szCs w:val="24"/>
                    </w:rPr>
                    <w:t>1</w:t>
                  </w:r>
                </w:p>
              </w:tc>
              <w:tc>
                <w:tcPr>
                  <w:tcW w:w="23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jc w:val="left"/>
                    <w:rPr>
                      <w:rFonts w:ascii="宋体" w:hAnsi="宋体" w:eastAsia="宋体" w:cs="宋体"/>
                      <w:kern w:val="0"/>
                      <w:sz w:val="24"/>
                      <w:szCs w:val="24"/>
                    </w:rPr>
                  </w:pPr>
                  <w:r>
                    <w:rPr>
                      <w:rFonts w:hint="eastAsia"/>
                    </w:rPr>
                    <w:t>1、江苏海欣润农业发展有限公司</w:t>
                  </w:r>
                </w:p>
              </w:tc>
              <w:tc>
                <w:tcPr>
                  <w:tcW w:w="21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宋体" w:hAnsi="宋体" w:eastAsia="宋体" w:cs="宋体"/>
                      <w:color w:val="000000"/>
                      <w:kern w:val="0"/>
                      <w:sz w:val="24"/>
                      <w:szCs w:val="24"/>
                    </w:rPr>
                  </w:pPr>
                  <w:r>
                    <w:rPr>
                      <w:rFonts w:ascii="宋体" w:hAnsi="宋体" w:eastAsia="宋体" w:cs="宋体"/>
                      <w:color w:val="000000"/>
                      <w:kern w:val="0"/>
                      <w:sz w:val="24"/>
                      <w:szCs w:val="24"/>
                    </w:rPr>
                    <w:t>8,484,144.05</w:t>
                  </w:r>
                </w:p>
              </w:tc>
              <w:tc>
                <w:tcPr>
                  <w:tcW w:w="18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宋体" w:hAnsi="宋体" w:eastAsia="宋体" w:cs="宋体"/>
                      <w:kern w:val="0"/>
                      <w:sz w:val="24"/>
                      <w:szCs w:val="24"/>
                    </w:rPr>
                  </w:pPr>
                  <w:r>
                    <w:rPr>
                      <w:rFonts w:hint="eastAsia" w:ascii="楷体" w:hAnsi="楷体" w:eastAsia="楷体" w:cs="宋体"/>
                      <w:color w:val="000000"/>
                      <w:kern w:val="0"/>
                      <w:sz w:val="28"/>
                      <w:szCs w:val="28"/>
                    </w:rPr>
                    <w:t>/</w:t>
                  </w:r>
                </w:p>
              </w:tc>
              <w:tc>
                <w:tcPr>
                  <w:tcW w:w="23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000000"/>
                      <w:kern w:val="0"/>
                      <w:sz w:val="24"/>
                      <w:szCs w:val="24"/>
                    </w:rPr>
                    <w:t>无质押</w:t>
                  </w:r>
                  <w:r>
                    <w:rPr>
                      <w:rFonts w:ascii="宋体" w:hAnsi="宋体" w:eastAsia="宋体" w:cs="宋体"/>
                      <w:color w:val="000000"/>
                      <w:kern w:val="0"/>
                      <w:sz w:val="24"/>
                      <w:szCs w:val="24"/>
                    </w:rPr>
                    <w:t>应收账款</w:t>
                  </w:r>
                </w:p>
              </w:tc>
            </w:tr>
            <w:tr>
              <w:tblPrEx>
                <w:tblCellMar>
                  <w:top w:w="0" w:type="dxa"/>
                  <w:left w:w="0" w:type="dxa"/>
                  <w:bottom w:w="0" w:type="dxa"/>
                  <w:right w:w="0" w:type="dxa"/>
                </w:tblCellMar>
              </w:tblPrEx>
              <w:trPr>
                <w:trHeight w:val="340" w:hRule="atLeast"/>
                <w:jc w:val="center"/>
              </w:trPr>
              <w:tc>
                <w:tcPr>
                  <w:tcW w:w="4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color w:val="000000"/>
                      <w:kern w:val="0"/>
                      <w:sz w:val="24"/>
                      <w:szCs w:val="24"/>
                    </w:rPr>
                    <w:t>2</w:t>
                  </w:r>
                </w:p>
              </w:tc>
              <w:tc>
                <w:tcPr>
                  <w:tcW w:w="23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jc w:val="left"/>
                    <w:rPr>
                      <w:rFonts w:ascii="宋体" w:hAnsi="宋体" w:eastAsia="宋体" w:cs="宋体"/>
                      <w:kern w:val="0"/>
                      <w:sz w:val="24"/>
                      <w:szCs w:val="24"/>
                    </w:rPr>
                  </w:pPr>
                  <w:r>
                    <w:rPr>
                      <w:rFonts w:hint="eastAsia"/>
                    </w:rPr>
                    <w:t>2、江苏省沿海农业发展有限公司</w:t>
                  </w:r>
                </w:p>
              </w:tc>
              <w:tc>
                <w:tcPr>
                  <w:tcW w:w="21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宋体" w:hAnsi="宋体" w:eastAsia="宋体" w:cs="宋体"/>
                      <w:color w:val="000000"/>
                      <w:kern w:val="0"/>
                      <w:sz w:val="24"/>
                      <w:szCs w:val="24"/>
                    </w:rPr>
                  </w:pPr>
                  <w:r>
                    <w:rPr>
                      <w:rFonts w:ascii="宋体" w:hAnsi="宋体" w:eastAsia="宋体" w:cs="宋体"/>
                      <w:color w:val="000000"/>
                      <w:kern w:val="0"/>
                      <w:sz w:val="24"/>
                      <w:szCs w:val="24"/>
                    </w:rPr>
                    <w:t>3,786,507.82</w:t>
                  </w:r>
                </w:p>
              </w:tc>
              <w:tc>
                <w:tcPr>
                  <w:tcW w:w="18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宋体" w:hAnsi="宋体" w:eastAsia="宋体" w:cs="宋体"/>
                      <w:kern w:val="0"/>
                      <w:sz w:val="24"/>
                      <w:szCs w:val="24"/>
                    </w:rPr>
                  </w:pPr>
                  <w:r>
                    <w:rPr>
                      <w:rFonts w:hint="eastAsia" w:ascii="楷体" w:hAnsi="楷体" w:eastAsia="楷体" w:cs="宋体"/>
                      <w:color w:val="000000"/>
                      <w:kern w:val="0"/>
                      <w:sz w:val="28"/>
                      <w:szCs w:val="28"/>
                    </w:rPr>
                    <w:t>/</w:t>
                  </w:r>
                </w:p>
              </w:tc>
              <w:tc>
                <w:tcPr>
                  <w:tcW w:w="23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000000"/>
                      <w:kern w:val="0"/>
                      <w:sz w:val="24"/>
                      <w:szCs w:val="24"/>
                    </w:rPr>
                    <w:t>无质押</w:t>
                  </w:r>
                  <w:r>
                    <w:rPr>
                      <w:rFonts w:ascii="宋体" w:hAnsi="宋体" w:eastAsia="宋体" w:cs="宋体"/>
                      <w:color w:val="000000"/>
                      <w:kern w:val="0"/>
                      <w:sz w:val="24"/>
                      <w:szCs w:val="24"/>
                    </w:rPr>
                    <w:t>应收账款</w:t>
                  </w:r>
                </w:p>
              </w:tc>
            </w:tr>
            <w:tr>
              <w:tblPrEx>
                <w:tblCellMar>
                  <w:top w:w="0" w:type="dxa"/>
                  <w:left w:w="0" w:type="dxa"/>
                  <w:bottom w:w="0" w:type="dxa"/>
                  <w:right w:w="0" w:type="dxa"/>
                </w:tblCellMar>
              </w:tblPrEx>
              <w:trPr>
                <w:trHeight w:val="340" w:hRule="atLeast"/>
                <w:jc w:val="center"/>
              </w:trPr>
              <w:tc>
                <w:tcPr>
                  <w:tcW w:w="4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color w:val="000000"/>
                      <w:kern w:val="0"/>
                      <w:sz w:val="24"/>
                      <w:szCs w:val="24"/>
                    </w:rPr>
                    <w:t>3</w:t>
                  </w:r>
                </w:p>
              </w:tc>
              <w:tc>
                <w:tcPr>
                  <w:tcW w:w="23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jc w:val="left"/>
                    <w:rPr>
                      <w:rFonts w:ascii="宋体" w:hAnsi="宋体" w:eastAsia="宋体" w:cs="宋体"/>
                      <w:kern w:val="0"/>
                      <w:sz w:val="24"/>
                      <w:szCs w:val="24"/>
                    </w:rPr>
                  </w:pPr>
                  <w:r>
                    <w:rPr>
                      <w:rFonts w:hint="eastAsia"/>
                    </w:rPr>
                    <w:t>3、陈友乐</w:t>
                  </w:r>
                </w:p>
              </w:tc>
              <w:tc>
                <w:tcPr>
                  <w:tcW w:w="21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宋体" w:hAnsi="宋体" w:eastAsia="宋体" w:cs="宋体"/>
                      <w:color w:val="000000"/>
                      <w:kern w:val="0"/>
                      <w:sz w:val="24"/>
                      <w:szCs w:val="24"/>
                    </w:rPr>
                  </w:pPr>
                  <w:r>
                    <w:rPr>
                      <w:rFonts w:ascii="宋体" w:hAnsi="宋体" w:eastAsia="宋体" w:cs="宋体"/>
                      <w:color w:val="000000"/>
                      <w:kern w:val="0"/>
                      <w:sz w:val="24"/>
                      <w:szCs w:val="24"/>
                    </w:rPr>
                    <w:t>1,281,560.96</w:t>
                  </w:r>
                </w:p>
              </w:tc>
              <w:tc>
                <w:tcPr>
                  <w:tcW w:w="18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宋体" w:hAnsi="宋体" w:eastAsia="宋体" w:cs="宋体"/>
                      <w:kern w:val="0"/>
                      <w:sz w:val="24"/>
                      <w:szCs w:val="24"/>
                    </w:rPr>
                  </w:pPr>
                  <w:r>
                    <w:rPr>
                      <w:rFonts w:hint="eastAsia" w:ascii="楷体" w:hAnsi="楷体" w:eastAsia="楷体" w:cs="宋体"/>
                      <w:color w:val="000000"/>
                      <w:kern w:val="0"/>
                      <w:sz w:val="28"/>
                      <w:szCs w:val="28"/>
                    </w:rPr>
                    <w:t>/</w:t>
                  </w:r>
                </w:p>
              </w:tc>
              <w:tc>
                <w:tcPr>
                  <w:tcW w:w="23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000000"/>
                      <w:kern w:val="0"/>
                      <w:sz w:val="24"/>
                      <w:szCs w:val="24"/>
                    </w:rPr>
                    <w:t>无质押</w:t>
                  </w:r>
                  <w:r>
                    <w:rPr>
                      <w:rFonts w:ascii="宋体" w:hAnsi="宋体" w:eastAsia="宋体" w:cs="宋体"/>
                      <w:color w:val="000000"/>
                      <w:kern w:val="0"/>
                      <w:sz w:val="24"/>
                      <w:szCs w:val="24"/>
                    </w:rPr>
                    <w:t>应收账款</w:t>
                  </w:r>
                </w:p>
              </w:tc>
            </w:tr>
            <w:tr>
              <w:tblPrEx>
                <w:tblCellMar>
                  <w:top w:w="0" w:type="dxa"/>
                  <w:left w:w="0" w:type="dxa"/>
                  <w:bottom w:w="0" w:type="dxa"/>
                  <w:right w:w="0" w:type="dxa"/>
                </w:tblCellMar>
              </w:tblPrEx>
              <w:trPr>
                <w:trHeight w:val="340" w:hRule="atLeast"/>
                <w:jc w:val="center"/>
              </w:trPr>
              <w:tc>
                <w:tcPr>
                  <w:tcW w:w="4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color w:val="000000"/>
                      <w:kern w:val="0"/>
                      <w:sz w:val="24"/>
                      <w:szCs w:val="24"/>
                    </w:rPr>
                    <w:t>4</w:t>
                  </w:r>
                </w:p>
              </w:tc>
              <w:tc>
                <w:tcPr>
                  <w:tcW w:w="23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jc w:val="left"/>
                    <w:rPr>
                      <w:rFonts w:ascii="宋体" w:hAnsi="宋体" w:eastAsia="宋体" w:cs="宋体"/>
                      <w:kern w:val="0"/>
                      <w:sz w:val="24"/>
                      <w:szCs w:val="24"/>
                    </w:rPr>
                  </w:pPr>
                  <w:r>
                    <w:rPr>
                      <w:rFonts w:hint="eastAsia"/>
                    </w:rPr>
                    <w:t>4、李清白</w:t>
                  </w:r>
                </w:p>
              </w:tc>
              <w:tc>
                <w:tcPr>
                  <w:tcW w:w="21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宋体" w:hAnsi="宋体" w:eastAsia="宋体" w:cs="宋体"/>
                      <w:color w:val="000000"/>
                      <w:kern w:val="0"/>
                      <w:sz w:val="24"/>
                      <w:szCs w:val="24"/>
                    </w:rPr>
                  </w:pPr>
                  <w:r>
                    <w:rPr>
                      <w:rFonts w:ascii="宋体" w:hAnsi="宋体" w:eastAsia="宋体" w:cs="宋体"/>
                      <w:color w:val="000000"/>
                      <w:kern w:val="0"/>
                      <w:sz w:val="24"/>
                      <w:szCs w:val="24"/>
                    </w:rPr>
                    <w:t>1,115,122.67</w:t>
                  </w:r>
                </w:p>
              </w:tc>
              <w:tc>
                <w:tcPr>
                  <w:tcW w:w="18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宋体" w:hAnsi="宋体" w:eastAsia="宋体" w:cs="宋体"/>
                      <w:kern w:val="0"/>
                      <w:sz w:val="24"/>
                      <w:szCs w:val="24"/>
                    </w:rPr>
                  </w:pPr>
                  <w:r>
                    <w:rPr>
                      <w:rFonts w:hint="eastAsia" w:ascii="楷体" w:hAnsi="楷体" w:eastAsia="楷体" w:cs="宋体"/>
                      <w:color w:val="000000"/>
                      <w:kern w:val="0"/>
                      <w:sz w:val="28"/>
                      <w:szCs w:val="28"/>
                    </w:rPr>
                    <w:t>/</w:t>
                  </w:r>
                </w:p>
              </w:tc>
              <w:tc>
                <w:tcPr>
                  <w:tcW w:w="23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000000"/>
                      <w:kern w:val="0"/>
                      <w:sz w:val="24"/>
                      <w:szCs w:val="24"/>
                    </w:rPr>
                    <w:t>无质押</w:t>
                  </w:r>
                  <w:r>
                    <w:rPr>
                      <w:rFonts w:ascii="宋体" w:hAnsi="宋体" w:eastAsia="宋体" w:cs="宋体"/>
                      <w:color w:val="000000"/>
                      <w:kern w:val="0"/>
                      <w:sz w:val="24"/>
                      <w:szCs w:val="24"/>
                    </w:rPr>
                    <w:t>应收账款</w:t>
                  </w:r>
                </w:p>
              </w:tc>
            </w:tr>
            <w:tr>
              <w:tblPrEx>
                <w:tblCellMar>
                  <w:top w:w="0" w:type="dxa"/>
                  <w:left w:w="0" w:type="dxa"/>
                  <w:bottom w:w="0" w:type="dxa"/>
                  <w:right w:w="0" w:type="dxa"/>
                </w:tblCellMar>
              </w:tblPrEx>
              <w:trPr>
                <w:trHeight w:val="340" w:hRule="atLeast"/>
                <w:jc w:val="center"/>
              </w:trPr>
              <w:tc>
                <w:tcPr>
                  <w:tcW w:w="4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color w:val="000000"/>
                      <w:kern w:val="0"/>
                      <w:sz w:val="24"/>
                      <w:szCs w:val="24"/>
                    </w:rPr>
                    <w:t>5</w:t>
                  </w:r>
                </w:p>
              </w:tc>
              <w:tc>
                <w:tcPr>
                  <w:tcW w:w="23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jc w:val="left"/>
                    <w:rPr>
                      <w:rFonts w:ascii="宋体" w:hAnsi="宋体" w:eastAsia="宋体" w:cs="宋体"/>
                      <w:kern w:val="0"/>
                      <w:sz w:val="24"/>
                      <w:szCs w:val="24"/>
                    </w:rPr>
                  </w:pPr>
                  <w:r>
                    <w:rPr>
                      <w:rFonts w:hint="eastAsia"/>
                    </w:rPr>
                    <w:t>5、郁步祥</w:t>
                  </w:r>
                </w:p>
              </w:tc>
              <w:tc>
                <w:tcPr>
                  <w:tcW w:w="21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宋体" w:hAnsi="宋体" w:eastAsia="宋体" w:cs="宋体"/>
                      <w:color w:val="000000"/>
                      <w:kern w:val="0"/>
                      <w:sz w:val="24"/>
                      <w:szCs w:val="24"/>
                    </w:rPr>
                  </w:pPr>
                  <w:r>
                    <w:rPr>
                      <w:rFonts w:ascii="宋体" w:hAnsi="宋体" w:eastAsia="宋体" w:cs="宋体"/>
                      <w:color w:val="000000"/>
                      <w:kern w:val="0"/>
                      <w:sz w:val="24"/>
                      <w:szCs w:val="24"/>
                    </w:rPr>
                    <w:t>464,200.00</w:t>
                  </w:r>
                </w:p>
              </w:tc>
              <w:tc>
                <w:tcPr>
                  <w:tcW w:w="18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宋体" w:hAnsi="宋体" w:eastAsia="宋体" w:cs="宋体"/>
                      <w:kern w:val="0"/>
                      <w:sz w:val="24"/>
                      <w:szCs w:val="24"/>
                    </w:rPr>
                  </w:pPr>
                  <w:r>
                    <w:rPr>
                      <w:rFonts w:hint="eastAsia" w:ascii="楷体" w:hAnsi="楷体" w:eastAsia="楷体" w:cs="宋体"/>
                      <w:color w:val="000000"/>
                      <w:kern w:val="0"/>
                      <w:sz w:val="28"/>
                      <w:szCs w:val="28"/>
                    </w:rPr>
                    <w:t>/</w:t>
                  </w:r>
                </w:p>
              </w:tc>
              <w:tc>
                <w:tcPr>
                  <w:tcW w:w="23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000000"/>
                      <w:kern w:val="0"/>
                      <w:sz w:val="24"/>
                      <w:szCs w:val="24"/>
                    </w:rPr>
                    <w:t>无质押</w:t>
                  </w:r>
                  <w:r>
                    <w:rPr>
                      <w:rFonts w:ascii="宋体" w:hAnsi="宋体" w:eastAsia="宋体" w:cs="宋体"/>
                      <w:color w:val="000000"/>
                      <w:kern w:val="0"/>
                      <w:sz w:val="24"/>
                      <w:szCs w:val="24"/>
                    </w:rPr>
                    <w:t>应收账款</w:t>
                  </w:r>
                </w:p>
              </w:tc>
            </w:tr>
            <w:tr>
              <w:tblPrEx>
                <w:tblCellMar>
                  <w:top w:w="0" w:type="dxa"/>
                  <w:left w:w="0" w:type="dxa"/>
                  <w:bottom w:w="0" w:type="dxa"/>
                  <w:right w:w="0" w:type="dxa"/>
                </w:tblCellMar>
              </w:tblPrEx>
              <w:trPr>
                <w:trHeight w:val="340" w:hRule="atLeast"/>
                <w:jc w:val="center"/>
              </w:trPr>
              <w:tc>
                <w:tcPr>
                  <w:tcW w:w="4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color w:val="000000"/>
                      <w:kern w:val="0"/>
                      <w:sz w:val="24"/>
                      <w:szCs w:val="24"/>
                    </w:rPr>
                    <w:t>7</w:t>
                  </w:r>
                </w:p>
              </w:tc>
              <w:tc>
                <w:tcPr>
                  <w:tcW w:w="23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jc w:val="left"/>
                    <w:rPr>
                      <w:rFonts w:ascii="宋体" w:hAnsi="宋体" w:eastAsia="宋体" w:cs="宋体"/>
                      <w:kern w:val="0"/>
                      <w:sz w:val="24"/>
                      <w:szCs w:val="24"/>
                    </w:rPr>
                  </w:pPr>
                  <w:r>
                    <w:t>6</w:t>
                  </w:r>
                  <w:r>
                    <w:rPr>
                      <w:rFonts w:hint="eastAsia"/>
                    </w:rPr>
                    <w:t>、江苏尚宝牧业有限公司</w:t>
                  </w:r>
                </w:p>
              </w:tc>
              <w:tc>
                <w:tcPr>
                  <w:tcW w:w="21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宋体" w:hAnsi="宋体" w:eastAsia="宋体" w:cs="宋体"/>
                      <w:color w:val="000000"/>
                      <w:kern w:val="0"/>
                      <w:sz w:val="24"/>
                      <w:szCs w:val="24"/>
                    </w:rPr>
                  </w:pPr>
                  <w:r>
                    <w:rPr>
                      <w:rFonts w:ascii="宋体" w:hAnsi="宋体" w:eastAsia="宋体" w:cs="宋体"/>
                      <w:color w:val="000000"/>
                      <w:kern w:val="0"/>
                      <w:sz w:val="24"/>
                      <w:szCs w:val="24"/>
                    </w:rPr>
                    <w:t>7,786.11</w:t>
                  </w:r>
                </w:p>
              </w:tc>
              <w:tc>
                <w:tcPr>
                  <w:tcW w:w="18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宋体" w:hAnsi="宋体" w:eastAsia="宋体" w:cs="宋体"/>
                      <w:kern w:val="0"/>
                      <w:sz w:val="24"/>
                      <w:szCs w:val="24"/>
                    </w:rPr>
                  </w:pPr>
                  <w:r>
                    <w:rPr>
                      <w:rFonts w:hint="eastAsia" w:ascii="楷体" w:hAnsi="楷体" w:eastAsia="楷体" w:cs="宋体"/>
                      <w:color w:val="000000"/>
                      <w:kern w:val="0"/>
                      <w:sz w:val="28"/>
                      <w:szCs w:val="28"/>
                    </w:rPr>
                    <w:t>/</w:t>
                  </w:r>
                </w:p>
              </w:tc>
              <w:tc>
                <w:tcPr>
                  <w:tcW w:w="23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000000"/>
                      <w:kern w:val="0"/>
                      <w:sz w:val="24"/>
                      <w:szCs w:val="24"/>
                    </w:rPr>
                    <w:t>无质押</w:t>
                  </w:r>
                  <w:r>
                    <w:rPr>
                      <w:rFonts w:ascii="宋体" w:hAnsi="宋体" w:eastAsia="宋体" w:cs="宋体"/>
                      <w:color w:val="000000"/>
                      <w:kern w:val="0"/>
                      <w:sz w:val="24"/>
                      <w:szCs w:val="24"/>
                    </w:rPr>
                    <w:t>应收账款</w:t>
                  </w:r>
                </w:p>
              </w:tc>
            </w:tr>
            <w:tr>
              <w:tblPrEx>
                <w:tblCellMar>
                  <w:top w:w="0" w:type="dxa"/>
                  <w:left w:w="0" w:type="dxa"/>
                  <w:bottom w:w="0" w:type="dxa"/>
                  <w:right w:w="0" w:type="dxa"/>
                </w:tblCellMar>
              </w:tblPrEx>
              <w:trPr>
                <w:trHeight w:val="340" w:hRule="atLeast"/>
                <w:jc w:val="center"/>
              </w:trPr>
              <w:tc>
                <w:tcPr>
                  <w:tcW w:w="4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color w:val="000000"/>
                      <w:kern w:val="0"/>
                      <w:sz w:val="24"/>
                      <w:szCs w:val="24"/>
                    </w:rPr>
                    <w:t>8</w:t>
                  </w:r>
                </w:p>
              </w:tc>
              <w:tc>
                <w:tcPr>
                  <w:tcW w:w="23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jc w:val="left"/>
                    <w:rPr>
                      <w:rFonts w:ascii="宋体" w:hAnsi="宋体" w:eastAsia="宋体" w:cs="宋体"/>
                      <w:kern w:val="0"/>
                      <w:sz w:val="24"/>
                      <w:szCs w:val="24"/>
                    </w:rPr>
                  </w:pPr>
                  <w:r>
                    <w:t>7</w:t>
                  </w:r>
                  <w:r>
                    <w:rPr>
                      <w:rFonts w:hint="eastAsia"/>
                    </w:rPr>
                    <w:t>、常州大江饲料有限公司</w:t>
                  </w:r>
                </w:p>
              </w:tc>
              <w:tc>
                <w:tcPr>
                  <w:tcW w:w="21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宋体" w:hAnsi="宋体" w:eastAsia="宋体" w:cs="宋体"/>
                      <w:color w:val="000000"/>
                      <w:kern w:val="0"/>
                      <w:sz w:val="24"/>
                      <w:szCs w:val="24"/>
                    </w:rPr>
                  </w:pPr>
                  <w:r>
                    <w:rPr>
                      <w:rFonts w:ascii="宋体" w:hAnsi="宋体" w:eastAsia="宋体" w:cs="宋体"/>
                      <w:color w:val="000000"/>
                      <w:kern w:val="0"/>
                      <w:sz w:val="24"/>
                      <w:szCs w:val="24"/>
                    </w:rPr>
                    <w:t>8,314,457.02</w:t>
                  </w:r>
                </w:p>
              </w:tc>
              <w:tc>
                <w:tcPr>
                  <w:tcW w:w="18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宋体" w:hAnsi="宋体" w:eastAsia="宋体" w:cs="宋体"/>
                      <w:kern w:val="0"/>
                      <w:sz w:val="24"/>
                      <w:szCs w:val="24"/>
                    </w:rPr>
                  </w:pPr>
                  <w:r>
                    <w:rPr>
                      <w:rFonts w:hint="eastAsia" w:ascii="楷体" w:hAnsi="楷体" w:eastAsia="楷体" w:cs="宋体"/>
                      <w:color w:val="000000"/>
                      <w:kern w:val="0"/>
                      <w:sz w:val="28"/>
                      <w:szCs w:val="28"/>
                    </w:rPr>
                    <w:t>/</w:t>
                  </w:r>
                </w:p>
              </w:tc>
              <w:tc>
                <w:tcPr>
                  <w:tcW w:w="23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000000"/>
                      <w:kern w:val="0"/>
                      <w:sz w:val="24"/>
                      <w:szCs w:val="24"/>
                    </w:rPr>
                    <w:t>无质押</w:t>
                  </w:r>
                  <w:r>
                    <w:rPr>
                      <w:rFonts w:ascii="宋体" w:hAnsi="宋体" w:eastAsia="宋体" w:cs="宋体"/>
                      <w:color w:val="000000"/>
                      <w:kern w:val="0"/>
                      <w:sz w:val="24"/>
                      <w:szCs w:val="24"/>
                    </w:rPr>
                    <w:t>应收账款</w:t>
                  </w:r>
                </w:p>
              </w:tc>
            </w:tr>
            <w:tr>
              <w:tblPrEx>
                <w:tblCellMar>
                  <w:top w:w="0" w:type="dxa"/>
                  <w:left w:w="0" w:type="dxa"/>
                  <w:bottom w:w="0" w:type="dxa"/>
                  <w:right w:w="0" w:type="dxa"/>
                </w:tblCellMar>
              </w:tblPrEx>
              <w:trPr>
                <w:trHeight w:val="687" w:hRule="atLeast"/>
                <w:jc w:val="center"/>
              </w:trPr>
              <w:tc>
                <w:tcPr>
                  <w:tcW w:w="4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color w:val="000000"/>
                      <w:kern w:val="0"/>
                      <w:sz w:val="24"/>
                      <w:szCs w:val="24"/>
                    </w:rPr>
                    <w:t>9</w:t>
                  </w:r>
                </w:p>
              </w:tc>
              <w:tc>
                <w:tcPr>
                  <w:tcW w:w="2360" w:type="dxa"/>
                  <w:vMerge w:val="restart"/>
                  <w:tcBorders>
                    <w:top w:val="single" w:color="auto" w:sz="8" w:space="0"/>
                    <w:left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left"/>
                    <w:rPr>
                      <w:rFonts w:ascii="宋体" w:hAnsi="宋体" w:eastAsia="宋体" w:cs="宋体"/>
                      <w:kern w:val="0"/>
                      <w:sz w:val="24"/>
                      <w:szCs w:val="24"/>
                    </w:rPr>
                  </w:pPr>
                  <w:r>
                    <w:t>8/9</w:t>
                  </w:r>
                  <w:r>
                    <w:rPr>
                      <w:rFonts w:hint="eastAsia"/>
                    </w:rPr>
                    <w:t>、江苏省沿海开发（东台）有限公司</w:t>
                  </w:r>
                </w:p>
              </w:tc>
              <w:tc>
                <w:tcPr>
                  <w:tcW w:w="21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宋体" w:hAnsi="宋体" w:eastAsia="宋体" w:cs="宋体"/>
                      <w:color w:val="000000"/>
                      <w:kern w:val="0"/>
                      <w:sz w:val="24"/>
                      <w:szCs w:val="24"/>
                    </w:rPr>
                  </w:pPr>
                  <w:r>
                    <w:rPr>
                      <w:rFonts w:ascii="宋体" w:hAnsi="宋体" w:eastAsia="宋体" w:cs="宋体"/>
                      <w:color w:val="000000"/>
                      <w:kern w:val="0"/>
                      <w:sz w:val="24"/>
                      <w:szCs w:val="24"/>
                    </w:rPr>
                    <w:t>6,791,100.00</w:t>
                  </w:r>
                </w:p>
              </w:tc>
              <w:tc>
                <w:tcPr>
                  <w:tcW w:w="18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宋体" w:hAnsi="宋体" w:eastAsia="宋体" w:cs="宋体"/>
                      <w:kern w:val="0"/>
                      <w:sz w:val="24"/>
                      <w:szCs w:val="24"/>
                    </w:rPr>
                  </w:pPr>
                  <w:r>
                    <w:rPr>
                      <w:rFonts w:hint="eastAsia" w:ascii="楷体" w:hAnsi="楷体" w:eastAsia="楷体" w:cs="宋体"/>
                      <w:color w:val="000000"/>
                      <w:kern w:val="0"/>
                      <w:sz w:val="28"/>
                      <w:szCs w:val="28"/>
                    </w:rPr>
                    <w:t>/</w:t>
                  </w:r>
                </w:p>
              </w:tc>
              <w:tc>
                <w:tcPr>
                  <w:tcW w:w="23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000000"/>
                      <w:kern w:val="0"/>
                      <w:sz w:val="24"/>
                      <w:szCs w:val="24"/>
                    </w:rPr>
                    <w:t>无质押</w:t>
                  </w:r>
                  <w:r>
                    <w:rPr>
                      <w:rFonts w:ascii="宋体" w:hAnsi="宋体" w:eastAsia="宋体" w:cs="宋体"/>
                      <w:color w:val="000000"/>
                      <w:kern w:val="0"/>
                      <w:sz w:val="24"/>
                      <w:szCs w:val="24"/>
                    </w:rPr>
                    <w:t>应收账款</w:t>
                  </w:r>
                </w:p>
              </w:tc>
            </w:tr>
            <w:tr>
              <w:tblPrEx>
                <w:tblCellMar>
                  <w:top w:w="0" w:type="dxa"/>
                  <w:left w:w="0" w:type="dxa"/>
                  <w:bottom w:w="0" w:type="dxa"/>
                  <w:right w:w="0" w:type="dxa"/>
                </w:tblCellMar>
              </w:tblPrEx>
              <w:trPr>
                <w:trHeight w:val="340" w:hRule="atLeast"/>
                <w:jc w:val="center"/>
              </w:trPr>
              <w:tc>
                <w:tcPr>
                  <w:tcW w:w="4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color w:val="000000"/>
                      <w:kern w:val="0"/>
                      <w:sz w:val="24"/>
                      <w:szCs w:val="24"/>
                    </w:rPr>
                    <w:t>10</w:t>
                  </w:r>
                </w:p>
              </w:tc>
              <w:tc>
                <w:tcPr>
                  <w:tcW w:w="2360" w:type="dxa"/>
                  <w:vMerge w:val="continue"/>
                  <w:tcBorders>
                    <w:left w:val="single" w:color="auto" w:sz="8" w:space="0"/>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jc w:val="left"/>
                    <w:rPr>
                      <w:rFonts w:ascii="宋体" w:hAnsi="宋体" w:eastAsia="宋体" w:cs="宋体"/>
                      <w:kern w:val="0"/>
                      <w:sz w:val="24"/>
                      <w:szCs w:val="24"/>
                    </w:rPr>
                  </w:pPr>
                </w:p>
              </w:tc>
              <w:tc>
                <w:tcPr>
                  <w:tcW w:w="21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宋体" w:hAnsi="宋体" w:eastAsia="宋体" w:cs="宋体"/>
                      <w:color w:val="000000"/>
                      <w:kern w:val="0"/>
                      <w:sz w:val="24"/>
                      <w:szCs w:val="24"/>
                    </w:rPr>
                  </w:pPr>
                  <w:r>
                    <w:rPr>
                      <w:rFonts w:ascii="宋体" w:hAnsi="宋体" w:eastAsia="宋体" w:cs="宋体"/>
                      <w:color w:val="000000"/>
                      <w:kern w:val="0"/>
                      <w:sz w:val="24"/>
                      <w:szCs w:val="24"/>
                    </w:rPr>
                    <w:t>36,800.00</w:t>
                  </w:r>
                </w:p>
              </w:tc>
              <w:tc>
                <w:tcPr>
                  <w:tcW w:w="18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宋体" w:hAnsi="宋体" w:eastAsia="宋体" w:cs="宋体"/>
                      <w:kern w:val="0"/>
                      <w:sz w:val="24"/>
                      <w:szCs w:val="24"/>
                    </w:rPr>
                  </w:pPr>
                  <w:r>
                    <w:rPr>
                      <w:rFonts w:hint="eastAsia" w:ascii="楷体" w:hAnsi="楷体" w:eastAsia="楷体" w:cs="宋体"/>
                      <w:color w:val="000000"/>
                      <w:kern w:val="0"/>
                      <w:sz w:val="28"/>
                      <w:szCs w:val="28"/>
                    </w:rPr>
                    <w:t>/</w:t>
                  </w:r>
                </w:p>
              </w:tc>
              <w:tc>
                <w:tcPr>
                  <w:tcW w:w="23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000000"/>
                      <w:kern w:val="0"/>
                      <w:sz w:val="24"/>
                      <w:szCs w:val="24"/>
                    </w:rPr>
                    <w:t>无质押</w:t>
                  </w:r>
                  <w:r>
                    <w:rPr>
                      <w:rFonts w:ascii="宋体" w:hAnsi="宋体" w:eastAsia="宋体" w:cs="宋体"/>
                      <w:color w:val="000000"/>
                      <w:kern w:val="0"/>
                      <w:sz w:val="24"/>
                      <w:szCs w:val="24"/>
                    </w:rPr>
                    <w:t>应收账款</w:t>
                  </w:r>
                </w:p>
              </w:tc>
            </w:tr>
            <w:tr>
              <w:tblPrEx>
                <w:tblCellMar>
                  <w:top w:w="0" w:type="dxa"/>
                  <w:left w:w="0" w:type="dxa"/>
                  <w:bottom w:w="0" w:type="dxa"/>
                  <w:right w:w="0" w:type="dxa"/>
                </w:tblCellMar>
              </w:tblPrEx>
              <w:trPr>
                <w:trHeight w:val="340" w:hRule="atLeast"/>
                <w:jc w:val="center"/>
              </w:trPr>
              <w:tc>
                <w:tcPr>
                  <w:tcW w:w="4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color w:val="000000"/>
                      <w:kern w:val="0"/>
                      <w:sz w:val="24"/>
                      <w:szCs w:val="24"/>
                      <w:shd w:val="clear" w:color="auto" w:fill="FFFF00"/>
                    </w:rPr>
                    <w:t>11</w:t>
                  </w:r>
                </w:p>
              </w:tc>
              <w:tc>
                <w:tcPr>
                  <w:tcW w:w="23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jc w:val="left"/>
                    <w:rPr>
                      <w:rFonts w:ascii="宋体" w:hAnsi="宋体" w:eastAsia="宋体" w:cs="宋体"/>
                      <w:kern w:val="0"/>
                      <w:sz w:val="24"/>
                      <w:szCs w:val="24"/>
                    </w:rPr>
                  </w:pPr>
                  <w:r>
                    <w:rPr>
                      <w:rFonts w:hint="eastAsia"/>
                    </w:rPr>
                    <w:t>1</w:t>
                  </w:r>
                  <w:r>
                    <w:t>0</w:t>
                  </w:r>
                  <w:r>
                    <w:rPr>
                      <w:rFonts w:hint="eastAsia"/>
                    </w:rPr>
                    <w:t>、法院扣款（冻结控制下扣款）</w:t>
                  </w:r>
                </w:p>
              </w:tc>
              <w:tc>
                <w:tcPr>
                  <w:tcW w:w="21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宋体" w:hAnsi="宋体" w:eastAsia="宋体" w:cs="宋体"/>
                      <w:color w:val="000000"/>
                      <w:kern w:val="0"/>
                      <w:sz w:val="24"/>
                      <w:szCs w:val="24"/>
                    </w:rPr>
                  </w:pPr>
                  <w:r>
                    <w:rPr>
                      <w:rFonts w:ascii="宋体" w:hAnsi="宋体" w:eastAsia="宋体" w:cs="宋体"/>
                      <w:color w:val="000000"/>
                      <w:kern w:val="0"/>
                      <w:sz w:val="24"/>
                      <w:szCs w:val="24"/>
                    </w:rPr>
                    <w:t>526,977.22</w:t>
                  </w:r>
                </w:p>
              </w:tc>
              <w:tc>
                <w:tcPr>
                  <w:tcW w:w="18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宋体" w:hAnsi="宋体" w:eastAsia="宋体" w:cs="宋体"/>
                      <w:kern w:val="0"/>
                      <w:sz w:val="24"/>
                      <w:szCs w:val="24"/>
                    </w:rPr>
                  </w:pPr>
                  <w:r>
                    <w:rPr>
                      <w:rFonts w:hint="eastAsia" w:ascii="楷体" w:hAnsi="楷体" w:eastAsia="楷体" w:cs="宋体"/>
                      <w:color w:val="000000"/>
                      <w:kern w:val="0"/>
                      <w:sz w:val="28"/>
                      <w:szCs w:val="28"/>
                    </w:rPr>
                    <w:t>/</w:t>
                  </w:r>
                </w:p>
              </w:tc>
              <w:tc>
                <w:tcPr>
                  <w:tcW w:w="23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000000"/>
                      <w:kern w:val="0"/>
                      <w:sz w:val="24"/>
                      <w:szCs w:val="24"/>
                    </w:rPr>
                    <w:t>无质押</w:t>
                  </w:r>
                  <w:r>
                    <w:rPr>
                      <w:rFonts w:ascii="宋体" w:hAnsi="宋体" w:eastAsia="宋体" w:cs="宋体"/>
                      <w:color w:val="000000"/>
                      <w:kern w:val="0"/>
                      <w:sz w:val="24"/>
                      <w:szCs w:val="24"/>
                    </w:rPr>
                    <w:t>应收账款</w:t>
                  </w:r>
                </w:p>
              </w:tc>
            </w:tr>
            <w:tr>
              <w:tblPrEx>
                <w:tblCellMar>
                  <w:top w:w="0" w:type="dxa"/>
                  <w:left w:w="0" w:type="dxa"/>
                  <w:bottom w:w="0" w:type="dxa"/>
                  <w:right w:w="0" w:type="dxa"/>
                </w:tblCellMar>
              </w:tblPrEx>
              <w:trPr>
                <w:trHeight w:val="340" w:hRule="atLeast"/>
                <w:jc w:val="center"/>
              </w:trPr>
              <w:tc>
                <w:tcPr>
                  <w:tcW w:w="4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color w:val="000000"/>
                      <w:kern w:val="0"/>
                      <w:sz w:val="24"/>
                      <w:szCs w:val="24"/>
                    </w:rPr>
                    <w:t>12</w:t>
                  </w:r>
                </w:p>
              </w:tc>
              <w:tc>
                <w:tcPr>
                  <w:tcW w:w="23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jc w:val="left"/>
                    <w:rPr>
                      <w:rFonts w:ascii="宋体" w:hAnsi="宋体" w:eastAsia="宋体" w:cs="宋体"/>
                      <w:kern w:val="0"/>
                      <w:sz w:val="24"/>
                      <w:szCs w:val="24"/>
                    </w:rPr>
                  </w:pPr>
                  <w:r>
                    <w:rPr>
                      <w:rFonts w:hint="eastAsia"/>
                    </w:rPr>
                    <w:t>1</w:t>
                  </w:r>
                  <w:r>
                    <w:t>1</w:t>
                  </w:r>
                  <w:r>
                    <w:rPr>
                      <w:rFonts w:hint="eastAsia"/>
                    </w:rPr>
                    <w:t>、江苏尚宝牧业有限公司</w:t>
                  </w:r>
                </w:p>
              </w:tc>
              <w:tc>
                <w:tcPr>
                  <w:tcW w:w="21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宋体" w:hAnsi="宋体" w:eastAsia="宋体" w:cs="宋体"/>
                      <w:color w:val="000000"/>
                      <w:kern w:val="0"/>
                      <w:sz w:val="24"/>
                      <w:szCs w:val="24"/>
                    </w:rPr>
                  </w:pPr>
                  <w:r>
                    <w:rPr>
                      <w:rFonts w:ascii="宋体" w:hAnsi="宋体" w:eastAsia="宋体" w:cs="宋体"/>
                      <w:color w:val="000000"/>
                      <w:kern w:val="0"/>
                      <w:sz w:val="24"/>
                      <w:szCs w:val="24"/>
                    </w:rPr>
                    <w:t>20,000.00</w:t>
                  </w:r>
                </w:p>
              </w:tc>
              <w:tc>
                <w:tcPr>
                  <w:tcW w:w="18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宋体" w:hAnsi="宋体" w:eastAsia="宋体" w:cs="宋体"/>
                      <w:kern w:val="0"/>
                      <w:sz w:val="24"/>
                      <w:szCs w:val="24"/>
                    </w:rPr>
                  </w:pPr>
                  <w:r>
                    <w:rPr>
                      <w:rFonts w:hint="eastAsia" w:ascii="楷体" w:hAnsi="楷体" w:eastAsia="楷体" w:cs="宋体"/>
                      <w:color w:val="000000"/>
                      <w:kern w:val="0"/>
                      <w:sz w:val="28"/>
                      <w:szCs w:val="28"/>
                    </w:rPr>
                    <w:t>/</w:t>
                  </w:r>
                </w:p>
              </w:tc>
              <w:tc>
                <w:tcPr>
                  <w:tcW w:w="23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000000"/>
                      <w:kern w:val="0"/>
                      <w:sz w:val="24"/>
                      <w:szCs w:val="24"/>
                    </w:rPr>
                    <w:t>无质押</w:t>
                  </w:r>
                  <w:r>
                    <w:rPr>
                      <w:rFonts w:ascii="宋体" w:hAnsi="宋体" w:eastAsia="宋体" w:cs="宋体"/>
                      <w:color w:val="000000"/>
                      <w:kern w:val="0"/>
                      <w:sz w:val="24"/>
                      <w:szCs w:val="24"/>
                    </w:rPr>
                    <w:t>应收账款</w:t>
                  </w:r>
                </w:p>
              </w:tc>
            </w:tr>
            <w:tr>
              <w:tblPrEx>
                <w:tblCellMar>
                  <w:top w:w="0" w:type="dxa"/>
                  <w:left w:w="0" w:type="dxa"/>
                  <w:bottom w:w="0" w:type="dxa"/>
                  <w:right w:w="0" w:type="dxa"/>
                </w:tblCellMar>
              </w:tblPrEx>
              <w:trPr>
                <w:trHeight w:val="340" w:hRule="atLeast"/>
                <w:jc w:val="center"/>
              </w:trPr>
              <w:tc>
                <w:tcPr>
                  <w:tcW w:w="4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color w:val="000000"/>
                      <w:kern w:val="0"/>
                      <w:sz w:val="24"/>
                      <w:szCs w:val="24"/>
                      <w:shd w:val="clear" w:color="auto" w:fill="FFFF00"/>
                    </w:rPr>
                    <w:t>13</w:t>
                  </w:r>
                </w:p>
              </w:tc>
              <w:tc>
                <w:tcPr>
                  <w:tcW w:w="23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jc w:val="left"/>
                    <w:rPr>
                      <w:rFonts w:ascii="宋体" w:hAnsi="宋体" w:eastAsia="宋体" w:cs="宋体"/>
                      <w:kern w:val="0"/>
                      <w:sz w:val="24"/>
                      <w:szCs w:val="24"/>
                    </w:rPr>
                  </w:pPr>
                  <w:r>
                    <w:rPr>
                      <w:rFonts w:hint="eastAsia"/>
                    </w:rPr>
                    <w:t>1</w:t>
                  </w:r>
                  <w:r>
                    <w:t>2</w:t>
                  </w:r>
                  <w:r>
                    <w:rPr>
                      <w:rFonts w:hint="eastAsia"/>
                    </w:rPr>
                    <w:t>、李群</w:t>
                  </w:r>
                </w:p>
              </w:tc>
              <w:tc>
                <w:tcPr>
                  <w:tcW w:w="21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宋体" w:hAnsi="宋体" w:eastAsia="宋体" w:cs="宋体"/>
                      <w:color w:val="000000"/>
                      <w:kern w:val="0"/>
                      <w:sz w:val="24"/>
                      <w:szCs w:val="24"/>
                    </w:rPr>
                  </w:pPr>
                  <w:r>
                    <w:rPr>
                      <w:rFonts w:ascii="宋体" w:hAnsi="宋体" w:eastAsia="宋体" w:cs="宋体"/>
                      <w:color w:val="000000"/>
                      <w:kern w:val="0"/>
                      <w:sz w:val="24"/>
                      <w:szCs w:val="24"/>
                    </w:rPr>
                    <w:t>8,832.50</w:t>
                  </w:r>
                </w:p>
              </w:tc>
              <w:tc>
                <w:tcPr>
                  <w:tcW w:w="18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宋体" w:hAnsi="宋体" w:eastAsia="宋体" w:cs="宋体"/>
                      <w:kern w:val="0"/>
                      <w:sz w:val="24"/>
                      <w:szCs w:val="24"/>
                    </w:rPr>
                  </w:pPr>
                  <w:r>
                    <w:rPr>
                      <w:rFonts w:hint="eastAsia" w:ascii="楷体" w:hAnsi="楷体" w:eastAsia="楷体" w:cs="宋体"/>
                      <w:color w:val="000000"/>
                      <w:kern w:val="0"/>
                      <w:sz w:val="28"/>
                      <w:szCs w:val="28"/>
                    </w:rPr>
                    <w:t>/</w:t>
                  </w:r>
                </w:p>
              </w:tc>
              <w:tc>
                <w:tcPr>
                  <w:tcW w:w="23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000000"/>
                      <w:kern w:val="0"/>
                      <w:sz w:val="24"/>
                      <w:szCs w:val="24"/>
                    </w:rPr>
                    <w:t>无质押</w:t>
                  </w:r>
                  <w:r>
                    <w:rPr>
                      <w:rFonts w:ascii="宋体" w:hAnsi="宋体" w:eastAsia="宋体" w:cs="宋体"/>
                      <w:color w:val="000000"/>
                      <w:kern w:val="0"/>
                      <w:sz w:val="24"/>
                      <w:szCs w:val="24"/>
                    </w:rPr>
                    <w:t>应收账款</w:t>
                  </w:r>
                </w:p>
              </w:tc>
            </w:tr>
            <w:tr>
              <w:tblPrEx>
                <w:tblCellMar>
                  <w:top w:w="0" w:type="dxa"/>
                  <w:left w:w="0" w:type="dxa"/>
                  <w:bottom w:w="0" w:type="dxa"/>
                  <w:right w:w="0" w:type="dxa"/>
                </w:tblCellMar>
              </w:tblPrEx>
              <w:trPr>
                <w:trHeight w:val="340" w:hRule="atLeast"/>
                <w:jc w:val="center"/>
              </w:trPr>
              <w:tc>
                <w:tcPr>
                  <w:tcW w:w="4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color w:val="000000"/>
                      <w:kern w:val="0"/>
                      <w:sz w:val="24"/>
                      <w:szCs w:val="24"/>
                    </w:rPr>
                    <w:t>14</w:t>
                  </w:r>
                </w:p>
              </w:tc>
              <w:tc>
                <w:tcPr>
                  <w:tcW w:w="23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jc w:val="left"/>
                    <w:rPr>
                      <w:rFonts w:ascii="宋体" w:hAnsi="宋体" w:eastAsia="宋体" w:cs="宋体"/>
                      <w:kern w:val="0"/>
                      <w:sz w:val="24"/>
                      <w:szCs w:val="24"/>
                    </w:rPr>
                  </w:pPr>
                  <w:r>
                    <w:rPr>
                      <w:rFonts w:hint="eastAsia"/>
                    </w:rPr>
                    <w:t>1</w:t>
                  </w:r>
                  <w:r>
                    <w:t>3</w:t>
                  </w:r>
                  <w:r>
                    <w:rPr>
                      <w:rFonts w:hint="eastAsia"/>
                    </w:rPr>
                    <w:t>、唐仲</w:t>
                  </w:r>
                </w:p>
              </w:tc>
              <w:tc>
                <w:tcPr>
                  <w:tcW w:w="21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宋体" w:hAnsi="宋体" w:eastAsia="宋体" w:cs="宋体"/>
                      <w:color w:val="000000"/>
                      <w:kern w:val="0"/>
                      <w:sz w:val="24"/>
                      <w:szCs w:val="24"/>
                    </w:rPr>
                  </w:pPr>
                  <w:r>
                    <w:rPr>
                      <w:rFonts w:ascii="宋体" w:hAnsi="宋体" w:eastAsia="宋体" w:cs="宋体"/>
                      <w:color w:val="000000"/>
                      <w:kern w:val="0"/>
                      <w:sz w:val="24"/>
                      <w:szCs w:val="24"/>
                    </w:rPr>
                    <w:t>5,796.40</w:t>
                  </w:r>
                </w:p>
              </w:tc>
              <w:tc>
                <w:tcPr>
                  <w:tcW w:w="18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宋体" w:hAnsi="宋体" w:eastAsia="宋体" w:cs="宋体"/>
                      <w:kern w:val="0"/>
                      <w:sz w:val="24"/>
                      <w:szCs w:val="24"/>
                    </w:rPr>
                  </w:pPr>
                  <w:r>
                    <w:rPr>
                      <w:rFonts w:hint="eastAsia" w:ascii="楷体" w:hAnsi="楷体" w:eastAsia="楷体" w:cs="宋体"/>
                      <w:color w:val="000000"/>
                      <w:kern w:val="0"/>
                      <w:sz w:val="28"/>
                      <w:szCs w:val="28"/>
                    </w:rPr>
                    <w:t>/</w:t>
                  </w:r>
                </w:p>
              </w:tc>
              <w:tc>
                <w:tcPr>
                  <w:tcW w:w="23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000000"/>
                      <w:kern w:val="0"/>
                      <w:sz w:val="24"/>
                      <w:szCs w:val="24"/>
                    </w:rPr>
                    <w:t>无质押</w:t>
                  </w:r>
                  <w:r>
                    <w:rPr>
                      <w:rFonts w:ascii="宋体" w:hAnsi="宋体" w:eastAsia="宋体" w:cs="宋体"/>
                      <w:color w:val="000000"/>
                      <w:kern w:val="0"/>
                      <w:sz w:val="24"/>
                      <w:szCs w:val="24"/>
                    </w:rPr>
                    <w:t>应收账款</w:t>
                  </w:r>
                </w:p>
              </w:tc>
            </w:tr>
            <w:tr>
              <w:tblPrEx>
                <w:tblCellMar>
                  <w:top w:w="0" w:type="dxa"/>
                  <w:left w:w="0" w:type="dxa"/>
                  <w:bottom w:w="0" w:type="dxa"/>
                  <w:right w:w="0" w:type="dxa"/>
                </w:tblCellMar>
              </w:tblPrEx>
              <w:trPr>
                <w:trHeight w:val="340" w:hRule="atLeast"/>
                <w:jc w:val="center"/>
              </w:trPr>
              <w:tc>
                <w:tcPr>
                  <w:tcW w:w="4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color w:val="000000"/>
                      <w:kern w:val="0"/>
                      <w:sz w:val="24"/>
                      <w:szCs w:val="24"/>
                    </w:rPr>
                    <w:t>15</w:t>
                  </w:r>
                </w:p>
              </w:tc>
              <w:tc>
                <w:tcPr>
                  <w:tcW w:w="23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jc w:val="left"/>
                    <w:rPr>
                      <w:rFonts w:ascii="宋体" w:hAnsi="宋体" w:eastAsia="宋体" w:cs="宋体"/>
                      <w:kern w:val="0"/>
                      <w:sz w:val="24"/>
                      <w:szCs w:val="24"/>
                    </w:rPr>
                  </w:pPr>
                  <w:r>
                    <w:rPr>
                      <w:rFonts w:hint="eastAsia"/>
                    </w:rPr>
                    <w:t>1</w:t>
                  </w:r>
                  <w:r>
                    <w:t>4</w:t>
                  </w:r>
                  <w:r>
                    <w:rPr>
                      <w:rFonts w:hint="eastAsia"/>
                    </w:rPr>
                    <w:t>、尹倩</w:t>
                  </w:r>
                </w:p>
              </w:tc>
              <w:tc>
                <w:tcPr>
                  <w:tcW w:w="21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宋体" w:hAnsi="宋体" w:eastAsia="宋体" w:cs="宋体"/>
                      <w:color w:val="000000"/>
                      <w:kern w:val="0"/>
                      <w:sz w:val="24"/>
                      <w:szCs w:val="24"/>
                    </w:rPr>
                  </w:pPr>
                  <w:r>
                    <w:rPr>
                      <w:rFonts w:ascii="宋体" w:hAnsi="宋体" w:eastAsia="宋体" w:cs="宋体"/>
                      <w:color w:val="000000"/>
                      <w:kern w:val="0"/>
                      <w:sz w:val="24"/>
                      <w:szCs w:val="24"/>
                    </w:rPr>
                    <w:t>5,742.24</w:t>
                  </w:r>
                </w:p>
              </w:tc>
              <w:tc>
                <w:tcPr>
                  <w:tcW w:w="18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宋体" w:hAnsi="宋体" w:eastAsia="宋体" w:cs="宋体"/>
                      <w:kern w:val="0"/>
                      <w:sz w:val="24"/>
                      <w:szCs w:val="24"/>
                    </w:rPr>
                  </w:pPr>
                  <w:r>
                    <w:rPr>
                      <w:rFonts w:hint="eastAsia" w:ascii="楷体" w:hAnsi="楷体" w:eastAsia="楷体" w:cs="宋体"/>
                      <w:color w:val="000000"/>
                      <w:kern w:val="0"/>
                      <w:sz w:val="28"/>
                      <w:szCs w:val="28"/>
                    </w:rPr>
                    <w:t>/</w:t>
                  </w:r>
                </w:p>
              </w:tc>
              <w:tc>
                <w:tcPr>
                  <w:tcW w:w="23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000000"/>
                      <w:kern w:val="0"/>
                      <w:sz w:val="24"/>
                      <w:szCs w:val="24"/>
                    </w:rPr>
                    <w:t>无质押</w:t>
                  </w:r>
                  <w:r>
                    <w:rPr>
                      <w:rFonts w:ascii="宋体" w:hAnsi="宋体" w:eastAsia="宋体" w:cs="宋体"/>
                      <w:color w:val="000000"/>
                      <w:kern w:val="0"/>
                      <w:sz w:val="24"/>
                      <w:szCs w:val="24"/>
                    </w:rPr>
                    <w:t>应收账款</w:t>
                  </w:r>
                </w:p>
              </w:tc>
            </w:tr>
            <w:tr>
              <w:tblPrEx>
                <w:tblCellMar>
                  <w:top w:w="0" w:type="dxa"/>
                  <w:left w:w="0" w:type="dxa"/>
                  <w:bottom w:w="0" w:type="dxa"/>
                  <w:right w:w="0" w:type="dxa"/>
                </w:tblCellMar>
              </w:tblPrEx>
              <w:trPr>
                <w:trHeight w:val="340" w:hRule="atLeast"/>
                <w:jc w:val="center"/>
              </w:trPr>
              <w:tc>
                <w:tcPr>
                  <w:tcW w:w="4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color w:val="000000"/>
                      <w:kern w:val="0"/>
                      <w:sz w:val="24"/>
                      <w:szCs w:val="24"/>
                    </w:rPr>
                    <w:t>16</w:t>
                  </w:r>
                </w:p>
              </w:tc>
              <w:tc>
                <w:tcPr>
                  <w:tcW w:w="23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jc w:val="left"/>
                    <w:rPr>
                      <w:rFonts w:ascii="宋体" w:hAnsi="宋体" w:eastAsia="宋体" w:cs="宋体"/>
                      <w:kern w:val="0"/>
                      <w:sz w:val="24"/>
                      <w:szCs w:val="24"/>
                    </w:rPr>
                  </w:pPr>
                  <w:r>
                    <w:rPr>
                      <w:rFonts w:hint="eastAsia"/>
                    </w:rPr>
                    <w:t>1</w:t>
                  </w:r>
                  <w:r>
                    <w:t>5</w:t>
                  </w:r>
                  <w:r>
                    <w:rPr>
                      <w:rFonts w:hint="eastAsia"/>
                    </w:rPr>
                    <w:t>、上海市海丰农场社区管理委员会</w:t>
                  </w:r>
                </w:p>
              </w:tc>
              <w:tc>
                <w:tcPr>
                  <w:tcW w:w="21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宋体" w:hAnsi="宋体" w:eastAsia="宋体" w:cs="宋体"/>
                      <w:color w:val="000000"/>
                      <w:kern w:val="0"/>
                      <w:sz w:val="24"/>
                      <w:szCs w:val="24"/>
                    </w:rPr>
                  </w:pPr>
                  <w:r>
                    <w:rPr>
                      <w:rFonts w:ascii="宋体" w:hAnsi="宋体" w:eastAsia="宋体" w:cs="宋体"/>
                      <w:color w:val="000000"/>
                      <w:kern w:val="0"/>
                      <w:sz w:val="24"/>
                      <w:szCs w:val="24"/>
                    </w:rPr>
                    <w:t>4,000.00</w:t>
                  </w:r>
                </w:p>
              </w:tc>
              <w:tc>
                <w:tcPr>
                  <w:tcW w:w="18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宋体" w:hAnsi="宋体" w:eastAsia="宋体" w:cs="宋体"/>
                      <w:kern w:val="0"/>
                      <w:sz w:val="24"/>
                      <w:szCs w:val="24"/>
                    </w:rPr>
                  </w:pPr>
                  <w:r>
                    <w:rPr>
                      <w:rFonts w:hint="eastAsia" w:ascii="楷体" w:hAnsi="楷体" w:eastAsia="楷体" w:cs="宋体"/>
                      <w:color w:val="000000"/>
                      <w:kern w:val="0"/>
                      <w:sz w:val="28"/>
                      <w:szCs w:val="28"/>
                    </w:rPr>
                    <w:t>/</w:t>
                  </w:r>
                </w:p>
              </w:tc>
              <w:tc>
                <w:tcPr>
                  <w:tcW w:w="23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000000"/>
                      <w:kern w:val="0"/>
                      <w:sz w:val="24"/>
                      <w:szCs w:val="24"/>
                    </w:rPr>
                    <w:t>无质押</w:t>
                  </w:r>
                  <w:r>
                    <w:rPr>
                      <w:rFonts w:ascii="宋体" w:hAnsi="宋体" w:eastAsia="宋体" w:cs="宋体"/>
                      <w:color w:val="000000"/>
                      <w:kern w:val="0"/>
                      <w:sz w:val="24"/>
                      <w:szCs w:val="24"/>
                    </w:rPr>
                    <w:t>应收账款</w:t>
                  </w:r>
                </w:p>
              </w:tc>
            </w:tr>
            <w:tr>
              <w:tblPrEx>
                <w:tblCellMar>
                  <w:top w:w="0" w:type="dxa"/>
                  <w:left w:w="0" w:type="dxa"/>
                  <w:bottom w:w="0" w:type="dxa"/>
                  <w:right w:w="0" w:type="dxa"/>
                </w:tblCellMar>
              </w:tblPrEx>
              <w:trPr>
                <w:trHeight w:val="651" w:hRule="atLeast"/>
                <w:jc w:val="center"/>
              </w:trPr>
              <w:tc>
                <w:tcPr>
                  <w:tcW w:w="4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color w:val="000000"/>
                      <w:kern w:val="0"/>
                      <w:sz w:val="24"/>
                      <w:szCs w:val="24"/>
                    </w:rPr>
                    <w:t>17</w:t>
                  </w:r>
                </w:p>
              </w:tc>
              <w:tc>
                <w:tcPr>
                  <w:tcW w:w="23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jc w:val="left"/>
                    <w:rPr>
                      <w:rFonts w:ascii="宋体" w:hAnsi="宋体" w:eastAsia="宋体" w:cs="宋体"/>
                      <w:kern w:val="0"/>
                      <w:sz w:val="24"/>
                      <w:szCs w:val="24"/>
                    </w:rPr>
                  </w:pPr>
                  <w:r>
                    <w:rPr>
                      <w:rFonts w:hint="eastAsia"/>
                    </w:rPr>
                    <w:t>1</w:t>
                  </w:r>
                  <w:r>
                    <w:t>6</w:t>
                  </w:r>
                  <w:r>
                    <w:rPr>
                      <w:rFonts w:hint="eastAsia"/>
                    </w:rPr>
                    <w:t>、常州大江饲料有限公司</w:t>
                  </w:r>
                </w:p>
              </w:tc>
              <w:tc>
                <w:tcPr>
                  <w:tcW w:w="21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宋体" w:hAnsi="宋体" w:eastAsia="宋体" w:cs="宋体"/>
                      <w:color w:val="000000"/>
                      <w:kern w:val="0"/>
                      <w:sz w:val="24"/>
                      <w:szCs w:val="24"/>
                    </w:rPr>
                  </w:pPr>
                  <w:r>
                    <w:rPr>
                      <w:rFonts w:ascii="宋体" w:hAnsi="宋体" w:eastAsia="宋体" w:cs="宋体"/>
                      <w:color w:val="000000"/>
                      <w:kern w:val="0"/>
                      <w:sz w:val="24"/>
                      <w:szCs w:val="24"/>
                    </w:rPr>
                    <w:t>7,944,666.65</w:t>
                  </w:r>
                </w:p>
              </w:tc>
              <w:tc>
                <w:tcPr>
                  <w:tcW w:w="18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2"/>
                    <w:numPr>
                      <w:ilvl w:val="0"/>
                      <w:numId w:val="0"/>
                    </w:numPr>
                    <w:spacing w:before="0" w:beforeLines="0" w:after="0" w:afterLines="0" w:line="600" w:lineRule="exact"/>
                    <w:jc w:val="center"/>
                    <w:rPr>
                      <w:rFonts w:ascii="楷体" w:hAnsi="楷体" w:eastAsia="楷体"/>
                    </w:rPr>
                  </w:pPr>
                  <w:r>
                    <w:rPr>
                      <w:rFonts w:hint="eastAsia" w:ascii="楷体" w:hAnsi="楷体" w:eastAsia="楷体"/>
                    </w:rPr>
                    <w:t>1.7944666.65元自2020年7月1日起至实际履行之日止按照全国银行间同业拆借中心公布的贷款市场报价利率计算的利息；</w:t>
                  </w:r>
                </w:p>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Times New Roman"/>
                      <w:bCs/>
                      <w:sz w:val="28"/>
                      <w:szCs w:val="28"/>
                    </w:rPr>
                    <w:t>2.保全申请费5000元。</w:t>
                  </w:r>
                </w:p>
              </w:tc>
              <w:tc>
                <w:tcPr>
                  <w:tcW w:w="23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000000"/>
                      <w:kern w:val="0"/>
                      <w:sz w:val="24"/>
                      <w:szCs w:val="24"/>
                    </w:rPr>
                    <w:t>无质押</w:t>
                  </w:r>
                  <w:r>
                    <w:rPr>
                      <w:rFonts w:ascii="宋体" w:hAnsi="宋体" w:eastAsia="宋体" w:cs="宋体"/>
                      <w:color w:val="000000"/>
                      <w:kern w:val="0"/>
                      <w:sz w:val="24"/>
                      <w:szCs w:val="24"/>
                    </w:rPr>
                    <w:t>应收账款</w:t>
                  </w:r>
                </w:p>
              </w:tc>
            </w:tr>
            <w:tr>
              <w:tblPrEx>
                <w:tblCellMar>
                  <w:top w:w="0" w:type="dxa"/>
                  <w:left w:w="0" w:type="dxa"/>
                  <w:bottom w:w="0" w:type="dxa"/>
                  <w:right w:w="0" w:type="dxa"/>
                </w:tblCellMar>
              </w:tblPrEx>
              <w:trPr>
                <w:trHeight w:val="340" w:hRule="atLeast"/>
                <w:jc w:val="center"/>
              </w:trPr>
              <w:tc>
                <w:tcPr>
                  <w:tcW w:w="4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color w:val="000000"/>
                      <w:kern w:val="0"/>
                      <w:sz w:val="24"/>
                      <w:szCs w:val="24"/>
                    </w:rPr>
                    <w:t>18</w:t>
                  </w:r>
                </w:p>
              </w:tc>
              <w:tc>
                <w:tcPr>
                  <w:tcW w:w="23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7</w:t>
                  </w:r>
                  <w:r>
                    <w:rPr>
                      <w:rFonts w:hint="eastAsia" w:ascii="宋体" w:hAnsi="宋体" w:eastAsia="宋体" w:cs="宋体"/>
                      <w:color w:val="000000"/>
                      <w:kern w:val="0"/>
                      <w:sz w:val="24"/>
                      <w:szCs w:val="24"/>
                    </w:rPr>
                    <w:t>、黄志伟、都昌县宏华特种水产品农民专业合作社、曹晓华</w:t>
                  </w:r>
                </w:p>
              </w:tc>
              <w:tc>
                <w:tcPr>
                  <w:tcW w:w="21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color w:val="000000"/>
                      <w:kern w:val="0"/>
                      <w:sz w:val="24"/>
                      <w:szCs w:val="24"/>
                    </w:rPr>
                    <w:t>57,793.83</w:t>
                  </w:r>
                </w:p>
              </w:tc>
              <w:tc>
                <w:tcPr>
                  <w:tcW w:w="18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2"/>
                    <w:numPr>
                      <w:ilvl w:val="0"/>
                      <w:numId w:val="0"/>
                    </w:numPr>
                    <w:spacing w:before="0" w:beforeLines="0" w:after="0" w:afterLines="0" w:line="600" w:lineRule="exact"/>
                    <w:jc w:val="center"/>
                    <w:rPr>
                      <w:rFonts w:ascii="楷体" w:hAnsi="楷体" w:eastAsia="楷体"/>
                    </w:rPr>
                  </w:pPr>
                  <w:r>
                    <w:rPr>
                      <w:rFonts w:hint="eastAsia" w:ascii="楷体" w:hAnsi="楷体" w:eastAsia="楷体"/>
                    </w:rPr>
                    <w:t>1.</w:t>
                  </w:r>
                  <w:r>
                    <w:rPr>
                      <w:rFonts w:ascii="楷体" w:hAnsi="楷体" w:eastAsia="楷体"/>
                    </w:rPr>
                    <w:t xml:space="preserve">逾期付款违约金（以77,602元为基数，自2018年1月1日起算至实际清偿日止，按日万之六计算）； </w:t>
                  </w:r>
                </w:p>
                <w:p>
                  <w:pPr>
                    <w:pStyle w:val="2"/>
                    <w:numPr>
                      <w:ilvl w:val="0"/>
                      <w:numId w:val="0"/>
                    </w:numPr>
                    <w:spacing w:before="0" w:beforeLines="0" w:after="0" w:afterLines="0" w:line="600" w:lineRule="exact"/>
                    <w:jc w:val="center"/>
                    <w:rPr>
                      <w:rFonts w:ascii="楷体" w:hAnsi="楷体" w:eastAsia="楷体"/>
                    </w:rPr>
                  </w:pPr>
                  <w:r>
                    <w:rPr>
                      <w:rFonts w:hint="eastAsia" w:ascii="楷体" w:hAnsi="楷体" w:eastAsia="楷体"/>
                    </w:rPr>
                    <w:t>2.</w:t>
                  </w:r>
                  <w:r>
                    <w:rPr>
                      <w:rFonts w:ascii="楷体" w:hAnsi="楷体" w:eastAsia="楷体"/>
                    </w:rPr>
                    <w:t>律师费损失5,000元</w:t>
                  </w:r>
                  <w:r>
                    <w:rPr>
                      <w:rFonts w:hint="eastAsia" w:ascii="楷体" w:hAnsi="楷体" w:eastAsia="楷体"/>
                    </w:rPr>
                    <w:t>；</w:t>
                  </w:r>
                </w:p>
                <w:p>
                  <w:pPr>
                    <w:widowControl/>
                    <w:spacing w:before="100" w:beforeAutospacing="1" w:after="100" w:afterAutospacing="1"/>
                    <w:jc w:val="left"/>
                    <w:rPr>
                      <w:rFonts w:ascii="宋体" w:hAnsi="宋体" w:eastAsia="楷体" w:cs="宋体"/>
                      <w:kern w:val="0"/>
                      <w:sz w:val="24"/>
                      <w:szCs w:val="24"/>
                    </w:rPr>
                  </w:pPr>
                  <w:r>
                    <w:rPr>
                      <w:rFonts w:hint="eastAsia" w:ascii="楷体" w:hAnsi="楷体" w:eastAsia="楷体" w:cs="Times New Roman"/>
                      <w:bCs/>
                      <w:sz w:val="28"/>
                      <w:szCs w:val="28"/>
                    </w:rPr>
                    <w:t>3.公告费560元。</w:t>
                  </w:r>
                </w:p>
              </w:tc>
              <w:tc>
                <w:tcPr>
                  <w:tcW w:w="23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000000"/>
                      <w:kern w:val="0"/>
                      <w:sz w:val="24"/>
                      <w:szCs w:val="24"/>
                    </w:rPr>
                    <w:t>无质押</w:t>
                  </w:r>
                  <w:r>
                    <w:rPr>
                      <w:rFonts w:ascii="宋体" w:hAnsi="宋体" w:eastAsia="宋体" w:cs="宋体"/>
                      <w:color w:val="000000"/>
                      <w:kern w:val="0"/>
                      <w:sz w:val="24"/>
                      <w:szCs w:val="24"/>
                    </w:rPr>
                    <w:t>应收账款</w:t>
                  </w:r>
                </w:p>
              </w:tc>
            </w:tr>
            <w:tr>
              <w:tblPrEx>
                <w:tblCellMar>
                  <w:top w:w="0" w:type="dxa"/>
                  <w:left w:w="0" w:type="dxa"/>
                  <w:bottom w:w="0" w:type="dxa"/>
                  <w:right w:w="0" w:type="dxa"/>
                </w:tblCellMar>
              </w:tblPrEx>
              <w:trPr>
                <w:trHeight w:val="566" w:hRule="atLeast"/>
                <w:jc w:val="center"/>
              </w:trPr>
              <w:tc>
                <w:tcPr>
                  <w:tcW w:w="4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color w:val="000000"/>
                      <w:kern w:val="0"/>
                      <w:sz w:val="24"/>
                      <w:szCs w:val="24"/>
                    </w:rPr>
                    <w:t> </w:t>
                  </w:r>
                </w:p>
              </w:tc>
              <w:tc>
                <w:tcPr>
                  <w:tcW w:w="23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color w:val="000000"/>
                      <w:kern w:val="0"/>
                      <w:sz w:val="24"/>
                      <w:szCs w:val="24"/>
                    </w:rPr>
                    <w:t>合计</w:t>
                  </w:r>
                </w:p>
              </w:tc>
              <w:tc>
                <w:tcPr>
                  <w:tcW w:w="21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ascii="宋体" w:hAnsi="宋体" w:eastAsia="宋体" w:cs="宋体"/>
                      <w:color w:val="000000"/>
                      <w:kern w:val="0"/>
                      <w:sz w:val="24"/>
                      <w:szCs w:val="24"/>
                    </w:rPr>
                    <w:t>8,855</w:t>
                  </w: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487.47</w:t>
                  </w:r>
                </w:p>
              </w:tc>
              <w:tc>
                <w:tcPr>
                  <w:tcW w:w="18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844</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601.19</w:t>
                  </w:r>
                </w:p>
              </w:tc>
              <w:tc>
                <w:tcPr>
                  <w:tcW w:w="23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color w:val="000000"/>
                      <w:kern w:val="0"/>
                      <w:sz w:val="24"/>
                      <w:szCs w:val="24"/>
                    </w:rPr>
                    <w:t> </w:t>
                  </w:r>
                  <w:r>
                    <w:rPr>
                      <w:rFonts w:hint="eastAsia" w:ascii="宋体" w:hAnsi="宋体" w:eastAsia="宋体" w:cs="宋体"/>
                      <w:color w:val="000000"/>
                      <w:kern w:val="0"/>
                      <w:sz w:val="24"/>
                      <w:szCs w:val="24"/>
                    </w:rPr>
                    <w:t>40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70</w:t>
                  </w:r>
                  <w:r>
                    <w:rPr>
                      <w:rFonts w:hint="eastAsia" w:ascii="宋体" w:hAnsi="宋体" w:eastAsia="宋体" w:cs="宋体"/>
                      <w:color w:val="000000"/>
                      <w:kern w:val="0"/>
                      <w:sz w:val="24"/>
                      <w:szCs w:val="24"/>
                      <w:lang w:val="en-US" w:eastAsia="zh-CN"/>
                    </w:rPr>
                    <w:t>0</w:t>
                  </w:r>
                  <w:r>
                    <w:rPr>
                      <w:rFonts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0</w:t>
                  </w:r>
                  <w:r>
                    <w:rPr>
                      <w:rFonts w:hint="eastAsia" w:ascii="宋体" w:hAnsi="宋体" w:eastAsia="宋体" w:cs="宋体"/>
                      <w:color w:val="000000"/>
                      <w:kern w:val="0"/>
                      <w:sz w:val="24"/>
                      <w:szCs w:val="24"/>
                    </w:rPr>
                    <w:t>88.66</w:t>
                  </w:r>
                </w:p>
              </w:tc>
            </w:tr>
          </w:tbl>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2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15" w:lineRule="atLeast"/>
              <w:jc w:val="center"/>
              <w:rPr>
                <w:rFonts w:ascii="宋体" w:hAnsi="宋体" w:eastAsia="宋体" w:cs="宋体"/>
                <w:kern w:val="0"/>
                <w:sz w:val="24"/>
                <w:szCs w:val="24"/>
              </w:rPr>
            </w:pPr>
            <w:r>
              <w:rPr>
                <w:rFonts w:ascii="宋体" w:hAnsi="宋体" w:eastAsia="宋体" w:cs="宋体"/>
                <w:kern w:val="0"/>
                <w:sz w:val="24"/>
                <w:szCs w:val="24"/>
              </w:rPr>
              <w:t>关于拍卖标的的相关情况说明</w:t>
            </w:r>
          </w:p>
        </w:tc>
        <w:tc>
          <w:tcPr>
            <w:tcW w:w="81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①序号1</w:t>
            </w:r>
            <w:r>
              <w:rPr>
                <w:rFonts w:hint="eastAsia" w:ascii="宋体" w:hAnsi="宋体" w:eastAsia="宋体" w:cs="宋体"/>
                <w:kern w:val="0"/>
                <w:sz w:val="24"/>
                <w:szCs w:val="24"/>
              </w:rPr>
              <w:t>判决文号：(2021)苏0981民初5607号、（2022）苏09民终5428号</w:t>
            </w:r>
            <w:r>
              <w:rPr>
                <w:rFonts w:ascii="宋体" w:hAnsi="宋体" w:eastAsia="宋体" w:cs="宋体"/>
                <w:kern w:val="0"/>
                <w:sz w:val="24"/>
                <w:szCs w:val="24"/>
              </w:rPr>
              <w:t>。</w:t>
            </w:r>
          </w:p>
          <w:p>
            <w:pPr>
              <w:widowControl/>
              <w:jc w:val="left"/>
              <w:rPr>
                <w:rFonts w:ascii="宋体" w:hAnsi="宋体" w:eastAsia="宋体" w:cs="宋体"/>
                <w:kern w:val="0"/>
                <w:sz w:val="24"/>
                <w:szCs w:val="24"/>
              </w:rPr>
            </w:pPr>
            <w:r>
              <w:rPr>
                <w:rFonts w:ascii="宋体" w:hAnsi="宋体" w:eastAsia="宋体" w:cs="宋体"/>
                <w:kern w:val="0"/>
                <w:sz w:val="24"/>
                <w:szCs w:val="24"/>
              </w:rPr>
              <w:t>②序号3</w:t>
            </w:r>
            <w:r>
              <w:rPr>
                <w:rFonts w:hint="eastAsia" w:ascii="宋体" w:hAnsi="宋体" w:eastAsia="宋体" w:cs="宋体"/>
                <w:kern w:val="0"/>
                <w:sz w:val="24"/>
                <w:szCs w:val="24"/>
              </w:rPr>
              <w:t>判决文号：（2020）苏0982民初1148号</w:t>
            </w:r>
            <w:r>
              <w:rPr>
                <w:rFonts w:ascii="宋体" w:hAnsi="宋体" w:eastAsia="宋体" w:cs="宋体"/>
                <w:kern w:val="0"/>
                <w:sz w:val="24"/>
                <w:szCs w:val="24"/>
              </w:rPr>
              <w:t>。</w:t>
            </w:r>
          </w:p>
          <w:p>
            <w:pPr>
              <w:widowControl/>
              <w:jc w:val="left"/>
              <w:rPr>
                <w:rFonts w:ascii="宋体" w:hAnsi="宋体" w:eastAsia="宋体" w:cs="宋体"/>
                <w:kern w:val="0"/>
                <w:sz w:val="24"/>
                <w:szCs w:val="24"/>
              </w:rPr>
            </w:pPr>
            <w:r>
              <w:rPr>
                <w:rFonts w:ascii="宋体" w:hAnsi="宋体" w:eastAsia="宋体" w:cs="宋体"/>
                <w:kern w:val="0"/>
                <w:sz w:val="24"/>
                <w:szCs w:val="24"/>
              </w:rPr>
              <w:t>③序号4</w:t>
            </w:r>
            <w:r>
              <w:rPr>
                <w:rFonts w:hint="eastAsia" w:ascii="宋体" w:hAnsi="宋体" w:eastAsia="宋体" w:cs="宋体"/>
                <w:kern w:val="0"/>
                <w:sz w:val="24"/>
                <w:szCs w:val="24"/>
              </w:rPr>
              <w:t>判决文号：（2020）苏0982民初1128号</w:t>
            </w:r>
            <w:r>
              <w:rPr>
                <w:rFonts w:ascii="宋体" w:hAnsi="宋体" w:eastAsia="宋体" w:cs="宋体"/>
                <w:kern w:val="0"/>
                <w:sz w:val="24"/>
                <w:szCs w:val="24"/>
              </w:rPr>
              <w:t>。</w:t>
            </w:r>
          </w:p>
          <w:p>
            <w:pPr>
              <w:rPr>
                <w:rFonts w:ascii="宋体" w:hAnsi="宋体" w:eastAsia="宋体" w:cs="宋体"/>
                <w:kern w:val="0"/>
                <w:sz w:val="24"/>
                <w:szCs w:val="24"/>
              </w:rPr>
            </w:pPr>
            <w:r>
              <w:rPr>
                <w:rFonts w:hint="eastAsia" w:ascii="宋体" w:hAnsi="宋体" w:eastAsia="宋体" w:cs="宋体"/>
                <w:kern w:val="0"/>
                <w:sz w:val="24"/>
                <w:szCs w:val="24"/>
              </w:rPr>
              <w:t>④</w:t>
            </w:r>
            <w:r>
              <w:rPr>
                <w:rFonts w:ascii="宋体" w:hAnsi="宋体" w:eastAsia="宋体" w:cs="宋体"/>
                <w:kern w:val="0"/>
                <w:sz w:val="24"/>
                <w:szCs w:val="24"/>
              </w:rPr>
              <w:t>序号</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根据2019年10月17日江苏省沿海开发（东台）有限公司（以下简称：江苏沿海东台公司）、债务人、债务人分公司及常州大江饲料有限公司（以下简称常州大江公司）四方签订的执行和解协议（基于盐城市中级人民法院判决书“（2019）苏09民终1569号”，债务人需支付江苏沿海东台公司16</w:t>
            </w:r>
            <w:r>
              <w:rPr>
                <w:rFonts w:ascii="宋体" w:hAnsi="宋体" w:eastAsia="宋体" w:cs="宋体"/>
                <w:kern w:val="0"/>
                <w:sz w:val="24"/>
                <w:szCs w:val="24"/>
              </w:rPr>
              <w:t>,</w:t>
            </w:r>
            <w:r>
              <w:rPr>
                <w:rFonts w:hint="eastAsia" w:ascii="宋体" w:hAnsi="宋体" w:eastAsia="宋体" w:cs="宋体"/>
                <w:kern w:val="0"/>
                <w:sz w:val="24"/>
                <w:szCs w:val="24"/>
              </w:rPr>
              <w:t>414</w:t>
            </w:r>
            <w:r>
              <w:rPr>
                <w:rFonts w:ascii="宋体" w:hAnsi="宋体" w:eastAsia="宋体" w:cs="宋体"/>
                <w:kern w:val="0"/>
                <w:sz w:val="24"/>
                <w:szCs w:val="24"/>
              </w:rPr>
              <w:t>,</w:t>
            </w:r>
            <w:r>
              <w:rPr>
                <w:rFonts w:hint="eastAsia" w:ascii="宋体" w:hAnsi="宋体" w:eastAsia="宋体" w:cs="宋体"/>
                <w:kern w:val="0"/>
                <w:sz w:val="24"/>
                <w:szCs w:val="24"/>
              </w:rPr>
              <w:t>457.02元及相应的利息）：（1）债务人欠江苏沿海东台公司货款本金16</w:t>
            </w:r>
            <w:r>
              <w:rPr>
                <w:rFonts w:ascii="宋体" w:hAnsi="宋体" w:eastAsia="宋体" w:cs="宋体"/>
                <w:kern w:val="0"/>
                <w:sz w:val="24"/>
                <w:szCs w:val="24"/>
              </w:rPr>
              <w:t>,</w:t>
            </w:r>
            <w:r>
              <w:rPr>
                <w:rFonts w:hint="eastAsia" w:ascii="宋体" w:hAnsi="宋体" w:eastAsia="宋体" w:cs="宋体"/>
                <w:kern w:val="0"/>
                <w:sz w:val="24"/>
                <w:szCs w:val="24"/>
              </w:rPr>
              <w:t>414</w:t>
            </w:r>
            <w:r>
              <w:rPr>
                <w:rFonts w:ascii="宋体" w:hAnsi="宋体" w:eastAsia="宋体" w:cs="宋体"/>
                <w:kern w:val="0"/>
                <w:sz w:val="24"/>
                <w:szCs w:val="24"/>
              </w:rPr>
              <w:t>,</w:t>
            </w:r>
            <w:r>
              <w:rPr>
                <w:rFonts w:hint="eastAsia" w:ascii="宋体" w:hAnsi="宋体" w:eastAsia="宋体" w:cs="宋体"/>
                <w:kern w:val="0"/>
                <w:sz w:val="24"/>
                <w:szCs w:val="24"/>
              </w:rPr>
              <w:t>457.02元，利息3</w:t>
            </w:r>
            <w:r>
              <w:rPr>
                <w:rFonts w:ascii="宋体" w:hAnsi="宋体" w:eastAsia="宋体" w:cs="宋体"/>
                <w:kern w:val="0"/>
                <w:sz w:val="24"/>
                <w:szCs w:val="24"/>
              </w:rPr>
              <w:t>,</w:t>
            </w:r>
            <w:r>
              <w:rPr>
                <w:rFonts w:hint="eastAsia" w:ascii="宋体" w:hAnsi="宋体" w:eastAsia="宋体" w:cs="宋体"/>
                <w:kern w:val="0"/>
                <w:sz w:val="24"/>
                <w:szCs w:val="24"/>
              </w:rPr>
              <w:t>019</w:t>
            </w:r>
            <w:r>
              <w:rPr>
                <w:rFonts w:ascii="宋体" w:hAnsi="宋体" w:eastAsia="宋体" w:cs="宋体"/>
                <w:kern w:val="0"/>
                <w:sz w:val="24"/>
                <w:szCs w:val="24"/>
              </w:rPr>
              <w:t>,</w:t>
            </w:r>
            <w:r>
              <w:rPr>
                <w:rFonts w:hint="eastAsia" w:ascii="宋体" w:hAnsi="宋体" w:eastAsia="宋体" w:cs="宋体"/>
                <w:kern w:val="0"/>
                <w:sz w:val="24"/>
                <w:szCs w:val="24"/>
              </w:rPr>
              <w:t>689.11元及律师、财产保全等费用253,409.00元，共计1</w:t>
            </w:r>
            <w:r>
              <w:rPr>
                <w:rFonts w:ascii="宋体" w:hAnsi="宋体" w:eastAsia="宋体" w:cs="宋体"/>
                <w:kern w:val="0"/>
                <w:sz w:val="24"/>
                <w:szCs w:val="24"/>
              </w:rPr>
              <w:t>9,687,555.13</w:t>
            </w:r>
            <w:r>
              <w:rPr>
                <w:rFonts w:hint="eastAsia" w:ascii="宋体" w:hAnsi="宋体" w:eastAsia="宋体" w:cs="宋体"/>
                <w:kern w:val="0"/>
                <w:sz w:val="24"/>
                <w:szCs w:val="24"/>
              </w:rPr>
              <w:t>元。（2）上述费用，债务人支付货款</w:t>
            </w:r>
            <w:bookmarkStart w:id="1" w:name="_Hlk135652703"/>
            <w:r>
              <w:rPr>
                <w:rFonts w:hint="eastAsia" w:ascii="宋体" w:hAnsi="宋体" w:eastAsia="宋体" w:cs="宋体"/>
                <w:kern w:val="0"/>
                <w:sz w:val="24"/>
                <w:szCs w:val="24"/>
              </w:rPr>
              <w:t>11</w:t>
            </w:r>
            <w:r>
              <w:rPr>
                <w:rFonts w:ascii="宋体" w:hAnsi="宋体" w:eastAsia="宋体" w:cs="宋体"/>
                <w:kern w:val="0"/>
                <w:sz w:val="24"/>
                <w:szCs w:val="24"/>
              </w:rPr>
              <w:t>,</w:t>
            </w:r>
            <w:r>
              <w:rPr>
                <w:rFonts w:hint="eastAsia" w:ascii="宋体" w:hAnsi="宋体" w:eastAsia="宋体" w:cs="宋体"/>
                <w:kern w:val="0"/>
                <w:sz w:val="24"/>
                <w:szCs w:val="24"/>
              </w:rPr>
              <w:t>373</w:t>
            </w:r>
            <w:r>
              <w:rPr>
                <w:rFonts w:ascii="宋体" w:hAnsi="宋体" w:eastAsia="宋体" w:cs="宋体"/>
                <w:kern w:val="0"/>
                <w:sz w:val="24"/>
                <w:szCs w:val="24"/>
              </w:rPr>
              <w:t>,</w:t>
            </w:r>
            <w:r>
              <w:rPr>
                <w:rFonts w:hint="eastAsia" w:ascii="宋体" w:hAnsi="宋体" w:eastAsia="宋体" w:cs="宋体"/>
                <w:kern w:val="0"/>
                <w:sz w:val="24"/>
                <w:szCs w:val="24"/>
              </w:rPr>
              <w:t>098.11元</w:t>
            </w:r>
            <w:bookmarkEnd w:id="1"/>
            <w:r>
              <w:rPr>
                <w:rFonts w:hint="eastAsia" w:ascii="宋体" w:hAnsi="宋体" w:eastAsia="宋体" w:cs="宋体"/>
                <w:kern w:val="0"/>
                <w:sz w:val="24"/>
                <w:szCs w:val="24"/>
              </w:rPr>
              <w:t>，常州大江公司支付</w:t>
            </w:r>
            <w:r>
              <w:rPr>
                <w:rFonts w:ascii="宋体" w:hAnsi="宋体" w:eastAsia="宋体" w:cs="宋体"/>
                <w:kern w:val="0"/>
                <w:sz w:val="24"/>
                <w:szCs w:val="24"/>
              </w:rPr>
              <w:t>8,314,457.02</w:t>
            </w:r>
            <w:r>
              <w:rPr>
                <w:rFonts w:hint="eastAsia" w:ascii="宋体" w:hAnsi="宋体" w:eastAsia="宋体" w:cs="宋体"/>
                <w:kern w:val="0"/>
                <w:sz w:val="24"/>
                <w:szCs w:val="24"/>
              </w:rPr>
              <w:t>元。</w:t>
            </w:r>
            <w:bookmarkStart w:id="2" w:name="_Hlk135818712"/>
            <w:r>
              <w:rPr>
                <w:rFonts w:hint="eastAsia" w:ascii="宋体" w:hAnsi="宋体" w:eastAsia="宋体" w:cs="宋体"/>
                <w:kern w:val="0"/>
                <w:sz w:val="24"/>
                <w:szCs w:val="24"/>
              </w:rPr>
              <w:t>经抽查入账凭证，</w:t>
            </w:r>
            <w:bookmarkEnd w:id="2"/>
            <w:r>
              <w:rPr>
                <w:rFonts w:hint="eastAsia" w:ascii="宋体" w:hAnsi="宋体" w:eastAsia="宋体" w:cs="宋体"/>
                <w:kern w:val="0"/>
                <w:sz w:val="24"/>
                <w:szCs w:val="24"/>
              </w:rPr>
              <w:t>上述19,687,555.13元款项均由债务人于2019年10月支付完毕。</w:t>
            </w:r>
          </w:p>
          <w:p>
            <w:pPr>
              <w:rPr>
                <w:rFonts w:ascii="宋体" w:hAnsi="宋体" w:eastAsia="宋体" w:cs="宋体"/>
                <w:kern w:val="0"/>
                <w:sz w:val="24"/>
                <w:szCs w:val="24"/>
              </w:rPr>
            </w:pPr>
          </w:p>
          <w:p>
            <w:pPr>
              <w:rPr>
                <w:rFonts w:ascii="仿宋" w:hAnsi="仿宋" w:eastAsia="仿宋" w:cs="仿宋"/>
                <w:szCs w:val="21"/>
              </w:rPr>
            </w:pPr>
            <w:r>
              <w:rPr>
                <w:rFonts w:hint="eastAsia" w:ascii="宋体" w:hAnsi="宋体" w:eastAsia="宋体" w:cs="宋体"/>
                <w:kern w:val="0"/>
                <w:sz w:val="24"/>
                <w:szCs w:val="24"/>
              </w:rPr>
              <w:t>⑤</w:t>
            </w:r>
            <w:r>
              <w:rPr>
                <w:rFonts w:ascii="宋体" w:hAnsi="宋体" w:eastAsia="宋体" w:cs="宋体"/>
                <w:kern w:val="0"/>
                <w:sz w:val="24"/>
                <w:szCs w:val="24"/>
              </w:rPr>
              <w:t>序号</w:t>
            </w: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rPr>
              <w:t>应收江苏省沿海开发（东台）有限公司</w:t>
            </w:r>
            <w:r>
              <w:rPr>
                <w:rFonts w:ascii="宋体" w:hAnsi="宋体" w:eastAsia="宋体" w:cs="宋体"/>
                <w:kern w:val="0"/>
                <w:sz w:val="24"/>
                <w:szCs w:val="24"/>
              </w:rPr>
              <w:t>6,791,100.00</w:t>
            </w:r>
            <w:r>
              <w:rPr>
                <w:rFonts w:hint="eastAsia" w:ascii="宋体" w:hAnsi="宋体" w:eastAsia="宋体" w:cs="宋体"/>
                <w:kern w:val="0"/>
                <w:sz w:val="24"/>
                <w:szCs w:val="24"/>
              </w:rPr>
              <w:t>元，具体支付情况如下：</w:t>
            </w:r>
          </w:p>
          <w:tbl>
            <w:tblPr>
              <w:tblStyle w:val="7"/>
              <w:tblW w:w="5000" w:type="pct"/>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0" w:type="dxa"/>
                <w:bottom w:w="0" w:type="dxa"/>
                <w:right w:w="0" w:type="dxa"/>
              </w:tblCellMar>
            </w:tblPr>
            <w:tblGrid>
              <w:gridCol w:w="1345"/>
              <w:gridCol w:w="5120"/>
              <w:gridCol w:w="1419"/>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205" w:hRule="atLeast"/>
                <w:tblHeader/>
              </w:trPr>
              <w:tc>
                <w:tcPr>
                  <w:tcW w:w="853" w:type="pct"/>
                </w:tcPr>
                <w:p>
                  <w:pPr>
                    <w:jc w:val="left"/>
                    <w:rPr>
                      <w:rFonts w:ascii="仿宋" w:hAnsi="仿宋" w:eastAsia="仿宋"/>
                      <w:b/>
                      <w:bCs/>
                      <w:szCs w:val="21"/>
                    </w:rPr>
                  </w:pPr>
                  <w:r>
                    <w:rPr>
                      <w:rFonts w:hint="eastAsia" w:ascii="仿宋" w:hAnsi="仿宋" w:eastAsia="仿宋"/>
                      <w:b/>
                      <w:bCs/>
                      <w:szCs w:val="21"/>
                    </w:rPr>
                    <w:t>发生日期</w:t>
                  </w:r>
                </w:p>
              </w:tc>
              <w:tc>
                <w:tcPr>
                  <w:tcW w:w="3247" w:type="pct"/>
                  <w:shd w:val="clear" w:color="auto" w:fill="auto"/>
                  <w:vAlign w:val="bottom"/>
                </w:tcPr>
                <w:p>
                  <w:pPr>
                    <w:jc w:val="left"/>
                    <w:rPr>
                      <w:rFonts w:ascii="仿宋" w:hAnsi="仿宋" w:eastAsia="仿宋"/>
                      <w:b/>
                      <w:bCs/>
                      <w:szCs w:val="21"/>
                    </w:rPr>
                  </w:pPr>
                  <w:r>
                    <w:rPr>
                      <w:rFonts w:hint="eastAsia" w:ascii="仿宋" w:hAnsi="仿宋" w:eastAsia="仿宋"/>
                      <w:b/>
                      <w:bCs/>
                      <w:szCs w:val="21"/>
                    </w:rPr>
                    <w:t>内容</w:t>
                  </w:r>
                </w:p>
              </w:tc>
              <w:tc>
                <w:tcPr>
                  <w:tcW w:w="900" w:type="pct"/>
                  <w:shd w:val="clear" w:color="auto" w:fill="auto"/>
                  <w:vAlign w:val="bottom"/>
                </w:tcPr>
                <w:p>
                  <w:pPr>
                    <w:jc w:val="left"/>
                    <w:rPr>
                      <w:rFonts w:ascii="仿宋" w:hAnsi="仿宋" w:eastAsia="仿宋"/>
                      <w:b/>
                      <w:bCs/>
                      <w:szCs w:val="21"/>
                    </w:rPr>
                  </w:pPr>
                  <w:r>
                    <w:rPr>
                      <w:rFonts w:hint="eastAsia" w:ascii="仿宋" w:hAnsi="仿宋" w:eastAsia="仿宋"/>
                      <w:b/>
                      <w:bCs/>
                      <w:szCs w:val="21"/>
                    </w:rPr>
                    <w:t>账面</w:t>
                  </w:r>
                  <w:r>
                    <w:rPr>
                      <w:rFonts w:ascii="仿宋" w:hAnsi="仿宋" w:eastAsia="仿宋"/>
                      <w:b/>
                      <w:bCs/>
                      <w:szCs w:val="21"/>
                    </w:rPr>
                    <w:t>金额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62" w:hRule="atLeast"/>
              </w:trPr>
              <w:tc>
                <w:tcPr>
                  <w:tcW w:w="853" w:type="pct"/>
                </w:tcPr>
                <w:p>
                  <w:pPr>
                    <w:jc w:val="left"/>
                    <w:rPr>
                      <w:rFonts w:ascii="仿宋" w:hAnsi="仿宋" w:eastAsia="仿宋"/>
                      <w:szCs w:val="21"/>
                    </w:rPr>
                  </w:pPr>
                  <w:r>
                    <w:rPr>
                      <w:rFonts w:hint="eastAsia" w:ascii="仿宋" w:hAnsi="仿宋" w:eastAsia="仿宋"/>
                      <w:szCs w:val="21"/>
                    </w:rPr>
                    <w:t>2017-12-15</w:t>
                  </w:r>
                </w:p>
              </w:tc>
              <w:tc>
                <w:tcPr>
                  <w:tcW w:w="3247" w:type="pct"/>
                  <w:shd w:val="clear" w:color="auto" w:fill="auto"/>
                  <w:vAlign w:val="bottom"/>
                </w:tcPr>
                <w:p>
                  <w:pPr>
                    <w:jc w:val="left"/>
                    <w:rPr>
                      <w:rFonts w:ascii="仿宋" w:hAnsi="仿宋" w:eastAsia="仿宋"/>
                      <w:szCs w:val="21"/>
                    </w:rPr>
                  </w:pPr>
                  <w:r>
                    <w:rPr>
                      <w:rFonts w:hint="eastAsia" w:ascii="仿宋" w:hAnsi="仿宋" w:eastAsia="仿宋"/>
                      <w:szCs w:val="21"/>
                    </w:rPr>
                    <w:t>支付2018年度条北鱼塘承包费</w:t>
                  </w:r>
                </w:p>
              </w:tc>
              <w:tc>
                <w:tcPr>
                  <w:tcW w:w="900" w:type="pct"/>
                  <w:shd w:val="clear" w:color="auto" w:fill="auto"/>
                  <w:vAlign w:val="center"/>
                </w:tcPr>
                <w:p>
                  <w:pPr>
                    <w:jc w:val="left"/>
                    <w:rPr>
                      <w:rFonts w:ascii="Arial Narrow" w:hAnsi="Arial Narrow" w:eastAsia="仿宋"/>
                      <w:szCs w:val="21"/>
                    </w:rPr>
                  </w:pPr>
                  <w:r>
                    <w:rPr>
                      <w:rFonts w:ascii="Arial Narrow" w:hAnsi="Arial Narrow" w:eastAsia="仿宋"/>
                      <w:szCs w:val="21"/>
                    </w:rPr>
                    <w:t>2,1</w:t>
                  </w:r>
                  <w:r>
                    <w:rPr>
                      <w:rFonts w:hint="eastAsia" w:ascii="Arial Narrow" w:hAnsi="Arial Narrow" w:eastAsia="仿宋"/>
                      <w:szCs w:val="21"/>
                    </w:rPr>
                    <w:t>9</w:t>
                  </w:r>
                  <w:r>
                    <w:rPr>
                      <w:rFonts w:ascii="Arial Narrow" w:hAnsi="Arial Narrow" w:eastAsia="仿宋"/>
                      <w:szCs w:val="21"/>
                    </w:rPr>
                    <w:t>6,560.00</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50" w:hRule="atLeast"/>
              </w:trPr>
              <w:tc>
                <w:tcPr>
                  <w:tcW w:w="853" w:type="pct"/>
                </w:tcPr>
                <w:p>
                  <w:pPr>
                    <w:jc w:val="left"/>
                    <w:rPr>
                      <w:rFonts w:ascii="仿宋" w:hAnsi="仿宋" w:eastAsia="仿宋"/>
                      <w:szCs w:val="21"/>
                    </w:rPr>
                  </w:pPr>
                  <w:r>
                    <w:rPr>
                      <w:rFonts w:hint="eastAsia" w:ascii="仿宋" w:hAnsi="仿宋" w:eastAsia="仿宋"/>
                      <w:szCs w:val="21"/>
                    </w:rPr>
                    <w:t>2018-1-22</w:t>
                  </w:r>
                </w:p>
              </w:tc>
              <w:tc>
                <w:tcPr>
                  <w:tcW w:w="3247" w:type="pct"/>
                  <w:shd w:val="clear" w:color="auto" w:fill="auto"/>
                </w:tcPr>
                <w:p>
                  <w:pPr>
                    <w:jc w:val="left"/>
                    <w:rPr>
                      <w:rFonts w:ascii="仿宋" w:hAnsi="仿宋" w:eastAsia="仿宋"/>
                      <w:szCs w:val="21"/>
                    </w:rPr>
                  </w:pPr>
                  <w:r>
                    <w:rPr>
                      <w:rFonts w:hint="eastAsia" w:ascii="仿宋" w:hAnsi="仿宋" w:eastAsia="仿宋" w:cs="仿宋"/>
                      <w:sz w:val="24"/>
                    </w:rPr>
                    <w:t>支付条南2-4区养殖池塘招标保证金</w:t>
                  </w:r>
                </w:p>
              </w:tc>
              <w:tc>
                <w:tcPr>
                  <w:tcW w:w="900" w:type="pct"/>
                  <w:shd w:val="clear" w:color="auto" w:fill="auto"/>
                  <w:vAlign w:val="center"/>
                </w:tcPr>
                <w:p>
                  <w:pPr>
                    <w:jc w:val="left"/>
                    <w:rPr>
                      <w:rFonts w:ascii="Arial Narrow" w:hAnsi="Arial Narrow"/>
                    </w:rPr>
                  </w:pPr>
                  <w:r>
                    <w:rPr>
                      <w:rFonts w:ascii="Arial Narrow" w:hAnsi="Arial Narrow"/>
                    </w:rPr>
                    <w:t>6,000,000.00</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50" w:hRule="atLeast"/>
              </w:trPr>
              <w:tc>
                <w:tcPr>
                  <w:tcW w:w="853" w:type="pct"/>
                </w:tcPr>
                <w:p>
                  <w:pPr>
                    <w:jc w:val="left"/>
                    <w:rPr>
                      <w:rFonts w:ascii="仿宋" w:hAnsi="仿宋" w:eastAsia="仿宋"/>
                      <w:szCs w:val="21"/>
                    </w:rPr>
                  </w:pPr>
                  <w:r>
                    <w:rPr>
                      <w:rFonts w:hint="eastAsia" w:ascii="仿宋" w:hAnsi="仿宋" w:eastAsia="仿宋"/>
                      <w:szCs w:val="21"/>
                    </w:rPr>
                    <w:t>2018-3</w:t>
                  </w:r>
                </w:p>
              </w:tc>
              <w:tc>
                <w:tcPr>
                  <w:tcW w:w="3247" w:type="pct"/>
                  <w:shd w:val="clear" w:color="auto" w:fill="auto"/>
                </w:tcPr>
                <w:p>
                  <w:pPr>
                    <w:jc w:val="left"/>
                    <w:rPr>
                      <w:rFonts w:ascii="仿宋" w:hAnsi="仿宋" w:eastAsia="仿宋"/>
                      <w:szCs w:val="21"/>
                    </w:rPr>
                  </w:pPr>
                  <w:r>
                    <w:rPr>
                      <w:rFonts w:hint="eastAsia" w:ascii="仿宋" w:hAnsi="仿宋" w:eastAsia="仿宋"/>
                      <w:szCs w:val="21"/>
                    </w:rPr>
                    <w:t>退招标保证金</w:t>
                  </w:r>
                </w:p>
              </w:tc>
              <w:tc>
                <w:tcPr>
                  <w:tcW w:w="900" w:type="pct"/>
                  <w:shd w:val="clear" w:color="auto" w:fill="auto"/>
                  <w:vAlign w:val="center"/>
                </w:tcPr>
                <w:p>
                  <w:pPr>
                    <w:jc w:val="left"/>
                    <w:rPr>
                      <w:rFonts w:ascii="Arial Narrow" w:hAnsi="Arial Narrow"/>
                    </w:rPr>
                  </w:pPr>
                  <w:r>
                    <w:rPr>
                      <w:rFonts w:hint="eastAsia" w:ascii="Arial Narrow" w:hAnsi="Arial Narrow"/>
                    </w:rPr>
                    <w:t>-</w:t>
                  </w:r>
                  <w:r>
                    <w:rPr>
                      <w:rFonts w:ascii="Arial Narrow" w:hAnsi="Arial Narrow"/>
                    </w:rPr>
                    <w:t>461,220.00</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50" w:hRule="atLeast"/>
              </w:trPr>
              <w:tc>
                <w:tcPr>
                  <w:tcW w:w="853" w:type="pct"/>
                </w:tcPr>
                <w:p>
                  <w:pPr>
                    <w:jc w:val="left"/>
                    <w:rPr>
                      <w:rFonts w:ascii="仿宋" w:hAnsi="仿宋" w:eastAsia="仿宋"/>
                      <w:szCs w:val="21"/>
                    </w:rPr>
                  </w:pPr>
                  <w:r>
                    <w:rPr>
                      <w:rFonts w:hint="eastAsia" w:ascii="仿宋" w:hAnsi="仿宋" w:eastAsia="仿宋"/>
                      <w:szCs w:val="21"/>
                    </w:rPr>
                    <w:t>2019-2</w:t>
                  </w:r>
                </w:p>
              </w:tc>
              <w:tc>
                <w:tcPr>
                  <w:tcW w:w="3247" w:type="pct"/>
                  <w:shd w:val="clear" w:color="auto" w:fill="auto"/>
                </w:tcPr>
                <w:p>
                  <w:pPr>
                    <w:jc w:val="left"/>
                    <w:rPr>
                      <w:rFonts w:ascii="仿宋" w:hAnsi="仿宋" w:eastAsia="仿宋"/>
                      <w:szCs w:val="21"/>
                    </w:rPr>
                  </w:pPr>
                  <w:r>
                    <w:rPr>
                      <w:rFonts w:hint="eastAsia" w:ascii="仿宋" w:hAnsi="仿宋" w:eastAsia="仿宋"/>
                      <w:szCs w:val="21"/>
                    </w:rPr>
                    <w:t>收到陶辉2017年条南塘租费</w:t>
                  </w:r>
                </w:p>
              </w:tc>
              <w:tc>
                <w:tcPr>
                  <w:tcW w:w="900" w:type="pct"/>
                  <w:shd w:val="clear" w:color="auto" w:fill="auto"/>
                  <w:vAlign w:val="center"/>
                </w:tcPr>
                <w:p>
                  <w:pPr>
                    <w:jc w:val="left"/>
                    <w:rPr>
                      <w:rFonts w:ascii="Arial Narrow" w:hAnsi="Arial Narrow"/>
                    </w:rPr>
                  </w:pPr>
                  <w:r>
                    <w:rPr>
                      <w:rFonts w:ascii="Arial Narrow" w:hAnsi="Arial Narrow"/>
                    </w:rPr>
                    <w:t>-</w:t>
                  </w:r>
                  <w:r>
                    <w:rPr>
                      <w:rFonts w:hint="eastAsia" w:ascii="Arial Narrow" w:hAnsi="Arial Narrow"/>
                    </w:rPr>
                    <w:t>50</w:t>
                  </w:r>
                  <w:r>
                    <w:rPr>
                      <w:rFonts w:ascii="Arial Narrow" w:hAnsi="Arial Narrow"/>
                    </w:rPr>
                    <w:t>,000.00</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50" w:hRule="atLeast"/>
              </w:trPr>
              <w:tc>
                <w:tcPr>
                  <w:tcW w:w="853" w:type="pct"/>
                </w:tcPr>
                <w:p>
                  <w:pPr>
                    <w:jc w:val="left"/>
                    <w:rPr>
                      <w:rFonts w:ascii="仿宋" w:hAnsi="仿宋" w:eastAsia="仿宋"/>
                      <w:szCs w:val="21"/>
                    </w:rPr>
                  </w:pPr>
                  <w:r>
                    <w:rPr>
                      <w:rFonts w:hint="eastAsia" w:ascii="仿宋" w:hAnsi="仿宋" w:eastAsia="仿宋"/>
                      <w:szCs w:val="21"/>
                    </w:rPr>
                    <w:t>2</w:t>
                  </w:r>
                  <w:r>
                    <w:rPr>
                      <w:rFonts w:ascii="仿宋" w:hAnsi="仿宋" w:eastAsia="仿宋"/>
                      <w:szCs w:val="21"/>
                    </w:rPr>
                    <w:t>019-12</w:t>
                  </w:r>
                </w:p>
              </w:tc>
              <w:tc>
                <w:tcPr>
                  <w:tcW w:w="3247" w:type="pct"/>
                  <w:shd w:val="clear" w:color="auto" w:fill="auto"/>
                </w:tcPr>
                <w:p>
                  <w:pPr>
                    <w:jc w:val="left"/>
                    <w:rPr>
                      <w:rFonts w:ascii="仿宋" w:hAnsi="仿宋" w:eastAsia="仿宋"/>
                      <w:szCs w:val="21"/>
                    </w:rPr>
                  </w:pPr>
                  <w:r>
                    <w:rPr>
                      <w:rFonts w:hint="eastAsia" w:ascii="仿宋" w:hAnsi="仿宋" w:eastAsia="仿宋"/>
                      <w:szCs w:val="21"/>
                    </w:rPr>
                    <w:t>3区11号、13号、17号未转包的鱼塘转销售费用</w:t>
                  </w:r>
                </w:p>
              </w:tc>
              <w:tc>
                <w:tcPr>
                  <w:tcW w:w="900" w:type="pct"/>
                  <w:shd w:val="clear" w:color="auto" w:fill="auto"/>
                  <w:vAlign w:val="center"/>
                </w:tcPr>
                <w:p>
                  <w:pPr>
                    <w:jc w:val="left"/>
                    <w:rPr>
                      <w:rFonts w:ascii="Arial Narrow" w:hAnsi="Arial Narrow"/>
                    </w:rPr>
                  </w:pPr>
                  <w:r>
                    <w:rPr>
                      <w:rFonts w:hint="eastAsia" w:ascii="Arial Narrow" w:hAnsi="Arial Narrow"/>
                    </w:rPr>
                    <w:t>-894,240.00</w:t>
                  </w:r>
                </w:p>
              </w:tc>
            </w:tr>
          </w:tbl>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hint="eastAsia" w:ascii="宋体" w:hAnsi="宋体" w:eastAsia="宋体" w:cs="宋体"/>
                <w:kern w:val="0"/>
                <w:sz w:val="24"/>
                <w:szCs w:val="24"/>
              </w:rPr>
              <w:t>⑥</w:t>
            </w:r>
            <w:r>
              <w:rPr>
                <w:rFonts w:ascii="宋体" w:hAnsi="宋体" w:eastAsia="宋体" w:cs="宋体"/>
                <w:kern w:val="0"/>
                <w:sz w:val="24"/>
                <w:szCs w:val="24"/>
              </w:rPr>
              <w:t>序号</w:t>
            </w:r>
            <w:r>
              <w:rPr>
                <w:rFonts w:hint="eastAsia" w:ascii="宋体" w:hAnsi="宋体" w:eastAsia="宋体" w:cs="宋体"/>
                <w:kern w:val="0"/>
                <w:sz w:val="24"/>
                <w:szCs w:val="24"/>
                <w:lang w:val="en-US" w:eastAsia="zh-CN"/>
              </w:rPr>
              <w:t>9</w:t>
            </w:r>
            <w:r>
              <w:rPr>
                <w:rFonts w:ascii="宋体" w:hAnsi="宋体" w:eastAsia="宋体" w:cs="宋体"/>
                <w:kern w:val="0"/>
                <w:sz w:val="24"/>
                <w:szCs w:val="24"/>
              </w:rPr>
              <w:t xml:space="preserve">  </w:t>
            </w:r>
            <w:r>
              <w:rPr>
                <w:rFonts w:hint="eastAsia" w:ascii="宋体" w:hAnsi="宋体" w:eastAsia="宋体" w:cs="宋体"/>
                <w:kern w:val="0"/>
                <w:sz w:val="24"/>
                <w:szCs w:val="24"/>
              </w:rPr>
              <w:t>条南3区17号塘保证金</w:t>
            </w:r>
            <w:r>
              <w:rPr>
                <w:rFonts w:ascii="宋体" w:hAnsi="宋体" w:eastAsia="宋体" w:cs="宋体"/>
                <w:kern w:val="0"/>
                <w:sz w:val="24"/>
                <w:szCs w:val="24"/>
              </w:rPr>
              <w:t>。</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⑦</w:t>
            </w:r>
            <w:r>
              <w:rPr>
                <w:rFonts w:ascii="宋体" w:hAnsi="宋体" w:eastAsia="宋体" w:cs="宋体"/>
                <w:kern w:val="0"/>
                <w:sz w:val="24"/>
                <w:szCs w:val="24"/>
              </w:rPr>
              <w:t>序号1</w:t>
            </w:r>
            <w:r>
              <w:rPr>
                <w:rFonts w:hint="eastAsia" w:ascii="宋体" w:hAnsi="宋体" w:eastAsia="宋体" w:cs="宋体"/>
                <w:kern w:val="0"/>
                <w:sz w:val="24"/>
                <w:szCs w:val="24"/>
                <w:lang w:val="en-US" w:eastAsia="zh-CN"/>
              </w:rPr>
              <w:t>1</w:t>
            </w:r>
            <w:r>
              <w:rPr>
                <w:rFonts w:ascii="宋体" w:hAnsi="宋体" w:eastAsia="宋体" w:cs="宋体"/>
                <w:kern w:val="0"/>
                <w:sz w:val="24"/>
                <w:szCs w:val="24"/>
              </w:rPr>
              <w:t xml:space="preserve">  </w:t>
            </w:r>
            <w:r>
              <w:rPr>
                <w:rFonts w:hint="eastAsia" w:ascii="宋体" w:hAnsi="宋体" w:eastAsia="宋体" w:cs="宋体"/>
                <w:kern w:val="0"/>
                <w:sz w:val="24"/>
                <w:szCs w:val="24"/>
              </w:rPr>
              <w:t>投标保证金</w:t>
            </w:r>
            <w:r>
              <w:rPr>
                <w:rFonts w:ascii="宋体" w:hAnsi="宋体" w:eastAsia="宋体" w:cs="宋体"/>
                <w:kern w:val="0"/>
                <w:sz w:val="24"/>
                <w:szCs w:val="24"/>
              </w:rPr>
              <w:t>。</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⑧</w:t>
            </w:r>
            <w:r>
              <w:rPr>
                <w:rFonts w:ascii="宋体" w:hAnsi="宋体" w:eastAsia="宋体" w:cs="宋体"/>
                <w:kern w:val="0"/>
                <w:sz w:val="24"/>
                <w:szCs w:val="24"/>
              </w:rPr>
              <w:t>序号1</w:t>
            </w:r>
            <w:r>
              <w:rPr>
                <w:rFonts w:hint="eastAsia" w:ascii="宋体" w:hAnsi="宋体" w:eastAsia="宋体" w:cs="宋体"/>
                <w:kern w:val="0"/>
                <w:sz w:val="24"/>
                <w:szCs w:val="24"/>
                <w:lang w:val="en-US" w:eastAsia="zh-CN"/>
              </w:rPr>
              <w:t>2</w:t>
            </w:r>
            <w:r>
              <w:rPr>
                <w:rFonts w:ascii="宋体" w:hAnsi="宋体" w:eastAsia="宋体" w:cs="宋体"/>
                <w:kern w:val="0"/>
                <w:sz w:val="24"/>
                <w:szCs w:val="24"/>
              </w:rPr>
              <w:t>、1</w:t>
            </w:r>
            <w:r>
              <w:rPr>
                <w:rFonts w:hint="eastAsia" w:ascii="宋体" w:hAnsi="宋体" w:eastAsia="宋体" w:cs="宋体"/>
                <w:kern w:val="0"/>
                <w:sz w:val="24"/>
                <w:szCs w:val="24"/>
                <w:lang w:val="en-US" w:eastAsia="zh-CN"/>
              </w:rPr>
              <w:t>3</w:t>
            </w:r>
            <w:r>
              <w:rPr>
                <w:rFonts w:ascii="宋体" w:hAnsi="宋体" w:eastAsia="宋体" w:cs="宋体"/>
                <w:kern w:val="0"/>
                <w:sz w:val="24"/>
                <w:szCs w:val="24"/>
              </w:rPr>
              <w:t>、1</w:t>
            </w:r>
            <w:r>
              <w:rPr>
                <w:rFonts w:hint="eastAsia" w:ascii="宋体" w:hAnsi="宋体" w:eastAsia="宋体" w:cs="宋体"/>
                <w:kern w:val="0"/>
                <w:sz w:val="24"/>
                <w:szCs w:val="24"/>
                <w:lang w:val="en-US" w:eastAsia="zh-CN"/>
              </w:rPr>
              <w:t>4</w:t>
            </w:r>
            <w:r>
              <w:rPr>
                <w:rFonts w:ascii="宋体" w:hAnsi="宋体" w:eastAsia="宋体" w:cs="宋体"/>
                <w:kern w:val="0"/>
                <w:sz w:val="24"/>
                <w:szCs w:val="24"/>
              </w:rPr>
              <w:t xml:space="preserve">  </w:t>
            </w:r>
            <w:r>
              <w:rPr>
                <w:rFonts w:hint="eastAsia" w:ascii="宋体" w:hAnsi="宋体" w:eastAsia="宋体" w:cs="宋体"/>
                <w:kern w:val="0"/>
                <w:sz w:val="24"/>
                <w:szCs w:val="24"/>
              </w:rPr>
              <w:t>代收代缴五险一金</w:t>
            </w:r>
            <w:r>
              <w:rPr>
                <w:rFonts w:ascii="宋体" w:hAnsi="宋体" w:eastAsia="宋体" w:cs="宋体"/>
                <w:kern w:val="0"/>
                <w:sz w:val="24"/>
                <w:szCs w:val="24"/>
              </w:rPr>
              <w:t>。</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⑨</w:t>
            </w:r>
            <w:r>
              <w:rPr>
                <w:rFonts w:ascii="宋体" w:hAnsi="宋体" w:eastAsia="宋体" w:cs="宋体"/>
                <w:kern w:val="0"/>
                <w:sz w:val="24"/>
                <w:szCs w:val="24"/>
              </w:rPr>
              <w:t>序号</w:t>
            </w: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5</w:t>
            </w:r>
            <w:r>
              <w:rPr>
                <w:rFonts w:ascii="宋体" w:hAnsi="宋体" w:eastAsia="宋体" w:cs="宋体"/>
                <w:kern w:val="0"/>
                <w:sz w:val="24"/>
                <w:szCs w:val="24"/>
              </w:rPr>
              <w:t xml:space="preserve">  </w:t>
            </w:r>
            <w:r>
              <w:rPr>
                <w:rFonts w:hint="eastAsia" w:ascii="宋体" w:hAnsi="宋体" w:eastAsia="宋体" w:cs="宋体"/>
                <w:kern w:val="0"/>
                <w:sz w:val="24"/>
                <w:szCs w:val="24"/>
              </w:rPr>
              <w:t>职工宿舍押金。</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⑩</w:t>
            </w:r>
            <w:r>
              <w:rPr>
                <w:rFonts w:ascii="宋体" w:hAnsi="宋体" w:eastAsia="宋体" w:cs="宋体"/>
                <w:kern w:val="0"/>
                <w:sz w:val="24"/>
                <w:szCs w:val="24"/>
              </w:rPr>
              <w:t>序号</w:t>
            </w: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6</w:t>
            </w:r>
            <w:r>
              <w:rPr>
                <w:rFonts w:ascii="宋体" w:hAnsi="宋体" w:eastAsia="宋体" w:cs="宋体"/>
                <w:kern w:val="0"/>
                <w:sz w:val="24"/>
                <w:szCs w:val="24"/>
              </w:rPr>
              <w:t xml:space="preserve">  （</w:t>
            </w:r>
            <w:r>
              <w:rPr>
                <w:rFonts w:hint="eastAsia" w:ascii="宋体" w:hAnsi="宋体" w:eastAsia="宋体" w:cs="宋体"/>
                <w:kern w:val="0"/>
                <w:sz w:val="24"/>
                <w:szCs w:val="24"/>
              </w:rPr>
              <w:t>2022）苏0982民初2513号（2023）苏09民终904号。</w:t>
            </w:r>
          </w:p>
          <w:p>
            <w:pPr>
              <w:rPr>
                <w:rFonts w:ascii="宋体" w:hAnsi="宋体" w:eastAsia="宋体" w:cs="宋体"/>
                <w:kern w:val="0"/>
                <w:sz w:val="24"/>
                <w:szCs w:val="24"/>
              </w:rPr>
            </w:pPr>
            <w:r>
              <w:rPr>
                <w:rFonts w:ascii="Cambria Math" w:hAnsi="Cambria Math" w:eastAsia="宋体" w:cs="Cambria Math"/>
                <w:kern w:val="0"/>
                <w:sz w:val="24"/>
                <w:szCs w:val="24"/>
              </w:rPr>
              <w:t>⑪</w:t>
            </w:r>
            <w:r>
              <w:rPr>
                <w:rFonts w:ascii="宋体" w:hAnsi="宋体" w:eastAsia="宋体" w:cs="宋体"/>
                <w:kern w:val="0"/>
                <w:sz w:val="24"/>
                <w:szCs w:val="24"/>
              </w:rPr>
              <w:t>序号</w:t>
            </w: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7</w:t>
            </w:r>
            <w:r>
              <w:rPr>
                <w:rFonts w:ascii="宋体" w:hAnsi="宋体" w:eastAsia="宋体" w:cs="宋体"/>
                <w:kern w:val="0"/>
                <w:sz w:val="24"/>
                <w:szCs w:val="24"/>
              </w:rPr>
              <w:t xml:space="preserve">  </w:t>
            </w:r>
            <w:r>
              <w:rPr>
                <w:rFonts w:hint="eastAsia" w:ascii="宋体" w:hAnsi="宋体" w:eastAsia="宋体" w:cs="宋体"/>
                <w:kern w:val="0"/>
                <w:sz w:val="24"/>
                <w:szCs w:val="24"/>
              </w:rPr>
              <w:t>（2019）沪0117民初15258号；(2020)沪0117执4980号</w:t>
            </w:r>
          </w:p>
          <w:p>
            <w:pPr>
              <w:rPr>
                <w:rFonts w:ascii="宋体" w:hAnsi="宋体" w:eastAsia="宋体" w:cs="宋体"/>
                <w:kern w:val="0"/>
                <w:sz w:val="24"/>
                <w:szCs w:val="24"/>
              </w:rPr>
            </w:pPr>
            <w:r>
              <w:rPr>
                <w:rFonts w:hint="eastAsia" w:ascii="宋体" w:hAnsi="宋体" w:eastAsia="宋体" w:cs="宋体"/>
                <w:kern w:val="0"/>
                <w:sz w:val="24"/>
                <w:szCs w:val="24"/>
              </w:rPr>
              <w:t>，执行情况如下：</w:t>
            </w:r>
          </w:p>
          <w:p>
            <w:pPr>
              <w:rPr>
                <w:rFonts w:ascii="仿宋" w:hAnsi="仿宋" w:eastAsia="仿宋" w:cs="仿宋"/>
                <w:sz w:val="20"/>
              </w:rPr>
            </w:pPr>
            <w:r>
              <w:rPr>
                <w:rFonts w:hint="eastAsia" w:ascii="宋体" w:hAnsi="宋体" w:eastAsia="宋体" w:cs="宋体"/>
                <w:kern w:val="0"/>
                <w:sz w:val="24"/>
                <w:szCs w:val="24"/>
              </w:rPr>
              <w:t>1. 执行日期：2020年6月30日；2. 被执行人：曹晓华、都昌县宏华特种水产品农民专业合作社、黄志伟；3. 执行标的： 83,162.00元；4. 终本日期：2020年9月16日。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2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15" w:lineRule="atLeast"/>
              <w:jc w:val="center"/>
              <w:rPr>
                <w:rFonts w:ascii="宋体" w:hAnsi="宋体" w:eastAsia="宋体" w:cs="宋体"/>
                <w:kern w:val="0"/>
                <w:sz w:val="24"/>
                <w:szCs w:val="24"/>
              </w:rPr>
            </w:pPr>
            <w:r>
              <w:rPr>
                <w:rFonts w:ascii="宋体" w:hAnsi="宋体" w:eastAsia="宋体" w:cs="宋体"/>
                <w:kern w:val="0"/>
                <w:sz w:val="24"/>
                <w:szCs w:val="24"/>
              </w:rPr>
              <w:t>特别提示</w:t>
            </w:r>
          </w:p>
        </w:tc>
        <w:tc>
          <w:tcPr>
            <w:tcW w:w="81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tLeast"/>
              <w:jc w:val="left"/>
              <w:rPr>
                <w:rFonts w:ascii="宋体" w:hAnsi="宋体" w:eastAsia="宋体" w:cs="宋体"/>
                <w:kern w:val="0"/>
                <w:sz w:val="24"/>
                <w:szCs w:val="24"/>
              </w:rPr>
            </w:pPr>
            <w:r>
              <w:rPr>
                <w:rFonts w:ascii="宋体" w:hAnsi="宋体" w:eastAsia="宋体" w:cs="宋体"/>
                <w:kern w:val="0"/>
                <w:sz w:val="24"/>
                <w:szCs w:val="24"/>
              </w:rPr>
              <w:t>1.本次拍卖标的为应收款，拍卖标的可能存在着瑕疵或尚未发现的缺陷，包括但不限于下列一项或多项：</w:t>
            </w:r>
          </w:p>
          <w:p>
            <w:pPr>
              <w:widowControl/>
              <w:numPr>
                <w:ilvl w:val="0"/>
                <w:numId w:val="2"/>
              </w:numPr>
              <w:spacing w:before="100" w:beforeAutospacing="1" w:after="100" w:afterAutospacing="1" w:line="360" w:lineRule="atLeast"/>
              <w:ind w:left="1140"/>
              <w:jc w:val="left"/>
              <w:rPr>
                <w:rFonts w:ascii="宋体" w:hAnsi="宋体" w:eastAsia="宋体" w:cs="宋体"/>
                <w:kern w:val="0"/>
                <w:sz w:val="24"/>
                <w:szCs w:val="24"/>
              </w:rPr>
            </w:pPr>
            <w:r>
              <w:rPr>
                <w:rFonts w:ascii="宋体" w:hAnsi="宋体" w:eastAsia="宋体" w:cs="宋体"/>
                <w:b/>
                <w:bCs/>
                <w:kern w:val="0"/>
                <w:sz w:val="24"/>
                <w:szCs w:val="24"/>
                <w:shd w:val="clear" w:color="auto" w:fill="FFFF00"/>
              </w:rPr>
              <w:t>因出卖人已进入破产程序，上述拍卖标的的</w:t>
            </w:r>
            <w:r>
              <w:rPr>
                <w:rFonts w:hint="eastAsia" w:ascii="宋体" w:hAnsi="宋体" w:eastAsia="宋体" w:cs="宋体"/>
                <w:b/>
                <w:bCs/>
                <w:kern w:val="0"/>
                <w:sz w:val="24"/>
                <w:szCs w:val="24"/>
                <w:shd w:val="clear" w:color="auto" w:fill="FFFF00"/>
                <w:lang w:eastAsia="zh-CN"/>
              </w:rPr>
              <w:t>17项</w:t>
            </w:r>
            <w:r>
              <w:rPr>
                <w:rFonts w:ascii="宋体" w:hAnsi="宋体" w:eastAsia="宋体" w:cs="宋体"/>
                <w:b/>
                <w:bCs/>
                <w:kern w:val="0"/>
                <w:sz w:val="24"/>
                <w:szCs w:val="24"/>
                <w:shd w:val="clear" w:color="auto" w:fill="FFFF00"/>
              </w:rPr>
              <w:t>无质押应收款系根据</w:t>
            </w:r>
            <w:r>
              <w:rPr>
                <w:rFonts w:hint="eastAsia" w:ascii="宋体" w:hAnsi="宋体" w:eastAsia="宋体" w:cs="宋体"/>
                <w:b/>
                <w:bCs/>
                <w:kern w:val="0"/>
                <w:sz w:val="24"/>
                <w:szCs w:val="24"/>
                <w:shd w:val="clear" w:color="auto" w:fill="FFFF00"/>
              </w:rPr>
              <w:t>审计机构的审计报告中</w:t>
            </w:r>
            <w:r>
              <w:rPr>
                <w:rFonts w:ascii="宋体" w:hAnsi="宋体" w:eastAsia="宋体" w:cs="宋体"/>
                <w:b/>
                <w:bCs/>
                <w:kern w:val="0"/>
                <w:sz w:val="24"/>
                <w:szCs w:val="24"/>
                <w:shd w:val="clear" w:color="auto" w:fill="FFFF00"/>
              </w:rPr>
              <w:t>“应收账款“、“其他应收款”整理而来，且部分应收款的债务人拒绝与出卖人管理人进行对账。如存在可能导致上述拍卖标的中的应收款存有争议、债权不成立、无法收回、产生损失等风险。</w:t>
            </w:r>
          </w:p>
          <w:p>
            <w:pPr>
              <w:widowControl/>
              <w:numPr>
                <w:ilvl w:val="0"/>
                <w:numId w:val="2"/>
              </w:numPr>
              <w:spacing w:before="100" w:beforeAutospacing="1" w:after="100" w:afterAutospacing="1" w:line="360" w:lineRule="atLeast"/>
              <w:ind w:left="1140"/>
              <w:jc w:val="left"/>
              <w:rPr>
                <w:rFonts w:ascii="宋体" w:hAnsi="宋体" w:eastAsia="宋体" w:cs="宋体"/>
                <w:kern w:val="0"/>
                <w:sz w:val="24"/>
                <w:szCs w:val="24"/>
              </w:rPr>
            </w:pPr>
            <w:r>
              <w:rPr>
                <w:rFonts w:ascii="宋体" w:hAnsi="宋体" w:eastAsia="宋体" w:cs="宋体"/>
                <w:b/>
                <w:bCs/>
                <w:kern w:val="0"/>
                <w:sz w:val="24"/>
                <w:szCs w:val="24"/>
                <w:shd w:val="clear" w:color="auto" w:fill="FFFF00"/>
              </w:rPr>
              <w:t>部分应收款账龄较长，即使债权依法成立，但存在因超过诉讼时效等抗辩事由而导致法律救济上无法胜诉的风险。</w:t>
            </w:r>
          </w:p>
          <w:p>
            <w:pPr>
              <w:widowControl/>
              <w:numPr>
                <w:ilvl w:val="0"/>
                <w:numId w:val="2"/>
              </w:numPr>
              <w:spacing w:before="100" w:beforeAutospacing="1" w:after="100" w:afterAutospacing="1" w:line="360" w:lineRule="atLeast"/>
              <w:ind w:left="1140"/>
              <w:jc w:val="left"/>
              <w:rPr>
                <w:rFonts w:ascii="宋体" w:hAnsi="宋体" w:eastAsia="宋体" w:cs="宋体"/>
                <w:kern w:val="0"/>
                <w:sz w:val="24"/>
                <w:szCs w:val="24"/>
              </w:rPr>
            </w:pPr>
            <w:r>
              <w:rPr>
                <w:rFonts w:ascii="宋体" w:hAnsi="宋体" w:eastAsia="宋体" w:cs="宋体"/>
                <w:b/>
                <w:bCs/>
                <w:kern w:val="0"/>
                <w:sz w:val="24"/>
                <w:szCs w:val="24"/>
              </w:rPr>
              <w:t>与应收款相关的债务人存在被吊销营业执照或其出资人、董监高存在死亡、下落不明以及其他主体存续性瑕疵的情形。</w:t>
            </w:r>
          </w:p>
          <w:p>
            <w:pPr>
              <w:widowControl/>
              <w:numPr>
                <w:ilvl w:val="0"/>
                <w:numId w:val="2"/>
              </w:numPr>
              <w:spacing w:before="100" w:beforeAutospacing="1" w:after="100" w:afterAutospacing="1" w:line="360" w:lineRule="atLeast"/>
              <w:ind w:left="1140"/>
              <w:jc w:val="left"/>
              <w:rPr>
                <w:rFonts w:ascii="宋体" w:hAnsi="宋体" w:eastAsia="宋体" w:cs="宋体"/>
                <w:kern w:val="0"/>
                <w:sz w:val="24"/>
                <w:szCs w:val="24"/>
              </w:rPr>
            </w:pPr>
            <w:r>
              <w:rPr>
                <w:rFonts w:ascii="宋体" w:hAnsi="宋体" w:eastAsia="宋体" w:cs="宋体"/>
                <w:b/>
                <w:bCs/>
                <w:kern w:val="0"/>
                <w:sz w:val="24"/>
                <w:szCs w:val="24"/>
              </w:rPr>
              <w:t>其他已经和/或尚未发现的可能导致应收款债权存在争议、债权不成立、无法收回、产生损失等风险。</w:t>
            </w:r>
          </w:p>
          <w:p>
            <w:pPr>
              <w:widowControl/>
              <w:spacing w:before="100" w:beforeAutospacing="1" w:after="100" w:afterAutospacing="1" w:line="360" w:lineRule="atLeast"/>
              <w:jc w:val="left"/>
              <w:rPr>
                <w:rFonts w:ascii="宋体" w:hAnsi="宋体" w:eastAsia="宋体" w:cs="宋体"/>
                <w:kern w:val="0"/>
                <w:sz w:val="24"/>
                <w:szCs w:val="24"/>
              </w:rPr>
            </w:pPr>
            <w:r>
              <w:rPr>
                <w:rFonts w:ascii="宋体" w:hAnsi="宋体" w:eastAsia="宋体" w:cs="宋体"/>
                <w:kern w:val="0"/>
                <w:sz w:val="24"/>
                <w:szCs w:val="24"/>
              </w:rPr>
              <w:t>2.上述存在着瑕疵或尚未发现的缺陷，由竞买人自行调查核实并承担相应风险。管理人和拍辅单位对标的债权清收的困难性和可回收性不作出任何承诺或保证。竞买人一旦作出竞买决定，即表明竞买人确认知悉标的可能存在的瑕疵和风险,竞买人自愿承担受让该等标的后可能承受的一切风险以及由该等风险所造成的一切损失或无法实现的预期利益。</w:t>
            </w:r>
            <w:r>
              <w:rPr>
                <w:rFonts w:hint="eastAsia" w:ascii="Times New Roman" w:hAnsi="Times New Roman" w:eastAsia="楷体" w:cs="Times New Roman"/>
                <w:color w:val="FF0000"/>
                <w:kern w:val="0"/>
                <w:sz w:val="24"/>
                <w:szCs w:val="24"/>
                <w:highlight w:val="yellow"/>
                <w:u w:val="single"/>
              </w:rPr>
              <w:t>买受人须自行负责通知债务人应收款项转让事项，管理人予以配合，如无特殊情况，人民法院不予出具裁定书和协助执行通知书。</w:t>
            </w:r>
          </w:p>
          <w:p>
            <w:pPr>
              <w:widowControl/>
              <w:spacing w:before="100" w:beforeAutospacing="1" w:after="100" w:afterAutospacing="1" w:line="315" w:lineRule="atLeast"/>
              <w:jc w:val="left"/>
              <w:rPr>
                <w:rFonts w:ascii="宋体" w:hAnsi="宋体" w:eastAsia="宋体" w:cs="宋体"/>
                <w:kern w:val="0"/>
                <w:sz w:val="24"/>
                <w:szCs w:val="24"/>
              </w:rPr>
            </w:pPr>
            <w:r>
              <w:rPr>
                <w:rFonts w:ascii="宋体" w:hAnsi="宋体" w:eastAsia="宋体" w:cs="宋体"/>
                <w:kern w:val="0"/>
                <w:sz w:val="24"/>
                <w:szCs w:val="24"/>
              </w:rPr>
              <w:t>3.管理人和拍辅单位对此次竞价标的物所作的说明和提供的资料等,不构成对标的物的任何担保,不作为对竞买人参与此次竞价的建议,仅提供竞买人参考。（特别提醒：请有意竞买者自行在拍卖前仔细审查拍卖标的物,调查是否存在瑕疵,认真研究查看所竞买标的物的实际情况,竞买人一旦参与竞买,即视为对拍卖标的已完全了解,并接受拍卖标的现状和一切已知及未知的瑕疵（含显性、隐性瑕疵）,管理人不承担瑕疵担保责任）。拍卖成交之日起，买受人承担标的物可能发生的一切损毁、灭失、贬值等风险。管理人有权在拍卖开始前、拍卖过程中，中止拍卖或撤回拍卖，前述行为对各方不构成违约且管理人不承担各方因此造成的损失。本次网上公开竞价《竞买公告》《竞买须知》等拍卖标的相关文件已在网拍平台公开展示,请仔细阅读。管理人已就前述相关拍卖标的相关文件的所有条款向竞买人如实告知并做出详细说明,竞买人知悉并同意接受前述文件的全部条款和内容,竞买人和资产处置方双方不存在任何歧义和误认,竞买人承诺不再对前述文件的条款提出任何异议。管理人和拍辅单位不对应收款项是否可以收回或潜在的责任和风险做出任何担保，不承担本标的物瑕疵保证，相关风险均由竞买人自行承担。</w:t>
            </w:r>
          </w:p>
        </w:tc>
      </w:tr>
      <w:bookmarkEnd w:id="3"/>
    </w:tbl>
    <w:p>
      <w:pPr>
        <w:widowControl/>
        <w:shd w:val="clear" w:color="auto" w:fill="FFFFFF"/>
        <w:spacing w:before="100" w:beforeAutospacing="1" w:after="100" w:afterAutospacing="1"/>
        <w:jc w:val="center"/>
        <w:rPr>
          <w:rFonts w:ascii="宋体" w:hAnsi="宋体" w:eastAsia="宋体" w:cs="宋体"/>
          <w:kern w:val="0"/>
          <w:sz w:val="24"/>
          <w:szCs w:val="24"/>
        </w:rPr>
      </w:pPr>
      <w:r>
        <w:rPr>
          <w:rFonts w:ascii="宋体" w:hAnsi="宋体" w:eastAsia="宋体" w:cs="宋体"/>
          <w:kern w:val="0"/>
          <w:sz w:val="24"/>
          <w:szCs w:val="24"/>
        </w:rPr>
        <w:t> </w:t>
      </w:r>
    </w:p>
    <w:p>
      <w:pPr>
        <w:rPr>
          <w:sz w:val="24"/>
          <w:szCs w:val="24"/>
        </w:rPr>
      </w:pP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9"/>
      </w:rPr>
      <w:id w:val="2100062729"/>
    </w:sdtPr>
    <w:sdtEndPr>
      <w:rPr>
        <w:rStyle w:val="9"/>
      </w:rPr>
    </w:sdtEndPr>
    <w:sdtContent>
      <w:p>
        <w:pPr>
          <w:pStyle w:val="4"/>
          <w:framePr w:wrap="auto" w:vAnchor="text" w:hAnchor="margin" w:xAlign="center" w:y="1"/>
          <w:rPr>
            <w:rStyle w:val="9"/>
          </w:rPr>
        </w:pPr>
        <w:r>
          <w:rPr>
            <w:rStyle w:val="9"/>
          </w:rPr>
          <w:fldChar w:fldCharType="begin"/>
        </w:r>
        <w:r>
          <w:rPr>
            <w:rStyle w:val="9"/>
          </w:rPr>
          <w:instrText xml:space="preserve"> PAGE </w:instrText>
        </w:r>
        <w:r>
          <w:rPr>
            <w:rStyle w:val="9"/>
          </w:rPr>
          <w:fldChar w:fldCharType="separate"/>
        </w:r>
        <w:r>
          <w:rPr>
            <w:rStyle w:val="9"/>
          </w:rPr>
          <w:t>16</w:t>
        </w:r>
        <w:r>
          <w:rPr>
            <w:rStyle w:val="9"/>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9"/>
      </w:rPr>
      <w:id w:val="1468700700"/>
    </w:sdtPr>
    <w:sdtEndPr>
      <w:rPr>
        <w:rStyle w:val="9"/>
      </w:rPr>
    </w:sdtEndPr>
    <w:sdtContent>
      <w:p>
        <w:pPr>
          <w:pStyle w:val="4"/>
          <w:framePr w:wrap="auto" w:vAnchor="text" w:hAnchor="margin" w:xAlign="center" w:y="1"/>
          <w:rPr>
            <w:rStyle w:val="9"/>
          </w:rPr>
        </w:pPr>
        <w:r>
          <w:rPr>
            <w:rStyle w:val="9"/>
          </w:rPr>
          <w:fldChar w:fldCharType="begin"/>
        </w:r>
        <w:r>
          <w:rPr>
            <w:rStyle w:val="9"/>
          </w:rPr>
          <w:instrText xml:space="preserve"> PAGE </w:instrText>
        </w:r>
        <w:r>
          <w:rPr>
            <w:rStyle w:val="9"/>
          </w:rPr>
          <w:fldChar w:fldCharType="separate"/>
        </w:r>
        <w:r>
          <w:rPr>
            <w:rStyle w:val="9"/>
          </w:rPr>
          <w:t>5</w:t>
        </w:r>
        <w:r>
          <w:rPr>
            <w:rStyle w:val="9"/>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6E1D60"/>
    <w:multiLevelType w:val="multilevel"/>
    <w:tmpl w:val="0F6E1D60"/>
    <w:lvl w:ilvl="0" w:tentative="0">
      <w:start w:val="1"/>
      <w:numFmt w:val="chineseCountingThousand"/>
      <w:suff w:val="nothing"/>
      <w:lvlText w:val="%1、"/>
      <w:lvlJc w:val="left"/>
      <w:pPr>
        <w:ind w:left="0" w:firstLine="0"/>
      </w:pPr>
      <w:rPr>
        <w:rFonts w:hint="default" w:ascii="Times New Roman" w:hAnsi="Times New Roman" w:eastAsia="楷体_GB2312"/>
        <w:b/>
        <w:i w:val="0"/>
        <w:sz w:val="30"/>
      </w:rPr>
    </w:lvl>
    <w:lvl w:ilvl="1" w:tentative="0">
      <w:start w:val="1"/>
      <w:numFmt w:val="chineseCountingThousand"/>
      <w:suff w:val="space"/>
      <w:lvlText w:val="第%2条："/>
      <w:lvlJc w:val="left"/>
      <w:pPr>
        <w:ind w:left="0" w:firstLine="475"/>
      </w:pPr>
      <w:rPr>
        <w:rFonts w:hint="default" w:ascii="Times New Roman" w:hAnsi="Times New Roman" w:eastAsia="楷体_GB2312"/>
        <w:b/>
        <w:i w:val="0"/>
        <w:snapToGrid w:val="0"/>
        <w:kern w:val="0"/>
        <w:sz w:val="28"/>
      </w:rPr>
    </w:lvl>
    <w:lvl w:ilvl="2" w:tentative="0">
      <w:start w:val="1"/>
      <w:numFmt w:val="decimal"/>
      <w:pStyle w:val="2"/>
      <w:isLgl/>
      <w:suff w:val="space"/>
      <w:lvlText w:val="%3."/>
      <w:lvlJc w:val="left"/>
      <w:pPr>
        <w:ind w:left="0" w:firstLine="480"/>
      </w:pPr>
      <w:rPr>
        <w:rFonts w:hint="default" w:ascii="Times New Roman" w:hAnsi="Times New Roman" w:eastAsia="楷体_GB2312"/>
        <w:sz w:val="24"/>
      </w:rPr>
    </w:lvl>
    <w:lvl w:ilvl="3" w:tentative="0">
      <w:start w:val="1"/>
      <w:numFmt w:val="decimal"/>
      <w:isLgl/>
      <w:suff w:val="space"/>
      <w:lvlText w:val="%3.%4"/>
      <w:lvlJc w:val="left"/>
      <w:pPr>
        <w:ind w:left="0" w:firstLine="475"/>
      </w:pPr>
      <w:rPr>
        <w:rFonts w:hint="default" w:ascii="Times New Roman" w:hAnsi="Times New Roman" w:eastAsia="楷体_GB2312" w:cs="Times New Roman"/>
        <w:b w:val="0"/>
        <w:bCs w:val="0"/>
        <w:i w:val="0"/>
        <w:iCs w:val="0"/>
        <w:caps w:val="0"/>
        <w:smallCaps w:val="0"/>
        <w:strike w:val="0"/>
        <w:dstrike w:val="0"/>
        <w:outline w:val="0"/>
        <w:shadow w:val="0"/>
        <w:emboss w:val="0"/>
        <w:imprint w:val="0"/>
        <w:vanish w:val="0"/>
        <w:spacing w:val="0"/>
        <w:position w:val="0"/>
        <w:sz w:val="24"/>
        <w:u w:val="none"/>
        <w:vertAlign w:val="baseline"/>
      </w:rPr>
    </w:lvl>
    <w:lvl w:ilvl="4" w:tentative="0">
      <w:start w:val="1"/>
      <w:numFmt w:val="decimal"/>
      <w:suff w:val="space"/>
      <w:lvlText w:val="%3.%4.%5"/>
      <w:lvlJc w:val="left"/>
      <w:pPr>
        <w:ind w:left="0" w:firstLine="475"/>
      </w:pPr>
      <w:rPr>
        <w:rFonts w:hint="default" w:ascii="Times New Roman" w:hAnsi="Times New Roman" w:eastAsia="楷体_GB2312" w:cs="Times New Roman"/>
        <w:b w:val="0"/>
        <w:bCs w:val="0"/>
        <w:i w:val="0"/>
        <w:iCs w:val="0"/>
        <w:caps w:val="0"/>
        <w:smallCaps w:val="0"/>
        <w:strike w:val="0"/>
        <w:dstrike w:val="0"/>
        <w:outline w:val="0"/>
        <w:shadow w:val="0"/>
        <w:emboss w:val="0"/>
        <w:imprint w:val="0"/>
        <w:vanish w:val="0"/>
        <w:spacing w:val="0"/>
        <w:position w:val="0"/>
        <w:u w:val="none"/>
        <w:vertAlign w:val="baseline"/>
      </w:rPr>
    </w:lvl>
    <w:lvl w:ilvl="5" w:tentative="0">
      <w:start w:val="1"/>
      <w:numFmt w:val="lowerLetter"/>
      <w:suff w:val="space"/>
      <w:lvlText w:val="(%6)"/>
      <w:lvlJc w:val="left"/>
      <w:pPr>
        <w:ind w:left="-400" w:firstLine="875"/>
      </w:pPr>
      <w:rPr>
        <w:rFonts w:hint="default" w:ascii="Times New Roman" w:hAnsi="Times New Roman" w:eastAsia="楷体_GB2312"/>
        <w:b w:val="0"/>
        <w:i w:val="0"/>
        <w:sz w:val="24"/>
      </w:rPr>
    </w:lvl>
    <w:lvl w:ilvl="6" w:tentative="0">
      <w:start w:val="1"/>
      <w:numFmt w:val="decimal"/>
      <w:lvlText w:val="%7."/>
      <w:lvlJc w:val="left"/>
      <w:pPr>
        <w:tabs>
          <w:tab w:val="left" w:pos="104"/>
        </w:tabs>
        <w:ind w:left="-400" w:firstLine="480"/>
      </w:pPr>
      <w:rPr>
        <w:rFonts w:hint="eastAsia"/>
      </w:rPr>
    </w:lvl>
    <w:lvl w:ilvl="7" w:tentative="0">
      <w:start w:val="1"/>
      <w:numFmt w:val="lowerLetter"/>
      <w:lvlText w:val="%8)"/>
      <w:lvlJc w:val="left"/>
      <w:pPr>
        <w:tabs>
          <w:tab w:val="left" w:pos="104"/>
        </w:tabs>
        <w:ind w:left="-400" w:firstLine="480"/>
      </w:pPr>
      <w:rPr>
        <w:rFonts w:hint="eastAsia"/>
      </w:rPr>
    </w:lvl>
    <w:lvl w:ilvl="8" w:tentative="0">
      <w:start w:val="1"/>
      <w:numFmt w:val="lowerRoman"/>
      <w:lvlText w:val="%9."/>
      <w:lvlJc w:val="right"/>
      <w:pPr>
        <w:tabs>
          <w:tab w:val="left" w:pos="104"/>
        </w:tabs>
        <w:ind w:left="-400" w:firstLine="480"/>
      </w:pPr>
      <w:rPr>
        <w:rFonts w:hint="eastAsia"/>
      </w:rPr>
    </w:lvl>
  </w:abstractNum>
  <w:abstractNum w:abstractNumId="1">
    <w:nsid w:val="595854D6"/>
    <w:multiLevelType w:val="multilevel"/>
    <w:tmpl w:val="595854D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270197"/>
    <w:rsid w:val="0008421A"/>
    <w:rsid w:val="000B5B6C"/>
    <w:rsid w:val="00184E8B"/>
    <w:rsid w:val="00194DFD"/>
    <w:rsid w:val="001E000D"/>
    <w:rsid w:val="00250634"/>
    <w:rsid w:val="00270197"/>
    <w:rsid w:val="002E3843"/>
    <w:rsid w:val="00364724"/>
    <w:rsid w:val="0038382A"/>
    <w:rsid w:val="004107E9"/>
    <w:rsid w:val="004D11C4"/>
    <w:rsid w:val="00505762"/>
    <w:rsid w:val="005070F3"/>
    <w:rsid w:val="00611C85"/>
    <w:rsid w:val="00753B2E"/>
    <w:rsid w:val="007C00A6"/>
    <w:rsid w:val="0081521F"/>
    <w:rsid w:val="00843019"/>
    <w:rsid w:val="00901C00"/>
    <w:rsid w:val="00946876"/>
    <w:rsid w:val="009615BB"/>
    <w:rsid w:val="009D71CE"/>
    <w:rsid w:val="00A2366C"/>
    <w:rsid w:val="00A55F96"/>
    <w:rsid w:val="00A611CE"/>
    <w:rsid w:val="00B3737A"/>
    <w:rsid w:val="00BE5CAC"/>
    <w:rsid w:val="00C73A6E"/>
    <w:rsid w:val="00C74A9E"/>
    <w:rsid w:val="00CF472F"/>
    <w:rsid w:val="00DB3671"/>
    <w:rsid w:val="00E57CDC"/>
    <w:rsid w:val="00EF63EA"/>
    <w:rsid w:val="00F10831"/>
    <w:rsid w:val="00FA0E54"/>
    <w:rsid w:val="148D0699"/>
    <w:rsid w:val="39BF65B4"/>
    <w:rsid w:val="573B5393"/>
    <w:rsid w:val="57EF3BF1"/>
    <w:rsid w:val="7ACB31B2"/>
    <w:rsid w:val="7E7D55EC"/>
    <w:rsid w:val="7F7709CF"/>
    <w:rsid w:val="95EECED7"/>
    <w:rsid w:val="DFFF5FE4"/>
    <w:rsid w:val="F725F8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link w:val="13"/>
    <w:qFormat/>
    <w:uiPriority w:val="0"/>
    <w:pPr>
      <w:numPr>
        <w:ilvl w:val="2"/>
        <w:numId w:val="1"/>
      </w:numPr>
      <w:adjustRightInd w:val="0"/>
      <w:snapToGrid w:val="0"/>
      <w:spacing w:before="120" w:beforeLines="50" w:after="120" w:afterLines="50" w:line="300" w:lineRule="auto"/>
      <w:outlineLvl w:val="2"/>
    </w:pPr>
    <w:rPr>
      <w:rFonts w:ascii="Times New Roman" w:hAnsi="Times New Roman" w:eastAsia="楷体_GB2312" w:cs="Times New Roman"/>
      <w:bCs/>
      <w:sz w:val="28"/>
      <w:szCs w:val="28"/>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5"/>
    <w:semiHidden/>
    <w:unhideWhenUsed/>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page number"/>
    <w:basedOn w:val="8"/>
    <w:semiHidden/>
    <w:unhideWhenUsed/>
    <w:uiPriority w:val="99"/>
  </w:style>
  <w:style w:type="character" w:styleId="10">
    <w:name w:val="Hyperlink"/>
    <w:basedOn w:val="8"/>
    <w:semiHidden/>
    <w:unhideWhenUsed/>
    <w:uiPriority w:val="99"/>
    <w:rPr>
      <w:color w:val="0000FF"/>
      <w:u w:val="single"/>
    </w:rPr>
  </w:style>
  <w:style w:type="character" w:customStyle="1" w:styleId="11">
    <w:name w:val="页眉 Char"/>
    <w:basedOn w:val="8"/>
    <w:link w:val="5"/>
    <w:uiPriority w:val="99"/>
    <w:rPr>
      <w:sz w:val="18"/>
      <w:szCs w:val="18"/>
    </w:rPr>
  </w:style>
  <w:style w:type="character" w:customStyle="1" w:styleId="12">
    <w:name w:val="页脚 Char"/>
    <w:basedOn w:val="8"/>
    <w:link w:val="4"/>
    <w:uiPriority w:val="99"/>
    <w:rPr>
      <w:sz w:val="18"/>
      <w:szCs w:val="18"/>
    </w:rPr>
  </w:style>
  <w:style w:type="character" w:customStyle="1" w:styleId="13">
    <w:name w:val="标题 3 Char"/>
    <w:basedOn w:val="8"/>
    <w:link w:val="2"/>
    <w:uiPriority w:val="0"/>
    <w:rPr>
      <w:rFonts w:ascii="Times New Roman" w:hAnsi="Times New Roman" w:eastAsia="楷体_GB2312" w:cs="Times New Roman"/>
      <w:bCs/>
      <w:sz w:val="28"/>
      <w:szCs w:val="28"/>
    </w:rPr>
  </w:style>
  <w:style w:type="paragraph" w:customStyle="1" w:styleId="14">
    <w:name w:val="Revision"/>
    <w:hidden/>
    <w:unhideWhenUsed/>
    <w:uiPriority w:val="99"/>
    <w:rPr>
      <w:rFonts w:asciiTheme="minorHAnsi" w:hAnsiTheme="minorHAnsi" w:eastAsiaTheme="minorEastAsia" w:cstheme="minorBidi"/>
      <w:kern w:val="2"/>
      <w:sz w:val="21"/>
      <w:szCs w:val="22"/>
      <w:lang w:val="en-US" w:eastAsia="zh-CN" w:bidi="ar-SA"/>
    </w:rPr>
  </w:style>
  <w:style w:type="character" w:customStyle="1" w:styleId="15">
    <w:name w:val="批注框文本 Char"/>
    <w:basedOn w:val="8"/>
    <w:link w:val="3"/>
    <w:semiHidden/>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9309</Words>
  <Characters>10415</Characters>
  <Lines>696</Lines>
  <Paragraphs>502</Paragraphs>
  <TotalTime>0</TotalTime>
  <ScaleCrop>false</ScaleCrop>
  <LinksUpToDate>false</LinksUpToDate>
  <CharactersWithSpaces>10494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2024-01-11T19:45:00Z</dcterms:created>
  <dc:creator>斌 方</dc:creator>
  <cp:lastModifiedBy>Christy</cp:lastModifiedBy>
  <dcterms:modified xsi:type="dcterms:W3CDTF">2024-09-11T06:22:31Z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7C9F6FE1488EB150C324E166740563F3_43</vt:lpwstr>
  </property>
</Properties>
</file>