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95F65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方正小标宋简体" w:hAnsi="方正小标宋简体" w:eastAsia="方正小标宋简体" w:cs="方正小标宋简体"/>
          <w:i w:val="0"/>
          <w:iCs w:val="0"/>
          <w:caps w:val="0"/>
          <w:color w:val="000000"/>
          <w:spacing w:val="0"/>
          <w:sz w:val="44"/>
          <w:szCs w:val="44"/>
          <w:shd w:val="clear" w:fill="FFFFFF"/>
          <w:lang w:val="en-US" w:eastAsia="zh-CN"/>
        </w:rPr>
      </w:pPr>
      <w:r>
        <w:rPr>
          <w:rFonts w:hint="eastAsia" w:ascii="方正小标宋简体" w:hAnsi="方正小标宋简体" w:eastAsia="方正小标宋简体" w:cs="方正小标宋简体"/>
          <w:i w:val="0"/>
          <w:iCs w:val="0"/>
          <w:caps w:val="0"/>
          <w:color w:val="000000"/>
          <w:spacing w:val="0"/>
          <w:sz w:val="44"/>
          <w:szCs w:val="44"/>
          <w:shd w:val="clear" w:fill="FFFFFF"/>
          <w:lang w:val="en-US" w:eastAsia="zh-CN"/>
        </w:rPr>
        <w:t>标的物介绍</w:t>
      </w:r>
      <w:bookmarkStart w:id="0" w:name="_GoBack"/>
      <w:bookmarkEnd w:id="0"/>
    </w:p>
    <w:p w14:paraId="2F5BB556">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ascii="Helvetica" w:hAnsi="Helvetica" w:eastAsia="Helvetica" w:cs="Helvetica"/>
          <w:i w:val="0"/>
          <w:iCs w:val="0"/>
          <w:caps w:val="0"/>
          <w:color w:val="1B253A"/>
          <w:spacing w:val="0"/>
          <w:sz w:val="21"/>
          <w:szCs w:val="21"/>
        </w:rPr>
      </w:pPr>
      <w:r>
        <w:rPr>
          <w:rFonts w:ascii="宋体" w:hAnsi="宋体" w:eastAsia="宋体" w:cs="宋体"/>
          <w:i w:val="0"/>
          <w:iCs w:val="0"/>
          <w:caps w:val="0"/>
          <w:color w:val="000000"/>
          <w:spacing w:val="0"/>
          <w:sz w:val="27"/>
          <w:szCs w:val="27"/>
          <w:shd w:val="clear" w:fill="FFFFFF"/>
        </w:rPr>
        <w:t>本次拍卖标的物为陕西双翼石油化工有限责任公司对外投资的内蒙古七星矿业有限公司100%的股权及享有该司的全部债权。</w:t>
      </w:r>
    </w:p>
    <w:p w14:paraId="4AD98C91">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1B253A"/>
          <w:spacing w:val="0"/>
          <w:sz w:val="21"/>
          <w:szCs w:val="21"/>
        </w:rPr>
      </w:pPr>
      <w:r>
        <w:rPr>
          <w:rFonts w:hint="eastAsia" w:ascii="宋体" w:hAnsi="宋体" w:eastAsia="宋体" w:cs="宋体"/>
          <w:i w:val="0"/>
          <w:iCs w:val="0"/>
          <w:caps w:val="0"/>
          <w:color w:val="000000"/>
          <w:spacing w:val="0"/>
          <w:sz w:val="27"/>
          <w:szCs w:val="27"/>
          <w:shd w:val="clear" w:fill="FFFFFF"/>
        </w:rPr>
        <w:t>截至审计基准日2018年09月29日，陕西双翼石油化工有限责任公司（下称“破产人”）对内蒙古七星矿业有限公司(下称“七星矿业”)享有债权130,430,000.00元，七星矿业账面资产总额为218,224,491.76元，负债总额为281,325,870.34元，所有者权益总额为-63,101,378.58元。本次拍卖保留价的确定为破产人对七星矿业享有的债权数额与100%股权对应的所有者权益数额的加和，即67,328.621.42元。具体情况及注意事项如下：</w:t>
      </w:r>
    </w:p>
    <w:p w14:paraId="54FD6839">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542" w:firstLineChars="200"/>
        <w:jc w:val="both"/>
        <w:textAlignment w:val="auto"/>
        <w:rPr>
          <w:rFonts w:hint="default" w:ascii="Helvetica" w:hAnsi="Helvetica" w:eastAsia="Helvetica" w:cs="Helvetica"/>
          <w:i w:val="0"/>
          <w:iCs w:val="0"/>
          <w:caps w:val="0"/>
          <w:color w:val="1B253A"/>
          <w:spacing w:val="0"/>
          <w:sz w:val="21"/>
          <w:szCs w:val="21"/>
        </w:rPr>
      </w:pPr>
      <w:r>
        <w:rPr>
          <w:rFonts w:hint="eastAsia" w:ascii="宋体" w:hAnsi="宋体" w:eastAsia="宋体" w:cs="宋体"/>
          <w:b/>
          <w:bCs/>
          <w:i w:val="0"/>
          <w:iCs w:val="0"/>
          <w:caps w:val="0"/>
          <w:color w:val="000000"/>
          <w:spacing w:val="0"/>
          <w:sz w:val="27"/>
          <w:szCs w:val="27"/>
          <w:shd w:val="clear" w:fill="FFFFFF"/>
        </w:rPr>
        <w:t>一、财产情况</w:t>
      </w:r>
    </w:p>
    <w:p w14:paraId="09D090C6">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1B253A"/>
          <w:spacing w:val="0"/>
          <w:sz w:val="21"/>
          <w:szCs w:val="21"/>
        </w:rPr>
      </w:pPr>
      <w:r>
        <w:rPr>
          <w:rFonts w:hint="eastAsia" w:ascii="宋体" w:hAnsi="宋体" w:eastAsia="宋体" w:cs="宋体"/>
          <w:i w:val="0"/>
          <w:iCs w:val="0"/>
          <w:caps w:val="0"/>
          <w:color w:val="000000"/>
          <w:spacing w:val="0"/>
          <w:sz w:val="27"/>
          <w:szCs w:val="27"/>
          <w:shd w:val="clear" w:fill="FFFFFF"/>
        </w:rPr>
        <w:t>(一)对外投资情况</w:t>
      </w:r>
    </w:p>
    <w:p w14:paraId="16F4BF19">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1B253A"/>
          <w:spacing w:val="0"/>
          <w:sz w:val="21"/>
          <w:szCs w:val="21"/>
        </w:rPr>
      </w:pPr>
      <w:r>
        <w:rPr>
          <w:rFonts w:hint="eastAsia" w:ascii="宋体" w:hAnsi="宋体" w:eastAsia="宋体" w:cs="宋体"/>
          <w:i w:val="0"/>
          <w:iCs w:val="0"/>
          <w:caps w:val="0"/>
          <w:color w:val="000000"/>
          <w:spacing w:val="0"/>
          <w:sz w:val="27"/>
          <w:szCs w:val="27"/>
          <w:shd w:val="clear" w:fill="FFFFFF"/>
        </w:rPr>
        <w:t>七星矿业为破产人的全资子公司，注册资本2000万人民币，实缴资本2000万人民币，破产人的股权占比为100%。该司成立于2009年5月14日，统一社会信用代码为911529216865441400，法定代表人为高禄，许可经营项目为筹建，一般经营项目为陶土、高岭土开采加工销售；地墙瓷砖、墙体砌块、油漆、涂料的销售；煤炭购销、运输。</w:t>
      </w:r>
    </w:p>
    <w:p w14:paraId="16259202">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1B253A"/>
          <w:spacing w:val="0"/>
          <w:sz w:val="21"/>
          <w:szCs w:val="21"/>
        </w:rPr>
      </w:pPr>
      <w:r>
        <w:rPr>
          <w:rFonts w:hint="eastAsia" w:ascii="宋体" w:hAnsi="宋体" w:eastAsia="宋体" w:cs="宋体"/>
          <w:i w:val="0"/>
          <w:iCs w:val="0"/>
          <w:caps w:val="0"/>
          <w:color w:val="000000"/>
          <w:spacing w:val="0"/>
          <w:sz w:val="27"/>
          <w:szCs w:val="27"/>
          <w:shd w:val="clear" w:fill="FFFFFF"/>
        </w:rPr>
        <w:t>(二)破产人对七星矿业享有的债权情况</w:t>
      </w:r>
    </w:p>
    <w:p w14:paraId="78F542CE">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1B253A"/>
          <w:spacing w:val="0"/>
          <w:sz w:val="21"/>
          <w:szCs w:val="21"/>
        </w:rPr>
      </w:pPr>
      <w:r>
        <w:rPr>
          <w:rFonts w:hint="eastAsia" w:ascii="宋体" w:hAnsi="宋体" w:eastAsia="宋体" w:cs="宋体"/>
          <w:i w:val="0"/>
          <w:iCs w:val="0"/>
          <w:caps w:val="0"/>
          <w:color w:val="000000"/>
          <w:spacing w:val="0"/>
          <w:sz w:val="27"/>
          <w:szCs w:val="27"/>
          <w:shd w:val="clear" w:fill="FFFFFF"/>
        </w:rPr>
        <w:t>破产人曾向七星矿业出借款项，未签订借款合同，未约定借款利息，七星矿业亦未向破产人归还。根据管理人聘请的审计机构审计，截至审计基准日2018年9月29日，七星矿业尚欠付破产人借款人民币130,430000.00元(大写:壹亿叁仟零肆拾叁万元整)。</w:t>
      </w:r>
    </w:p>
    <w:p w14:paraId="3DCC91BF">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1B253A"/>
          <w:spacing w:val="0"/>
          <w:sz w:val="21"/>
          <w:szCs w:val="21"/>
        </w:rPr>
      </w:pPr>
      <w:r>
        <w:rPr>
          <w:rFonts w:hint="eastAsia" w:ascii="宋体" w:hAnsi="宋体" w:eastAsia="宋体" w:cs="宋体"/>
          <w:i w:val="0"/>
          <w:iCs w:val="0"/>
          <w:caps w:val="0"/>
          <w:color w:val="000000"/>
          <w:spacing w:val="0"/>
          <w:sz w:val="27"/>
          <w:szCs w:val="27"/>
          <w:shd w:val="clear" w:fill="FFFFFF"/>
        </w:rPr>
        <w:t>（三）七星矿业主要资产情况</w:t>
      </w:r>
    </w:p>
    <w:p w14:paraId="7F8CE018">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1B253A"/>
          <w:spacing w:val="0"/>
          <w:sz w:val="21"/>
          <w:szCs w:val="21"/>
        </w:rPr>
      </w:pPr>
      <w:r>
        <w:rPr>
          <w:rFonts w:hint="eastAsia" w:ascii="宋体" w:hAnsi="宋体" w:eastAsia="宋体" w:cs="宋体"/>
          <w:i w:val="0"/>
          <w:iCs w:val="0"/>
          <w:caps w:val="0"/>
          <w:color w:val="000000"/>
          <w:spacing w:val="0"/>
          <w:sz w:val="27"/>
          <w:szCs w:val="27"/>
          <w:shd w:val="clear" w:fill="FFFFFF"/>
        </w:rPr>
        <w:t>七星矿业主要资产为五个陶粒土矿，分别是:革文图矿、三陶勒盖井矿、宝尔陶勒盖矿、土梁子矿和葡萄墩矿，占地30.978平方公里。采矿许可证证号分别为:C1529002010097130074583、C1529002010097130074584、C1529002010097130074585、C1529002010096130074586、C1529002013067130130431，开采方式均为露天开采。上述五个采矿许可证已陆续于2020年至2021年全部到期，尚未办理续期手续。</w:t>
      </w:r>
    </w:p>
    <w:p w14:paraId="065A86FB">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1B253A"/>
          <w:spacing w:val="0"/>
          <w:sz w:val="21"/>
          <w:szCs w:val="21"/>
        </w:rPr>
      </w:pPr>
      <w:r>
        <w:rPr>
          <w:rFonts w:hint="eastAsia" w:ascii="宋体" w:hAnsi="宋体" w:eastAsia="宋体" w:cs="宋体"/>
          <w:i w:val="0"/>
          <w:iCs w:val="0"/>
          <w:caps w:val="0"/>
          <w:color w:val="000000"/>
          <w:spacing w:val="0"/>
          <w:sz w:val="27"/>
          <w:szCs w:val="27"/>
          <w:shd w:val="clear" w:fill="FFFFFF"/>
        </w:rPr>
        <w:t>根据管理人聘请的评估机构出具的报告显示，截至基准日2018年09月29日，七星矿业的资产总额218,224,491.76元，负债总计218,325,870.34元，所有者权益总额-63,101,378.58元。</w:t>
      </w:r>
    </w:p>
    <w:p w14:paraId="050E6B6F">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542" w:firstLineChars="200"/>
        <w:jc w:val="both"/>
        <w:textAlignment w:val="auto"/>
        <w:rPr>
          <w:rFonts w:hint="default" w:ascii="Helvetica" w:hAnsi="Helvetica" w:eastAsia="Helvetica" w:cs="Helvetica"/>
          <w:i w:val="0"/>
          <w:iCs w:val="0"/>
          <w:caps w:val="0"/>
          <w:color w:val="1B253A"/>
          <w:spacing w:val="0"/>
          <w:sz w:val="21"/>
          <w:szCs w:val="21"/>
        </w:rPr>
      </w:pPr>
      <w:r>
        <w:rPr>
          <w:rFonts w:hint="eastAsia" w:ascii="宋体" w:hAnsi="宋体" w:eastAsia="宋体" w:cs="宋体"/>
          <w:b/>
          <w:bCs/>
          <w:i w:val="0"/>
          <w:iCs w:val="0"/>
          <w:caps w:val="0"/>
          <w:color w:val="FF0000"/>
          <w:spacing w:val="0"/>
          <w:sz w:val="27"/>
          <w:szCs w:val="27"/>
          <w:shd w:val="clear" w:fill="FFFFFF"/>
        </w:rPr>
        <w:t>二、瑕疵和风险披露</w:t>
      </w:r>
    </w:p>
    <w:p w14:paraId="16F5386D">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1B253A"/>
          <w:spacing w:val="0"/>
          <w:sz w:val="21"/>
          <w:szCs w:val="21"/>
        </w:rPr>
      </w:pPr>
      <w:r>
        <w:rPr>
          <w:rFonts w:hint="eastAsia" w:ascii="宋体" w:hAnsi="宋体" w:eastAsia="宋体" w:cs="宋体"/>
          <w:i w:val="0"/>
          <w:iCs w:val="0"/>
          <w:caps w:val="0"/>
          <w:color w:val="000000"/>
          <w:spacing w:val="0"/>
          <w:sz w:val="27"/>
          <w:szCs w:val="27"/>
          <w:shd w:val="clear" w:fill="FFFFFF"/>
        </w:rPr>
        <w:t>鉴于七星矿业资产负债情况，管理人已向阿拉善左旗人民法院提出对七星矿业破产申请，法院裁定不予受理，经管理人上诉至阿拉善盟中级人民中院，该院于2022年7月18日做出裁定，驳回上诉，维持原裁定。</w:t>
      </w:r>
    </w:p>
    <w:p w14:paraId="1A3D9A33">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1B253A"/>
          <w:spacing w:val="0"/>
          <w:sz w:val="21"/>
          <w:szCs w:val="21"/>
        </w:rPr>
      </w:pPr>
      <w:r>
        <w:rPr>
          <w:rFonts w:hint="eastAsia" w:ascii="宋体" w:hAnsi="宋体" w:eastAsia="宋体" w:cs="宋体"/>
          <w:i w:val="0"/>
          <w:iCs w:val="0"/>
          <w:caps w:val="0"/>
          <w:color w:val="000000"/>
          <w:spacing w:val="0"/>
          <w:sz w:val="27"/>
          <w:szCs w:val="27"/>
          <w:shd w:val="clear" w:fill="FFFFFF"/>
        </w:rPr>
        <w:t>经管理人调查，内蒙古七星矿业有限公司名下采矿权均已过期，能否续办存在极大的不确定性；革文图陶粒土矿已办理抵押登记，且因为债务纠纷，阿拉善盟左旗黄河村镇银行股份有限公司已根据（2021）内2921民初2142号、2143号、2144号民事判决书对内蒙古七星矿业有限公司申请了执行程序，公司名下的资产已被司法机关冻结。</w:t>
      </w:r>
    </w:p>
    <w:p w14:paraId="58CBCAA6">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1B253A"/>
          <w:spacing w:val="0"/>
          <w:sz w:val="21"/>
          <w:szCs w:val="21"/>
        </w:rPr>
      </w:pPr>
      <w:r>
        <w:rPr>
          <w:rFonts w:hint="eastAsia" w:ascii="宋体" w:hAnsi="宋体" w:eastAsia="宋体" w:cs="宋体"/>
          <w:i w:val="0"/>
          <w:iCs w:val="0"/>
          <w:caps w:val="0"/>
          <w:color w:val="000000"/>
          <w:spacing w:val="0"/>
          <w:sz w:val="27"/>
          <w:szCs w:val="27"/>
          <w:shd w:val="clear" w:fill="FFFFFF"/>
        </w:rPr>
        <w:t>关于七星矿业的其他事项，包括但不限于该司涉及的诉讼案件、执行案件、矿权证到期情况、矿权证续办手续、资产现状等需要意向买受人自行调查。意向买受人参与本次拍卖并竞价成功后，视为对七星矿业的资产负债现状予以认可。</w:t>
      </w:r>
    </w:p>
    <w:p w14:paraId="0A6F1539">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542" w:firstLineChars="200"/>
        <w:jc w:val="both"/>
        <w:textAlignment w:val="auto"/>
        <w:rPr>
          <w:rFonts w:hint="default" w:ascii="Helvetica" w:hAnsi="Helvetica" w:eastAsia="Helvetica" w:cs="Helvetica"/>
          <w:i w:val="0"/>
          <w:iCs w:val="0"/>
          <w:caps w:val="0"/>
          <w:color w:val="1B253A"/>
          <w:spacing w:val="0"/>
          <w:sz w:val="21"/>
          <w:szCs w:val="21"/>
        </w:rPr>
      </w:pPr>
      <w:r>
        <w:rPr>
          <w:rFonts w:hint="eastAsia" w:ascii="宋体" w:hAnsi="宋体" w:eastAsia="宋体" w:cs="宋体"/>
          <w:b/>
          <w:bCs/>
          <w:i w:val="0"/>
          <w:iCs w:val="0"/>
          <w:caps w:val="0"/>
          <w:color w:val="FF0000"/>
          <w:spacing w:val="0"/>
          <w:sz w:val="27"/>
          <w:szCs w:val="27"/>
          <w:shd w:val="clear" w:fill="FFFFFF"/>
        </w:rPr>
        <w:t>因该案持续时间较久等因素，管理人披露的关于七星矿业的资产情况、对外投资的资产情况以及负债情况与标的物的实际现状可能存在较大差异，竞买人需自行开展调查工作。标的物介绍情况仅为标的物起拍价的确定提供依据，请竞买人慎重决定竞买行为，买受人竞买成功以后不得以标的物资产现状与标的物介绍、公告、须知披露的内容不相符为理由进行悔拍。</w:t>
      </w:r>
    </w:p>
    <w:p w14:paraId="52C73C50">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540" w:firstLineChars="200"/>
        <w:jc w:val="both"/>
        <w:textAlignment w:val="auto"/>
        <w:rPr>
          <w:rFonts w:hint="default" w:ascii="Helvetica" w:hAnsi="Helvetica" w:eastAsia="Helvetica" w:cs="Helvetica"/>
          <w:i w:val="0"/>
          <w:iCs w:val="0"/>
          <w:caps w:val="0"/>
          <w:color w:val="1B253A"/>
          <w:spacing w:val="0"/>
          <w:sz w:val="21"/>
          <w:szCs w:val="21"/>
        </w:rPr>
      </w:pPr>
      <w:r>
        <w:rPr>
          <w:rFonts w:hint="eastAsia" w:ascii="宋体" w:hAnsi="宋体" w:eastAsia="宋体" w:cs="宋体"/>
          <w:i w:val="0"/>
          <w:iCs w:val="0"/>
          <w:caps w:val="0"/>
          <w:color w:val="000000"/>
          <w:spacing w:val="0"/>
          <w:sz w:val="27"/>
          <w:szCs w:val="27"/>
          <w:shd w:val="clear" w:fill="FFFFFF"/>
        </w:rPr>
        <w:t>买受人竞拍成功后需自行完成股权过户、矿权证过户及续期等手续并承担全部费用，管理人仅负责提供必要协助(管理人协助过程中所产生的费用均由买受人承担)。</w:t>
      </w:r>
    </w:p>
    <w:p w14:paraId="0EBF20F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FiZDIzMjBhYjY3YjcwYmIxYWI1NjM4YzVmYjEyMDMifQ=="/>
  </w:docVars>
  <w:rsids>
    <w:rsidRoot w:val="00000000"/>
    <w:rsid w:val="211444D3"/>
    <w:rsid w:val="756232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1258</Words>
  <Characters>1564</Characters>
  <Lines>0</Lines>
  <Paragraphs>0</Paragraphs>
  <TotalTime>0</TotalTime>
  <ScaleCrop>false</ScaleCrop>
  <LinksUpToDate>false</LinksUpToDate>
  <CharactersWithSpaces>1564</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2024-09-12T01:33:00Z</dcterms:created>
  <dc:creator>Administrator</dc:creator>
  <cp:lastModifiedBy>liu</cp:lastModifiedBy>
  <dcterms:modified xsi:type="dcterms:W3CDTF">2024-09-12T07:00:22Z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072DDD389D8C41888A7A6D6D620C4D15_12</vt:lpwstr>
  </property>
</Properties>
</file>