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209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center"/>
        <w:rPr>
          <w:rFonts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333333"/>
          <w:spacing w:val="0"/>
          <w:sz w:val="44"/>
          <w:szCs w:val="44"/>
          <w:bdr w:val="none" w:color="auto" w:sz="0" w:space="0"/>
        </w:rPr>
        <w:t>竞买须知</w:t>
      </w:r>
    </w:p>
    <w:p w14:paraId="62D68E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638BF8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兴安盟辰威管业有限公司</w:t>
      </w:r>
      <w:r>
        <w:rPr>
          <w:rFonts w:hint="eastAsia" w:ascii="宋体" w:hAnsi="宋体" w:eastAsia="宋体" w:cs="宋体"/>
          <w:i w:val="0"/>
          <w:iCs w:val="0"/>
          <w:caps w:val="0"/>
          <w:color w:val="666666"/>
          <w:spacing w:val="0"/>
          <w:sz w:val="28"/>
          <w:szCs w:val="28"/>
          <w:bdr w:val="none" w:color="auto" w:sz="0" w:space="0"/>
        </w:rPr>
        <w:t>管理人将于20</w:t>
      </w:r>
      <w:r>
        <w:rPr>
          <w:rFonts w:hint="default" w:ascii="Helvetica" w:hAnsi="Helvetica" w:eastAsia="Helvetica" w:cs="Helvetica"/>
          <w:i w:val="0"/>
          <w:iCs w:val="0"/>
          <w:caps w:val="0"/>
          <w:color w:val="666666"/>
          <w:spacing w:val="0"/>
          <w:sz w:val="28"/>
          <w:szCs w:val="28"/>
          <w:bdr w:val="none" w:color="auto" w:sz="0" w:space="0"/>
        </w:rPr>
        <w:t>24年9月25</w:t>
      </w:r>
      <w:r>
        <w:rPr>
          <w:rFonts w:hint="eastAsia" w:ascii="宋体" w:hAnsi="宋体" w:eastAsia="宋体" w:cs="宋体"/>
          <w:i w:val="0"/>
          <w:iCs w:val="0"/>
          <w:caps w:val="0"/>
          <w:color w:val="666666"/>
          <w:spacing w:val="0"/>
          <w:sz w:val="28"/>
          <w:szCs w:val="28"/>
          <w:bdr w:val="none" w:color="auto" w:sz="0" w:space="0"/>
        </w:rPr>
        <w:t>日10时至20</w:t>
      </w:r>
      <w:r>
        <w:rPr>
          <w:rFonts w:hint="default" w:ascii="Helvetica" w:hAnsi="Helvetica" w:eastAsia="Helvetica" w:cs="Helvetica"/>
          <w:i w:val="0"/>
          <w:iCs w:val="0"/>
          <w:caps w:val="0"/>
          <w:color w:val="666666"/>
          <w:spacing w:val="0"/>
          <w:sz w:val="28"/>
          <w:szCs w:val="28"/>
          <w:bdr w:val="none" w:color="auto" w:sz="0" w:space="0"/>
        </w:rPr>
        <w:t>24年9月26</w:t>
      </w:r>
      <w:r>
        <w:rPr>
          <w:rFonts w:hint="eastAsia" w:ascii="宋体" w:hAnsi="宋体" w:eastAsia="宋体" w:cs="宋体"/>
          <w:i w:val="0"/>
          <w:iCs w:val="0"/>
          <w:caps w:val="0"/>
          <w:color w:val="666666"/>
          <w:spacing w:val="0"/>
          <w:sz w:val="28"/>
          <w:szCs w:val="28"/>
          <w:bdr w:val="none" w:color="auto" w:sz="0" w:space="0"/>
        </w:rPr>
        <w:t>日10时止（延时除外）在淘宝网阿里拍卖破产强清平台（处置单位：</w:t>
      </w:r>
      <w:r>
        <w:rPr>
          <w:rFonts w:hint="default" w:ascii="Helvetica" w:hAnsi="Helvetica" w:eastAsia="Helvetica" w:cs="Helvetica"/>
          <w:i w:val="0"/>
          <w:iCs w:val="0"/>
          <w:caps w:val="0"/>
          <w:color w:val="666666"/>
          <w:spacing w:val="0"/>
          <w:sz w:val="28"/>
          <w:szCs w:val="28"/>
          <w:bdr w:val="none" w:color="auto" w:sz="0" w:space="0"/>
        </w:rPr>
        <w:t>兴安盟辰威管业有限公司</w:t>
      </w:r>
      <w:r>
        <w:rPr>
          <w:rFonts w:hint="default" w:ascii="Helvetica" w:hAnsi="Helvetica" w:eastAsia="Helvetica" w:cs="Helvetica"/>
          <w:i w:val="0"/>
          <w:iCs w:val="0"/>
          <w:caps w:val="0"/>
          <w:color w:val="000000"/>
          <w:spacing w:val="0"/>
          <w:sz w:val="28"/>
          <w:szCs w:val="28"/>
          <w:bdr w:val="none" w:color="auto" w:sz="0" w:space="0"/>
        </w:rPr>
        <w:t>管理人，监督单位：</w:t>
      </w:r>
      <w:r>
        <w:rPr>
          <w:rFonts w:hint="default" w:ascii="Helvetica" w:hAnsi="Helvetica" w:eastAsia="Helvetica" w:cs="Helvetica"/>
          <w:i w:val="0"/>
          <w:iCs w:val="0"/>
          <w:caps w:val="0"/>
          <w:color w:val="666666"/>
          <w:spacing w:val="0"/>
          <w:sz w:val="28"/>
          <w:szCs w:val="28"/>
          <w:bdr w:val="none" w:color="auto" w:sz="0" w:space="0"/>
        </w:rPr>
        <w:t>兴安盟中级人民法院</w:t>
      </w:r>
      <w:r>
        <w:rPr>
          <w:rFonts w:hint="default" w:ascii="Helvetica" w:hAnsi="Helvetica" w:eastAsia="Helvetica" w:cs="Helvetica"/>
          <w:i w:val="0"/>
          <w:iCs w:val="0"/>
          <w:caps w:val="0"/>
          <w:color w:val="000000"/>
          <w:spacing w:val="0"/>
          <w:sz w:val="28"/>
          <w:szCs w:val="28"/>
          <w:bdr w:val="none" w:color="auto" w:sz="0" w:space="0"/>
        </w:rPr>
        <w:t>，网址：</w:t>
      </w:r>
      <w:r>
        <w:rPr>
          <w:rFonts w:hint="default" w:ascii="Helvetica" w:hAnsi="Helvetica" w:eastAsia="Helvetica" w:cs="Helvetica"/>
          <w:i w:val="0"/>
          <w:iCs w:val="0"/>
          <w:caps w:val="0"/>
          <w:color w:val="666666"/>
          <w:spacing w:val="0"/>
          <w:sz w:val="16"/>
          <w:szCs w:val="16"/>
          <w:u w:val="none"/>
          <w:bdr w:val="none" w:color="auto" w:sz="0" w:space="0"/>
        </w:rPr>
        <w:fldChar w:fldCharType="begin"/>
      </w:r>
      <w:r>
        <w:rPr>
          <w:rFonts w:hint="default" w:ascii="Helvetica" w:hAnsi="Helvetica" w:eastAsia="Helvetica" w:cs="Helvetica"/>
          <w:i w:val="0"/>
          <w:iCs w:val="0"/>
          <w:caps w:val="0"/>
          <w:color w:val="666666"/>
          <w:spacing w:val="0"/>
          <w:sz w:val="16"/>
          <w:szCs w:val="16"/>
          <w:u w:val="none"/>
          <w:bdr w:val="none" w:color="auto" w:sz="0" w:space="0"/>
        </w:rPr>
        <w:instrText xml:space="preserve"> HYPERLINK "https://susong.taobao.com/court_item.htm?user_%EF%BC%89%E8%BF%9B%E8%A1%8C%E5%85%AC%E5%BC%80%E6%8B%8D%E5%8D%96%E6%B4%BB%E5%8A%A8" </w:instrText>
      </w:r>
      <w:r>
        <w:rPr>
          <w:rFonts w:hint="default" w:ascii="Helvetica" w:hAnsi="Helvetica" w:eastAsia="Helvetica" w:cs="Helvetica"/>
          <w:i w:val="0"/>
          <w:iCs w:val="0"/>
          <w:caps w:val="0"/>
          <w:color w:val="666666"/>
          <w:spacing w:val="0"/>
          <w:sz w:val="16"/>
          <w:szCs w:val="16"/>
          <w:u w:val="none"/>
          <w:bdr w:val="none" w:color="auto" w:sz="0" w:space="0"/>
        </w:rPr>
        <w:fldChar w:fldCharType="separate"/>
      </w:r>
      <w:r>
        <w:rPr>
          <w:rStyle w:val="5"/>
          <w:rFonts w:hint="default" w:ascii="Helvetica" w:hAnsi="Helvetica" w:eastAsia="Helvetica" w:cs="Helvetica"/>
          <w:i w:val="0"/>
          <w:iCs w:val="0"/>
          <w:caps w:val="0"/>
          <w:color w:val="666666"/>
          <w:spacing w:val="0"/>
          <w:sz w:val="20"/>
          <w:szCs w:val="20"/>
          <w:u w:val="none"/>
          <w:bdr w:val="none" w:color="auto" w:sz="0" w:space="0"/>
        </w:rPr>
        <w:t> </w:t>
      </w:r>
      <w:r>
        <w:rPr>
          <w:rStyle w:val="5"/>
          <w:rFonts w:hint="eastAsia" w:ascii="宋体" w:hAnsi="宋体" w:eastAsia="宋体" w:cs="宋体"/>
          <w:i w:val="0"/>
          <w:iCs w:val="0"/>
          <w:caps w:val="0"/>
          <w:color w:val="000000"/>
          <w:spacing w:val="0"/>
          <w:sz w:val="28"/>
          <w:szCs w:val="28"/>
          <w:u w:val="none"/>
          <w:bdr w:val="none" w:color="auto" w:sz="0" w:space="0"/>
        </w:rPr>
        <w:t>https://susong.taobao.com/）</w:t>
      </w:r>
      <w:r>
        <w:rPr>
          <w:rStyle w:val="5"/>
          <w:rFonts w:hint="eastAsia" w:ascii="宋体" w:hAnsi="宋体" w:eastAsia="宋体" w:cs="宋体"/>
          <w:i w:val="0"/>
          <w:iCs w:val="0"/>
          <w:caps w:val="0"/>
          <w:color w:val="666666"/>
          <w:spacing w:val="0"/>
          <w:sz w:val="28"/>
          <w:szCs w:val="28"/>
          <w:u w:val="none"/>
          <w:bdr w:val="none" w:color="auto" w:sz="0" w:space="0"/>
        </w:rPr>
        <w:t>对兴安盟辰威管业有限公司破产清算案处置资产进行公开拍卖活动</w:t>
      </w:r>
      <w:r>
        <w:rPr>
          <w:rFonts w:hint="default" w:ascii="Helvetica" w:hAnsi="Helvetica" w:eastAsia="Helvetica" w:cs="Helvetica"/>
          <w:i w:val="0"/>
          <w:iCs w:val="0"/>
          <w:caps w:val="0"/>
          <w:color w:val="666666"/>
          <w:spacing w:val="0"/>
          <w:sz w:val="16"/>
          <w:szCs w:val="16"/>
          <w:u w:val="none"/>
          <w:bdr w:val="none" w:color="auto" w:sz="0" w:space="0"/>
        </w:rPr>
        <w:fldChar w:fldCharType="end"/>
      </w:r>
      <w:r>
        <w:rPr>
          <w:rFonts w:hint="default" w:ascii="Helvetica" w:hAnsi="Helvetica" w:eastAsia="Helvetica" w:cs="Helvetica"/>
          <w:i w:val="0"/>
          <w:iCs w:val="0"/>
          <w:caps w:val="0"/>
          <w:color w:val="000000"/>
          <w:spacing w:val="0"/>
          <w:sz w:val="28"/>
          <w:szCs w:val="28"/>
          <w:bdr w:val="none" w:color="auto" w:sz="0" w:space="0"/>
        </w:rPr>
        <w:t>，</w:t>
      </w:r>
      <w:r>
        <w:rPr>
          <w:rFonts w:hint="default" w:ascii="Helvetica" w:hAnsi="Helvetica" w:eastAsia="Helvetica" w:cs="Helvetica"/>
          <w:i w:val="0"/>
          <w:iCs w:val="0"/>
          <w:caps w:val="0"/>
          <w:color w:val="666666"/>
          <w:spacing w:val="0"/>
          <w:sz w:val="28"/>
          <w:szCs w:val="28"/>
          <w:bdr w:val="none" w:color="auto" w:sz="0" w:space="0"/>
        </w:rPr>
        <w:t>现就网上拍卖有关事宜敬告各位竞买人：</w:t>
      </w:r>
    </w:p>
    <w:p w14:paraId="69570B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3EB66B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一、本《竞买须知》根据《中华人民共和国民事诉讼法》等相关法律规定所制订，竞买人应认真仔细阅读，了解本须知的全部内容。</w:t>
      </w:r>
    </w:p>
    <w:p w14:paraId="039403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2135C7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二、本次拍卖活动</w:t>
      </w:r>
      <w:r>
        <w:rPr>
          <w:rFonts w:hint="eastAsia" w:ascii="宋体" w:hAnsi="宋体" w:eastAsia="宋体" w:cs="宋体"/>
          <w:i w:val="0"/>
          <w:iCs w:val="0"/>
          <w:caps w:val="0"/>
          <w:color w:val="666666"/>
          <w:spacing w:val="-6"/>
          <w:sz w:val="28"/>
          <w:szCs w:val="28"/>
          <w:bdr w:val="none" w:color="auto" w:sz="0" w:space="0"/>
        </w:rPr>
        <w:t>遵循“公开、公平、公正、诚实守信”的原则，拍卖活动具备法律效力。参加本次拍卖活动的竞买人必须遵守本须知的各项条款，并对自己的行为承担法律责任。</w:t>
      </w:r>
    </w:p>
    <w:p w14:paraId="6A70D4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6"/>
          <w:sz w:val="28"/>
          <w:szCs w:val="28"/>
          <w:bdr w:val="none" w:color="auto" w:sz="0" w:space="0"/>
        </w:rPr>
        <w:t> </w:t>
      </w:r>
    </w:p>
    <w:p w14:paraId="6FE746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三、</w:t>
      </w:r>
      <w:r>
        <w:rPr>
          <w:rFonts w:hint="default" w:ascii="Helvetica" w:hAnsi="Helvetica" w:eastAsia="Helvetica" w:cs="Helvetica"/>
          <w:b/>
          <w:bCs/>
          <w:i w:val="0"/>
          <w:iCs w:val="0"/>
          <w:caps w:val="0"/>
          <w:color w:val="333333"/>
          <w:spacing w:val="0"/>
          <w:sz w:val="28"/>
          <w:szCs w:val="28"/>
          <w:bdr w:val="none" w:color="auto" w:sz="0" w:space="0"/>
        </w:rPr>
        <w:t>拍卖标的：</w:t>
      </w:r>
    </w:p>
    <w:p w14:paraId="1C6027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bdr w:val="none" w:color="auto" w:sz="0" w:space="0"/>
        </w:rPr>
        <w:t>标的物介绍</w:t>
      </w:r>
    </w:p>
    <w:p w14:paraId="5D2E0F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本次兴安盟辰威管业有限公司破产清算案处置资产如下：</w:t>
      </w:r>
    </w:p>
    <w:p w14:paraId="037A70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4B52F5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（一）地上房屋建筑物</w:t>
      </w:r>
    </w:p>
    <w:tbl>
      <w:tblPr>
        <w:tblW w:w="10459" w:type="dxa"/>
        <w:tblInd w:w="-564" w:type="dxa"/>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Layout w:type="autofit"/>
        <w:tblCellMar>
          <w:top w:w="15" w:type="dxa"/>
          <w:left w:w="15" w:type="dxa"/>
          <w:bottom w:w="15" w:type="dxa"/>
          <w:right w:w="15" w:type="dxa"/>
        </w:tblCellMar>
      </w:tblPr>
      <w:tblGrid>
        <w:gridCol w:w="1582"/>
        <w:gridCol w:w="1685"/>
        <w:gridCol w:w="1459"/>
        <w:gridCol w:w="1130"/>
        <w:gridCol w:w="1192"/>
        <w:gridCol w:w="1726"/>
        <w:gridCol w:w="1685"/>
      </w:tblGrid>
      <w:tr w14:paraId="0FDAF170">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7EE68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权证编号</w:t>
            </w:r>
          </w:p>
        </w:tc>
        <w:tc>
          <w:tcPr>
            <w:tcW w:w="1685"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4F1E65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位置</w:t>
            </w:r>
          </w:p>
        </w:tc>
        <w:tc>
          <w:tcPr>
            <w:tcW w:w="1459"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30E11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建筑物名称</w:t>
            </w:r>
          </w:p>
        </w:tc>
        <w:tc>
          <w:tcPr>
            <w:tcW w:w="1130"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34E07D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结构</w:t>
            </w:r>
          </w:p>
        </w:tc>
        <w:tc>
          <w:tcPr>
            <w:tcW w:w="1192"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543D36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建成日期</w:t>
            </w:r>
          </w:p>
        </w:tc>
        <w:tc>
          <w:tcPr>
            <w:tcW w:w="1726"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1D474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建筑面积</w:t>
            </w:r>
            <w:r>
              <w:rPr>
                <w:rFonts w:hint="default" w:ascii="Helvetica" w:hAnsi="Helvetica" w:eastAsia="Helvetica" w:cs="Helvetica"/>
                <w:i w:val="0"/>
                <w:iCs w:val="0"/>
                <w:caps w:val="0"/>
                <w:color w:val="666666"/>
                <w:spacing w:val="0"/>
                <w:sz w:val="24"/>
                <w:szCs w:val="24"/>
                <w:bdr w:val="none" w:color="auto" w:sz="0" w:space="0"/>
              </w:rPr>
              <w:t>(m2)</w:t>
            </w:r>
          </w:p>
        </w:tc>
        <w:tc>
          <w:tcPr>
            <w:tcW w:w="1685" w:type="dxa"/>
            <w:vMerge w:val="restart"/>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0C386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666666"/>
                <w:spacing w:val="0"/>
                <w:sz w:val="24"/>
                <w:szCs w:val="24"/>
                <w:bdr w:val="none" w:color="auto" w:sz="0" w:space="0"/>
              </w:rPr>
              <w:t>评估价（元）</w:t>
            </w:r>
          </w:p>
        </w:tc>
      </w:tr>
      <w:tr w14:paraId="622F8648">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348" w:hRule="atLeast"/>
        </w:trPr>
        <w:tc>
          <w:tcPr>
            <w:tcW w:w="1582"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06F538D">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15E8756">
            <w:pPr>
              <w:rPr>
                <w:rFonts w:hint="default" w:ascii="Helvetica" w:hAnsi="Helvetica" w:eastAsia="Helvetica" w:cs="Helvetica"/>
                <w:i w:val="0"/>
                <w:iCs w:val="0"/>
                <w:caps w:val="0"/>
                <w:color w:val="666666"/>
                <w:spacing w:val="0"/>
                <w:sz w:val="16"/>
                <w:szCs w:val="16"/>
              </w:rPr>
            </w:pPr>
          </w:p>
        </w:tc>
        <w:tc>
          <w:tcPr>
            <w:tcW w:w="1459"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0992A75">
            <w:pPr>
              <w:rPr>
                <w:rFonts w:hint="default" w:ascii="Helvetica" w:hAnsi="Helvetica" w:eastAsia="Helvetica" w:cs="Helvetica"/>
                <w:i w:val="0"/>
                <w:iCs w:val="0"/>
                <w:caps w:val="0"/>
                <w:color w:val="666666"/>
                <w:spacing w:val="0"/>
                <w:sz w:val="16"/>
                <w:szCs w:val="16"/>
              </w:rPr>
            </w:pPr>
          </w:p>
        </w:tc>
        <w:tc>
          <w:tcPr>
            <w:tcW w:w="1130"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1A4D3FF7">
            <w:pPr>
              <w:rPr>
                <w:rFonts w:hint="default" w:ascii="Helvetica" w:hAnsi="Helvetica" w:eastAsia="Helvetica" w:cs="Helvetica"/>
                <w:i w:val="0"/>
                <w:iCs w:val="0"/>
                <w:caps w:val="0"/>
                <w:color w:val="666666"/>
                <w:spacing w:val="0"/>
                <w:sz w:val="16"/>
                <w:szCs w:val="16"/>
              </w:rPr>
            </w:pPr>
          </w:p>
        </w:tc>
        <w:tc>
          <w:tcPr>
            <w:tcW w:w="1192"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26EE7538">
            <w:pPr>
              <w:rPr>
                <w:rFonts w:hint="default" w:ascii="Helvetica" w:hAnsi="Helvetica" w:eastAsia="Helvetica" w:cs="Helvetica"/>
                <w:i w:val="0"/>
                <w:iCs w:val="0"/>
                <w:caps w:val="0"/>
                <w:color w:val="666666"/>
                <w:spacing w:val="0"/>
                <w:sz w:val="16"/>
                <w:szCs w:val="16"/>
              </w:rPr>
            </w:pPr>
          </w:p>
        </w:tc>
        <w:tc>
          <w:tcPr>
            <w:tcW w:w="1726"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6F3C2924">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14:paraId="03DA42D8">
            <w:pPr>
              <w:rPr>
                <w:rFonts w:hint="default" w:ascii="Helvetica" w:hAnsi="Helvetica" w:eastAsia="Helvetica" w:cs="Helvetica"/>
                <w:i w:val="0"/>
                <w:iCs w:val="0"/>
                <w:caps w:val="0"/>
                <w:color w:val="666666"/>
                <w:spacing w:val="0"/>
                <w:sz w:val="16"/>
                <w:szCs w:val="16"/>
              </w:rPr>
            </w:pPr>
          </w:p>
        </w:tc>
      </w:tr>
      <w:tr w14:paraId="07444FC2">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restart"/>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146C47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eastAsia" w:ascii="宋体" w:hAnsi="宋体" w:eastAsia="宋体" w:cs="宋体"/>
                <w:i w:val="0"/>
                <w:iCs w:val="0"/>
                <w:caps w:val="0"/>
                <w:color w:val="000000"/>
                <w:spacing w:val="0"/>
                <w:sz w:val="24"/>
                <w:szCs w:val="24"/>
                <w:bdr w:val="none" w:color="auto" w:sz="0" w:space="0"/>
              </w:rPr>
              <w:t>蒙（2019）科尔沁右翼前旗不动产权第000484号</w:t>
            </w:r>
          </w:p>
        </w:tc>
        <w:tc>
          <w:tcPr>
            <w:tcW w:w="1685" w:type="dxa"/>
            <w:vMerge w:val="restart"/>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2384E1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位于兴安盟科右前旗政府新址天骄路东同心街以南</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A9A9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办公楼</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3B53E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框架</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FD1A1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BEAFB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1332.92</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1060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1759454.4</w:t>
            </w:r>
          </w:p>
        </w:tc>
      </w:tr>
      <w:tr w14:paraId="38F88FB7">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14692F38">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5A31AEF9">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65F4A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厂房</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8F08A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钢</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C2E6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CAAD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1639.05</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AC1FD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1947191.4</w:t>
            </w:r>
          </w:p>
        </w:tc>
      </w:tr>
      <w:tr w14:paraId="30892FE4">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2C628446">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249C66AA">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23367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厂房</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FE672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钢</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B6A5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F289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1639.05</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F7E23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1947191.4</w:t>
            </w:r>
          </w:p>
        </w:tc>
      </w:tr>
      <w:tr w14:paraId="6D05BA26">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2979FD7E">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6D457220">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92F4D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厂房</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B75F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钢</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49259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6A19C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8274.95</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7BEB0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9830640.6</w:t>
            </w:r>
          </w:p>
        </w:tc>
      </w:tr>
      <w:tr w14:paraId="5A353C9B">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727610F3">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4A10403D">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0E281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大门及围墙</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B7A75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 </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34DE3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0C361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360</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5BCC9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126720</w:t>
            </w:r>
          </w:p>
        </w:tc>
      </w:tr>
      <w:tr w14:paraId="7FB7A3EC">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636AF556">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13EDD0A2">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34CB4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地面硬化</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4396D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砼</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E6D54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2012</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65AA0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16350</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BE5AA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523200</w:t>
            </w:r>
          </w:p>
        </w:tc>
      </w:tr>
      <w:tr w14:paraId="30F3F3F8">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02F45364">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6A90EA36">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6D1B5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厕所</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B9142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砖混</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F6FC3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0D834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22</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2F60E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4840</w:t>
            </w:r>
          </w:p>
        </w:tc>
      </w:tr>
      <w:tr w14:paraId="03958276">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71F53988">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169A5033">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11AB8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门房</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976CD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砖混</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5D7B2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22219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23</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70808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12144</w:t>
            </w:r>
          </w:p>
        </w:tc>
      </w:tr>
      <w:tr w14:paraId="602AF18E">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37A2962C">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38E1C7CE">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68158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变压器房</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71D1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砖混</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D9643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D5F22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39</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583E2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15444</w:t>
            </w:r>
          </w:p>
        </w:tc>
      </w:tr>
      <w:tr w14:paraId="43D07CAB">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1582"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2D7459A6">
            <w:pPr>
              <w:rPr>
                <w:rFonts w:hint="default" w:ascii="Helvetica" w:hAnsi="Helvetica" w:eastAsia="Helvetica" w:cs="Helvetica"/>
                <w:i w:val="0"/>
                <w:iCs w:val="0"/>
                <w:caps w:val="0"/>
                <w:color w:val="666666"/>
                <w:spacing w:val="0"/>
                <w:sz w:val="16"/>
                <w:szCs w:val="16"/>
              </w:rPr>
            </w:pPr>
          </w:p>
        </w:tc>
        <w:tc>
          <w:tcPr>
            <w:tcW w:w="1685" w:type="dxa"/>
            <w:vMerge w:val="continue"/>
            <w:tcBorders>
              <w:top w:val="single" w:color="DCDCDC" w:sz="4" w:space="0"/>
              <w:left w:val="single" w:color="DCDCDC" w:sz="4" w:space="0"/>
              <w:bottom w:val="single" w:color="DCDCDC" w:sz="4" w:space="0"/>
              <w:right w:val="single" w:color="DCDCDC" w:sz="4" w:space="0"/>
            </w:tcBorders>
            <w:shd w:val="clear"/>
            <w:tcMar>
              <w:top w:w="0" w:type="dxa"/>
              <w:left w:w="108" w:type="dxa"/>
              <w:bottom w:w="0" w:type="dxa"/>
              <w:right w:w="108" w:type="dxa"/>
            </w:tcMar>
            <w:vAlign w:val="center"/>
          </w:tcPr>
          <w:p w14:paraId="60DEADFC">
            <w:pPr>
              <w:rPr>
                <w:rFonts w:hint="default" w:ascii="Helvetica" w:hAnsi="Helvetica" w:eastAsia="Helvetica" w:cs="Helvetica"/>
                <w:i w:val="0"/>
                <w:iCs w:val="0"/>
                <w:caps w:val="0"/>
                <w:color w:val="666666"/>
                <w:spacing w:val="0"/>
                <w:sz w:val="16"/>
                <w:szCs w:val="16"/>
              </w:rPr>
            </w:pP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475FE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eastAsia" w:ascii="宋体" w:hAnsi="宋体" w:eastAsia="宋体" w:cs="宋体"/>
                <w:i w:val="0"/>
                <w:iCs w:val="0"/>
                <w:caps w:val="0"/>
                <w:color w:val="000000"/>
                <w:spacing w:val="0"/>
                <w:sz w:val="24"/>
                <w:szCs w:val="24"/>
                <w:bdr w:val="none" w:color="auto" w:sz="0" w:space="0"/>
              </w:rPr>
              <w:t>水池（3米）</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7532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 </w:t>
            </w:r>
          </w:p>
        </w:tc>
        <w:tc>
          <w:tcPr>
            <w:tcW w:w="119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CE5E9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2013.1</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F3AC3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285</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87AD7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100320</w:t>
            </w:r>
          </w:p>
        </w:tc>
      </w:tr>
      <w:tr w14:paraId="79F37125">
        <w:tblPrEx>
          <w:tblBorders>
            <w:top w:val="single" w:color="DCDCDC" w:sz="4" w:space="0"/>
            <w:left w:val="single" w:color="DCDCDC" w:sz="4" w:space="0"/>
            <w:bottom w:val="single" w:color="DCDCDC" w:sz="4" w:space="0"/>
            <w:right w:val="single" w:color="DCDCDC" w:sz="4" w:space="0"/>
            <w:insideH w:val="none" w:color="auto" w:sz="0" w:space="0"/>
            <w:insideV w:val="none" w:color="auto" w:sz="0" w:space="0"/>
          </w:tblBorders>
          <w:shd w:val="clear"/>
          <w:tblCellMar>
            <w:top w:w="15" w:type="dxa"/>
            <w:left w:w="15" w:type="dxa"/>
            <w:bottom w:w="15" w:type="dxa"/>
            <w:right w:w="15" w:type="dxa"/>
          </w:tblCellMar>
        </w:tblPrEx>
        <w:trPr>
          <w:trHeight w:val="478" w:hRule="atLeast"/>
        </w:trPr>
        <w:tc>
          <w:tcPr>
            <w:tcW w:w="7048"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5BFE3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合计</w:t>
            </w:r>
          </w:p>
        </w:tc>
        <w:tc>
          <w:tcPr>
            <w:tcW w:w="172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5C70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29964.97</w:t>
            </w:r>
          </w:p>
        </w:tc>
        <w:tc>
          <w:tcPr>
            <w:tcW w:w="168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DB2B2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center"/>
            </w:pPr>
            <w:r>
              <w:rPr>
                <w:rFonts w:hint="default" w:ascii="Helvetica" w:hAnsi="Helvetica" w:eastAsia="Helvetica" w:cs="Helvetica"/>
                <w:i w:val="0"/>
                <w:iCs w:val="0"/>
                <w:caps w:val="0"/>
                <w:color w:val="000000"/>
                <w:spacing w:val="0"/>
                <w:sz w:val="24"/>
                <w:szCs w:val="24"/>
                <w:bdr w:val="none" w:color="auto" w:sz="0" w:space="0"/>
              </w:rPr>
              <w:t>16267145.8</w:t>
            </w:r>
          </w:p>
        </w:tc>
      </w:tr>
    </w:tbl>
    <w:p w14:paraId="73129C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56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（二）机器设备</w:t>
      </w:r>
    </w:p>
    <w:tbl>
      <w:tblPr>
        <w:tblW w:w="9566" w:type="dxa"/>
        <w:tblInd w:w="0" w:type="dxa"/>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13"/>
        <w:gridCol w:w="1459"/>
        <w:gridCol w:w="1377"/>
        <w:gridCol w:w="842"/>
        <w:gridCol w:w="1664"/>
        <w:gridCol w:w="1703"/>
        <w:gridCol w:w="1708"/>
      </w:tblGrid>
      <w:tr w14:paraId="4D41A953">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rPr>
          <w:trHeight w:val="483" w:hRule="atLeast"/>
        </w:trPr>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D615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序号</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1A8B6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设备名称</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F97C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计量单位</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8B0C9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数量</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BBCA3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购置时间</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2F65C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启用时间</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85FB4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评估价（元）</w:t>
            </w:r>
          </w:p>
        </w:tc>
      </w:tr>
      <w:tr w14:paraId="7B39F4DC">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406EA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006C0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变压器</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A0972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E3B5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C28FD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2013.10</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EAD6F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2013.10</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5B2F7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26000</w:t>
            </w:r>
          </w:p>
        </w:tc>
      </w:tr>
      <w:tr w14:paraId="7D46F72F">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A14BD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93A9F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变压器</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ADC8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37398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4857E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2016.5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5100F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2016.5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6B9BC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27000</w:t>
            </w:r>
          </w:p>
        </w:tc>
      </w:tr>
      <w:tr w14:paraId="267ED139">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tblCellMar>
            <w:top w:w="15" w:type="dxa"/>
            <w:left w:w="15" w:type="dxa"/>
            <w:bottom w:w="15" w:type="dxa"/>
            <w:right w:w="15" w:type="dxa"/>
          </w:tblCellMar>
        </w:tblPrEx>
        <w:tc>
          <w:tcPr>
            <w:tcW w:w="7858" w:type="dxa"/>
            <w:gridSpan w:val="6"/>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AB733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合计</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F2C38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53000</w:t>
            </w:r>
          </w:p>
        </w:tc>
      </w:tr>
    </w:tbl>
    <w:p w14:paraId="18A135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6CE72E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（三）办公设备</w:t>
      </w:r>
    </w:p>
    <w:tbl>
      <w:tblPr>
        <w:tblW w:w="9566" w:type="dxa"/>
        <w:tblInd w:w="0" w:type="dxa"/>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13"/>
        <w:gridCol w:w="1459"/>
        <w:gridCol w:w="1377"/>
        <w:gridCol w:w="842"/>
        <w:gridCol w:w="1664"/>
        <w:gridCol w:w="1703"/>
        <w:gridCol w:w="1708"/>
      </w:tblGrid>
      <w:tr w14:paraId="55FF948B">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rPr>
          <w:trHeight w:val="483" w:hRule="atLeast"/>
        </w:trPr>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A302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序号</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F947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设备名称</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8AFE9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计量单位</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D98C5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数量</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DEA9B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购置时间</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8551E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启用时间</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0C1D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评估价（元）</w:t>
            </w:r>
          </w:p>
        </w:tc>
      </w:tr>
      <w:tr w14:paraId="053CFB91">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03DA4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C76E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金柜</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D0817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B3D6B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0156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2011.8</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90281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2011.8</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11FB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30</w:t>
            </w:r>
          </w:p>
        </w:tc>
      </w:tr>
      <w:tr w14:paraId="38E97911">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EE60C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E7F75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打印机</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A34BC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BDF66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5CCE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2012.1</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1E986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2012.1</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A7231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90</w:t>
            </w:r>
          </w:p>
        </w:tc>
      </w:tr>
      <w:tr w14:paraId="16FEF3C4">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B3830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3</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EE41E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复印机</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0A36F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0035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AF085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2012.7</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18FED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2012.7</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896B7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120</w:t>
            </w:r>
          </w:p>
        </w:tc>
      </w:tr>
      <w:tr w14:paraId="47C51D42">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3BA66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4</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31E24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柜子</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11080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个</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2CFBF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BD836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DBBF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6AF97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84</w:t>
            </w:r>
          </w:p>
        </w:tc>
      </w:tr>
      <w:tr w14:paraId="32CFBBFA">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04F26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5</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77DB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柜子</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A800C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个</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CDD3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C72F1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05197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D7EE2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84</w:t>
            </w:r>
          </w:p>
        </w:tc>
      </w:tr>
      <w:tr w14:paraId="42770BDF">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85669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6</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CFDB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电脑</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613F9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5C0D8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00A5B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A0373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F4EE6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120</w:t>
            </w:r>
          </w:p>
        </w:tc>
      </w:tr>
      <w:tr w14:paraId="296CE09F">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8D4AF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7</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40922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电脑</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B72B1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台</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21D8F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895C4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5F75C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9BF6F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60</w:t>
            </w:r>
          </w:p>
        </w:tc>
      </w:tr>
      <w:tr w14:paraId="1268D02A">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D75BFB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8</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D5BB6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3人桌</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65F6C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套</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59F24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3787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2BBDE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F51D3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150</w:t>
            </w:r>
          </w:p>
        </w:tc>
      </w:tr>
      <w:tr w14:paraId="7850070B">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86818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9</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45B33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黑网转椅</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55D83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把</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4AA49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3</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06E1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2F27E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2013.5</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3FCCC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15</w:t>
            </w:r>
          </w:p>
        </w:tc>
      </w:tr>
      <w:tr w14:paraId="66EF2230">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1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38AC9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10</w:t>
            </w:r>
          </w:p>
        </w:tc>
        <w:tc>
          <w:tcPr>
            <w:tcW w:w="14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0558B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班椅</w:t>
            </w:r>
          </w:p>
        </w:tc>
        <w:tc>
          <w:tcPr>
            <w:tcW w:w="1377"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B460F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把</w:t>
            </w:r>
          </w:p>
        </w:tc>
        <w:tc>
          <w:tcPr>
            <w:tcW w:w="84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F41A2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6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BA190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2014.10</w:t>
            </w:r>
          </w:p>
        </w:tc>
        <w:tc>
          <w:tcPr>
            <w:tcW w:w="1703"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7134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2014.10</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193EF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24</w:t>
            </w:r>
          </w:p>
        </w:tc>
      </w:tr>
      <w:tr w14:paraId="1596A56B">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7858" w:type="dxa"/>
            <w:gridSpan w:val="6"/>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2A0EC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合计</w:t>
            </w:r>
          </w:p>
        </w:tc>
        <w:tc>
          <w:tcPr>
            <w:tcW w:w="170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E2A86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777</w:t>
            </w:r>
          </w:p>
        </w:tc>
      </w:tr>
    </w:tbl>
    <w:p w14:paraId="0E4E87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56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（三）土地使用权</w:t>
      </w:r>
    </w:p>
    <w:tbl>
      <w:tblPr>
        <w:tblW w:w="11114" w:type="dxa"/>
        <w:tblInd w:w="-872" w:type="dxa"/>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616"/>
        <w:gridCol w:w="1562"/>
        <w:gridCol w:w="1356"/>
        <w:gridCol w:w="1644"/>
        <w:gridCol w:w="1069"/>
        <w:gridCol w:w="780"/>
        <w:gridCol w:w="781"/>
        <w:gridCol w:w="761"/>
        <w:gridCol w:w="1130"/>
        <w:gridCol w:w="1415"/>
      </w:tblGrid>
      <w:tr w14:paraId="714E93C9">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61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C7F5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序号</w:t>
            </w:r>
          </w:p>
        </w:tc>
        <w:tc>
          <w:tcPr>
            <w:tcW w:w="156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22465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土地权证编号</w:t>
            </w:r>
          </w:p>
        </w:tc>
        <w:tc>
          <w:tcPr>
            <w:tcW w:w="135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D9C55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宗地名称</w:t>
            </w:r>
          </w:p>
        </w:tc>
        <w:tc>
          <w:tcPr>
            <w:tcW w:w="16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34BC1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土地位置</w:t>
            </w:r>
          </w:p>
        </w:tc>
        <w:tc>
          <w:tcPr>
            <w:tcW w:w="10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F12E9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取得日期</w:t>
            </w:r>
          </w:p>
        </w:tc>
        <w:tc>
          <w:tcPr>
            <w:tcW w:w="78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96CB8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用地性质</w:t>
            </w:r>
          </w:p>
        </w:tc>
        <w:tc>
          <w:tcPr>
            <w:tcW w:w="78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A3407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使用权类型</w:t>
            </w:r>
          </w:p>
        </w:tc>
        <w:tc>
          <w:tcPr>
            <w:tcW w:w="76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0473A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准用年限</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85206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eastAsia" w:ascii="宋体" w:hAnsi="宋体" w:eastAsia="宋体" w:cs="宋体"/>
                <w:i w:val="0"/>
                <w:iCs w:val="0"/>
                <w:caps w:val="0"/>
                <w:color w:val="666666"/>
                <w:spacing w:val="0"/>
                <w:sz w:val="24"/>
                <w:szCs w:val="24"/>
                <w:bdr w:val="none" w:color="auto" w:sz="0" w:space="0"/>
              </w:rPr>
              <w:t>面积(m2)</w:t>
            </w:r>
          </w:p>
        </w:tc>
        <w:tc>
          <w:tcPr>
            <w:tcW w:w="141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F1698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评估价（元）</w:t>
            </w:r>
          </w:p>
        </w:tc>
      </w:tr>
      <w:tr w14:paraId="65B04660">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tblCellMar>
            <w:top w:w="15" w:type="dxa"/>
            <w:left w:w="15" w:type="dxa"/>
            <w:bottom w:w="15" w:type="dxa"/>
            <w:right w:w="15" w:type="dxa"/>
          </w:tblCellMar>
        </w:tblPrEx>
        <w:tc>
          <w:tcPr>
            <w:tcW w:w="61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58C2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w:t>
            </w:r>
          </w:p>
        </w:tc>
        <w:tc>
          <w:tcPr>
            <w:tcW w:w="156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516DF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eastAsia" w:ascii="宋体" w:hAnsi="宋体" w:eastAsia="宋体" w:cs="宋体"/>
                <w:i w:val="0"/>
                <w:iCs w:val="0"/>
                <w:caps w:val="0"/>
                <w:color w:val="666666"/>
                <w:spacing w:val="0"/>
                <w:sz w:val="24"/>
                <w:szCs w:val="24"/>
                <w:bdr w:val="none" w:color="auto" w:sz="0" w:space="0"/>
              </w:rPr>
              <w:t>蒙（2017）科尔沁右翼前旗不动产权第005131号</w:t>
            </w:r>
          </w:p>
        </w:tc>
        <w:tc>
          <w:tcPr>
            <w:tcW w:w="135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77064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兴安盟辰威管业有限公司土地使用权</w:t>
            </w:r>
          </w:p>
        </w:tc>
        <w:tc>
          <w:tcPr>
            <w:tcW w:w="16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6D2B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000000"/>
                <w:spacing w:val="0"/>
                <w:sz w:val="24"/>
                <w:szCs w:val="24"/>
                <w:bdr w:val="none" w:color="auto" w:sz="0" w:space="0"/>
              </w:rPr>
              <w:t>位于兴安盟科右前旗政府新址天骄路东同心街以南</w:t>
            </w:r>
          </w:p>
        </w:tc>
        <w:tc>
          <w:tcPr>
            <w:tcW w:w="10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C6FBC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2016年</w:t>
            </w:r>
          </w:p>
        </w:tc>
        <w:tc>
          <w:tcPr>
            <w:tcW w:w="78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4E0DC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出让</w:t>
            </w:r>
          </w:p>
        </w:tc>
        <w:tc>
          <w:tcPr>
            <w:tcW w:w="78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36337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工业</w:t>
            </w:r>
          </w:p>
        </w:tc>
        <w:tc>
          <w:tcPr>
            <w:tcW w:w="76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1488D5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50年</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22CA4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6749</w:t>
            </w:r>
          </w:p>
        </w:tc>
        <w:tc>
          <w:tcPr>
            <w:tcW w:w="141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92F3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1012350</w:t>
            </w:r>
          </w:p>
        </w:tc>
      </w:tr>
      <w:tr w14:paraId="631F114D">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61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69AD3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w:t>
            </w:r>
          </w:p>
        </w:tc>
        <w:tc>
          <w:tcPr>
            <w:tcW w:w="156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8B09F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eastAsia" w:ascii="宋体" w:hAnsi="宋体" w:eastAsia="宋体" w:cs="宋体"/>
                <w:i w:val="0"/>
                <w:iCs w:val="0"/>
                <w:caps w:val="0"/>
                <w:color w:val="666666"/>
                <w:spacing w:val="0"/>
                <w:sz w:val="24"/>
                <w:szCs w:val="24"/>
                <w:bdr w:val="none" w:color="auto" w:sz="0" w:space="0"/>
              </w:rPr>
              <w:t>蒙（2017）科尔沁右翼前旗不动产权第005132号</w:t>
            </w:r>
          </w:p>
        </w:tc>
        <w:tc>
          <w:tcPr>
            <w:tcW w:w="135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2C693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兴安盟辰威管业有限公司土地使用权</w:t>
            </w:r>
          </w:p>
        </w:tc>
        <w:tc>
          <w:tcPr>
            <w:tcW w:w="16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48EAB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000000"/>
                <w:spacing w:val="0"/>
                <w:sz w:val="24"/>
                <w:szCs w:val="24"/>
                <w:bdr w:val="none" w:color="auto" w:sz="0" w:space="0"/>
              </w:rPr>
              <w:t>位于兴安盟科右前旗政府新址天骄路东同心街以南</w:t>
            </w:r>
          </w:p>
        </w:tc>
        <w:tc>
          <w:tcPr>
            <w:tcW w:w="10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22080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2016年</w:t>
            </w:r>
          </w:p>
        </w:tc>
        <w:tc>
          <w:tcPr>
            <w:tcW w:w="78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01B01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出让</w:t>
            </w:r>
          </w:p>
        </w:tc>
        <w:tc>
          <w:tcPr>
            <w:tcW w:w="78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D4289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工业</w:t>
            </w:r>
          </w:p>
        </w:tc>
        <w:tc>
          <w:tcPr>
            <w:tcW w:w="76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E8E5E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50年</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9BBEC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840</w:t>
            </w:r>
          </w:p>
        </w:tc>
        <w:tc>
          <w:tcPr>
            <w:tcW w:w="141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F4CEF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126000</w:t>
            </w:r>
          </w:p>
        </w:tc>
      </w:tr>
      <w:tr w14:paraId="780E3B98">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tblCellMar>
            <w:top w:w="15" w:type="dxa"/>
            <w:left w:w="15" w:type="dxa"/>
            <w:bottom w:w="15" w:type="dxa"/>
            <w:right w:w="15" w:type="dxa"/>
          </w:tblCellMar>
        </w:tblPrEx>
        <w:tc>
          <w:tcPr>
            <w:tcW w:w="61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072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3</w:t>
            </w:r>
          </w:p>
        </w:tc>
        <w:tc>
          <w:tcPr>
            <w:tcW w:w="156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72B04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eastAsia" w:ascii="宋体" w:hAnsi="宋体" w:eastAsia="宋体" w:cs="宋体"/>
                <w:i w:val="0"/>
                <w:iCs w:val="0"/>
                <w:caps w:val="0"/>
                <w:color w:val="666666"/>
                <w:spacing w:val="0"/>
                <w:sz w:val="24"/>
                <w:szCs w:val="24"/>
                <w:bdr w:val="none" w:color="auto" w:sz="0" w:space="0"/>
              </w:rPr>
              <w:t>蒙（2017）科尔沁右翼前旗不动产权第005131号</w:t>
            </w:r>
          </w:p>
        </w:tc>
        <w:tc>
          <w:tcPr>
            <w:tcW w:w="135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859CE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兴安盟辰威管业有限公司土地使用权</w:t>
            </w:r>
          </w:p>
        </w:tc>
        <w:tc>
          <w:tcPr>
            <w:tcW w:w="164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C0360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000000"/>
                <w:spacing w:val="0"/>
                <w:sz w:val="24"/>
                <w:szCs w:val="24"/>
                <w:bdr w:val="none" w:color="auto" w:sz="0" w:space="0"/>
              </w:rPr>
              <w:t>位于兴安盟科右前旗政府新址天骄路东同心街以南</w:t>
            </w:r>
          </w:p>
        </w:tc>
        <w:tc>
          <w:tcPr>
            <w:tcW w:w="106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B7978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2011年</w:t>
            </w:r>
          </w:p>
        </w:tc>
        <w:tc>
          <w:tcPr>
            <w:tcW w:w="78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7462D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出让</w:t>
            </w:r>
          </w:p>
        </w:tc>
        <w:tc>
          <w:tcPr>
            <w:tcW w:w="78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E010F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工业</w:t>
            </w:r>
          </w:p>
        </w:tc>
        <w:tc>
          <w:tcPr>
            <w:tcW w:w="76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9162E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50年</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113A8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39095.3</w:t>
            </w:r>
          </w:p>
        </w:tc>
        <w:tc>
          <w:tcPr>
            <w:tcW w:w="141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64FD0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5786104.4</w:t>
            </w:r>
          </w:p>
        </w:tc>
      </w:tr>
      <w:tr w14:paraId="6E0361E4">
        <w:tblPrEx>
          <w:tblBorders>
            <w:top w:val="single" w:color="DCDCDC" w:sz="4" w:space="0"/>
            <w:left w:val="single" w:color="DCDCDC" w:sz="4" w:space="0"/>
            <w:bottom w:val="single" w:color="DCDCDC" w:sz="4" w:space="0"/>
            <w:right w:val="single" w:color="DCDCDC" w:sz="4" w:space="0"/>
            <w:insideH w:val="outset" w:color="auto" w:sz="6" w:space="0"/>
            <w:insideV w:val="outset" w:color="auto" w:sz="6" w:space="0"/>
          </w:tblBorders>
          <w:shd w:val="clear"/>
          <w:tblCellMar>
            <w:top w:w="15" w:type="dxa"/>
            <w:left w:w="15" w:type="dxa"/>
            <w:bottom w:w="15" w:type="dxa"/>
            <w:right w:w="15" w:type="dxa"/>
          </w:tblCellMar>
        </w:tblPrEx>
        <w:tc>
          <w:tcPr>
            <w:tcW w:w="8569" w:type="dxa"/>
            <w:gridSpan w:val="8"/>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C5BBD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合计</w:t>
            </w:r>
          </w:p>
        </w:tc>
        <w:tc>
          <w:tcPr>
            <w:tcW w:w="113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538BB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46684.3</w:t>
            </w:r>
          </w:p>
        </w:tc>
        <w:tc>
          <w:tcPr>
            <w:tcW w:w="141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771FD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jc w:val="center"/>
            </w:pPr>
            <w:r>
              <w:rPr>
                <w:rFonts w:hint="default" w:ascii="Helvetica" w:hAnsi="Helvetica" w:eastAsia="Helvetica" w:cs="Helvetica"/>
                <w:i w:val="0"/>
                <w:iCs w:val="0"/>
                <w:caps w:val="0"/>
                <w:color w:val="666666"/>
                <w:spacing w:val="0"/>
                <w:sz w:val="24"/>
                <w:szCs w:val="24"/>
                <w:bdr w:val="none" w:color="auto" w:sz="0" w:space="0"/>
              </w:rPr>
              <w:t>6924454.4</w:t>
            </w:r>
          </w:p>
        </w:tc>
      </w:tr>
    </w:tbl>
    <w:p w14:paraId="119030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0"/>
          <w:szCs w:val="20"/>
          <w:bdr w:val="none" w:color="auto" w:sz="0" w:space="0"/>
        </w:rPr>
        <w:t> </w:t>
      </w:r>
    </w:p>
    <w:p w14:paraId="050640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bdr w:val="none" w:color="auto" w:sz="0" w:space="0"/>
        </w:rPr>
        <w:t>评估报告内容仅供参考，标的物的质量具体以现场情况和实际交付为准，拍卖人对标的物外观、质量、结构、面积、性质、用途等情况不作担保，如出现标的物外观与图片不符、数量或质量不佳等情况，兴安盟辰威管业有限公司管理人、兴安盟中级人民法院与中鼎元品拍辅科技有限公司不承担任何责任。</w:t>
      </w:r>
    </w:p>
    <w:p w14:paraId="39F522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1"/>
          <w:szCs w:val="21"/>
          <w:bdr w:val="none" w:color="auto" w:sz="0" w:space="0"/>
        </w:rPr>
        <w:t> </w:t>
      </w:r>
    </w:p>
    <w:p w14:paraId="32A87A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特别说明</w:t>
      </w:r>
    </w:p>
    <w:p w14:paraId="164A26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（一）</w:t>
      </w:r>
      <w:r>
        <w:rPr>
          <w:rFonts w:hint="default" w:ascii="Helvetica" w:hAnsi="Helvetica" w:eastAsia="Helvetica" w:cs="Helvetica"/>
          <w:i w:val="0"/>
          <w:iCs w:val="0"/>
          <w:caps w:val="0"/>
          <w:color w:val="000000"/>
          <w:spacing w:val="0"/>
          <w:sz w:val="28"/>
          <w:szCs w:val="28"/>
          <w:bdr w:val="none" w:color="auto" w:sz="0" w:space="0"/>
        </w:rPr>
        <w:t>本次拍卖标的物以现状带瑕疵（含显性、隐性瑕疵）进行拍卖。拍卖公告所披露的各种情况说明和瑕疵（含显性、隐性瑕疵）仅供参考，标的展示的照片、为所描述标的梗概，此梗概仅仅是帮助意向竞买人形象化理解标的物，不能作为竞买人确定标的物及判断、权衡价值的最终依据，法院、管理人和拍卖机构不能保证该标的还可能存在其它缺陷，诸如本公告列举但可能并未穷尽的涉及到标的物的瑕疵情况等。竞买人务必于拍卖日前亲自对该拍卖标的物的法律及自然现状进行深入而全面地了解，包括亲自查验拍卖标的物、了解标的现状。竞买人一旦完成报名手续，即表明对该标的的现状已作全面了解，即视为已完全了解并认可标的物的现状和一切已知及未知的瑕疵，并以其独立判断决定自愿以现状竞买本项目。法院、管理人和拍卖机构不承担对上述拍卖标的物的一切已知和其他可能存在未知的瑕疵及缺陷的任何担保责任。</w:t>
      </w:r>
    </w:p>
    <w:p w14:paraId="75EC93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（二）</w:t>
      </w:r>
      <w:r>
        <w:rPr>
          <w:rFonts w:hint="default" w:ascii="Helvetica" w:hAnsi="Helvetica" w:eastAsia="Helvetica" w:cs="Helvetica"/>
          <w:i w:val="0"/>
          <w:iCs w:val="0"/>
          <w:caps w:val="0"/>
          <w:color w:val="000000"/>
          <w:spacing w:val="0"/>
          <w:sz w:val="28"/>
          <w:szCs w:val="28"/>
          <w:bdr w:val="none" w:color="auto" w:sz="0" w:space="0"/>
        </w:rPr>
        <w:t>标的物过户登记手续由买受人自行办理，管理人可予以协助。办理过程中所涉及的一切税、费和所需补交的相关税、费均由买受人承担。拍卖成交后，相关税、费的交纳及财产权证均由买受人自行办理。能否办理过户手续及办理过户手续的时间请竞买人在竞买前自行到相关职能部门咨询确认，具体费用请竞买人于拍卖前至相关单位自行查询，与拍卖人无涉。办理过程中所涉及的买卖双方所需承担的一切税、费和所需补交的相关税、费（包括但不限于应缴纳或补缴的增值税、附加税、水利建设基金、土地增值税、企业所得税、印花税、契税、物业费、水电费、过户手续费、权证费、水利基金费、出让金、应补地价、土地使用费以及房产及土地交易中规定缴纳的各种费用等）由买受人承担。</w:t>
      </w:r>
    </w:p>
    <w:p w14:paraId="698E54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FF0000"/>
          <w:spacing w:val="0"/>
          <w:sz w:val="28"/>
          <w:szCs w:val="28"/>
          <w:bdr w:val="none" w:color="auto" w:sz="0" w:space="0"/>
        </w:rPr>
        <w:t> </w:t>
      </w:r>
    </w:p>
    <w:p w14:paraId="38A835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四、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状况，并</w:t>
      </w:r>
      <w:r>
        <w:rPr>
          <w:rFonts w:hint="default" w:ascii="Helvetica" w:hAnsi="Helvetica" w:eastAsia="Helvetica" w:cs="Helvetica"/>
          <w:b/>
          <w:bCs/>
          <w:i w:val="0"/>
          <w:iCs w:val="0"/>
          <w:caps w:val="0"/>
          <w:color w:val="FF0000"/>
          <w:spacing w:val="0"/>
          <w:sz w:val="28"/>
          <w:szCs w:val="28"/>
          <w:bdr w:val="none" w:color="auto" w:sz="0" w:space="0"/>
        </w:rPr>
        <w:t>请亲临展示现场，实地看样，未看样的竞买人视为对本标的实物现状的确认，慎重决定竞买行为，竞买人一旦作出竞买决定，即表明已完全了解，并接受标的物的现状和一切已知及未知的瑕疵。</w:t>
      </w:r>
    </w:p>
    <w:p w14:paraId="3F03F8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38D1C1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五、</w:t>
      </w:r>
      <w:r>
        <w:rPr>
          <w:rFonts w:hint="default" w:ascii="Helvetica" w:hAnsi="Helvetica" w:eastAsia="Helvetica" w:cs="Helvetica"/>
          <w:i w:val="0"/>
          <w:iCs w:val="0"/>
          <w:caps w:val="0"/>
          <w:color w:val="666666"/>
          <w:spacing w:val="0"/>
          <w:sz w:val="28"/>
          <w:szCs w:val="28"/>
          <w:bdr w:val="none" w:color="auto" w:sz="0" w:space="0"/>
        </w:rPr>
        <w:t>竞买人条件：凡具备完全民事行为能力的公民、法人和其他组织均可参加竞买，若不具有完全民事行为能力其委托代理人必须具备完全民事行为能力；法律、行政法规、司法解释对买受人资格或者条件有特殊规定的，竞买人应当具备规定的资格或者条件。因不符合条件参加竞买的，由竞买人自行承担相应的法律责任。</w:t>
      </w:r>
    </w:p>
    <w:p w14:paraId="2CDCF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bdr w:val="none" w:color="auto" w:sz="0" w:space="0"/>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14:paraId="432BD5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r>
        <w:rPr>
          <w:rFonts w:hint="eastAsia" w:ascii="宋体" w:hAnsi="宋体" w:eastAsia="宋体" w:cs="宋体"/>
          <w:i w:val="0"/>
          <w:iCs w:val="0"/>
          <w:caps w:val="0"/>
          <w:color w:val="666666"/>
          <w:spacing w:val="0"/>
          <w:sz w:val="28"/>
          <w:szCs w:val="28"/>
          <w:bdr w:val="none" w:color="auto" w:sz="0" w:space="0"/>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r>
        <w:rPr>
          <w:rFonts w:hint="default" w:ascii="Helvetica" w:hAnsi="Helvetica" w:eastAsia="Helvetica" w:cs="Helvetica"/>
          <w:i w:val="0"/>
          <w:iCs w:val="0"/>
          <w:caps w:val="0"/>
          <w:color w:val="666666"/>
          <w:spacing w:val="0"/>
          <w:sz w:val="28"/>
          <w:szCs w:val="28"/>
          <w:bdr w:val="none" w:color="auto" w:sz="0" w:space="0"/>
        </w:rPr>
        <w:t>。因不符合条件参加竞买的，由竞买人自行承担相应的法律责任。</w:t>
      </w:r>
    </w:p>
    <w:p w14:paraId="59F8A3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bdr w:val="none" w:color="auto" w:sz="0" w:space="0"/>
        </w:rPr>
        <w:t> </w:t>
      </w:r>
    </w:p>
    <w:p w14:paraId="5F1153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FF0000"/>
          <w:spacing w:val="0"/>
          <w:sz w:val="28"/>
          <w:szCs w:val="28"/>
          <w:bdr w:val="none" w:color="auto" w:sz="0" w:space="0"/>
        </w:rPr>
        <w:t>六、优先购买权人参加竞买的，应于开拍前2日向管理人提交合法有效的证明，资格经管理人确认并添加至破产强清平台后台系统后才能参与竞买，逾期不提交的，视为放弃对本标的物享有优先购买权。</w:t>
      </w:r>
    </w:p>
    <w:p w14:paraId="33AF9F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795D97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七、与本标的物有利害关系的当事人可参加竞拍，不参加竞拍的请关注本次拍卖活动的整个过程。</w:t>
      </w:r>
    </w:p>
    <w:p w14:paraId="1E3586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333333"/>
          <w:spacing w:val="0"/>
          <w:sz w:val="28"/>
          <w:szCs w:val="28"/>
          <w:bdr w:val="none" w:color="auto" w:sz="0" w:space="0"/>
        </w:rPr>
        <w:t>八、本次拍卖活动设置延时出价功能，在拍卖活动结束</w:t>
      </w:r>
      <w:r>
        <w:rPr>
          <w:rFonts w:hint="eastAsia" w:ascii="宋体" w:hAnsi="宋体" w:eastAsia="宋体" w:cs="宋体"/>
          <w:b/>
          <w:bCs/>
          <w:i w:val="0"/>
          <w:iCs w:val="0"/>
          <w:caps w:val="0"/>
          <w:color w:val="666666"/>
          <w:spacing w:val="0"/>
          <w:sz w:val="28"/>
          <w:szCs w:val="28"/>
          <w:bdr w:val="none" w:color="auto" w:sz="0" w:space="0"/>
        </w:rPr>
        <w:t>前，每最后5分钟如果有竞买人出价，就自动延迟5分钟。</w:t>
      </w:r>
    </w:p>
    <w:p w14:paraId="191122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九、竞拍前竞买人应通过支付宝账户缴纳足额的拍卖保证金。竞买人在对拍卖标的物第一次确认出价竞拍前，按</w:t>
      </w:r>
      <w:r>
        <w:rPr>
          <w:rFonts w:hint="default" w:ascii="Helvetica" w:hAnsi="Helvetica" w:eastAsia="Helvetica" w:cs="Helvetica"/>
          <w:i w:val="0"/>
          <w:iCs w:val="0"/>
          <w:caps w:val="0"/>
          <w:color w:val="666666"/>
          <w:spacing w:val="0"/>
          <w:sz w:val="28"/>
          <w:szCs w:val="28"/>
          <w:bdr w:val="none" w:color="auto" w:sz="0" w:space="0"/>
        </w:rPr>
        <w:t>破产强清平台</w:t>
      </w:r>
      <w:r>
        <w:rPr>
          <w:rFonts w:hint="default" w:ascii="Helvetica" w:hAnsi="Helvetica" w:eastAsia="Helvetica" w:cs="Helvetica"/>
          <w:i w:val="0"/>
          <w:iCs w:val="0"/>
          <w:caps w:val="0"/>
          <w:color w:val="333333"/>
          <w:spacing w:val="0"/>
          <w:sz w:val="28"/>
          <w:szCs w:val="28"/>
          <w:bdr w:val="none" w:color="auto" w:sz="0" w:space="0"/>
        </w:rPr>
        <w:t>系统提示报名缴纳</w:t>
      </w:r>
      <w:r>
        <w:rPr>
          <w:rFonts w:hint="default" w:ascii="Helvetica" w:hAnsi="Helvetica" w:eastAsia="Helvetica" w:cs="Helvetica"/>
          <w:i w:val="0"/>
          <w:iCs w:val="0"/>
          <w:caps w:val="0"/>
          <w:color w:val="C00000"/>
          <w:spacing w:val="0"/>
          <w:sz w:val="28"/>
          <w:szCs w:val="28"/>
          <w:bdr w:val="none" w:color="auto" w:sz="0" w:space="0"/>
        </w:rPr>
        <w:t>保证金2000000元</w:t>
      </w:r>
      <w:r>
        <w:rPr>
          <w:rFonts w:hint="eastAsia" w:ascii="宋体" w:hAnsi="宋体" w:eastAsia="宋体" w:cs="宋体"/>
          <w:i w:val="0"/>
          <w:iCs w:val="0"/>
          <w:caps w:val="0"/>
          <w:color w:val="333333"/>
          <w:spacing w:val="0"/>
          <w:sz w:val="28"/>
          <w:szCs w:val="28"/>
          <w:bdr w:val="none" w:color="auto" w:sz="0" w:space="0"/>
        </w:rPr>
        <w:t>，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1A04D8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bdr w:val="none" w:color="auto" w:sz="0" w:space="0"/>
        </w:rPr>
        <w:t>保证金支付帮助：</w:t>
      </w:r>
      <w:r>
        <w:rPr>
          <w:rFonts w:hint="default" w:ascii="Helvetica" w:hAnsi="Helvetica" w:eastAsia="Helvetica" w:cs="Helvetica"/>
          <w:i w:val="0"/>
          <w:iCs w:val="0"/>
          <w:caps w:val="0"/>
          <w:color w:val="666666"/>
          <w:spacing w:val="0"/>
          <w:sz w:val="16"/>
          <w:szCs w:val="16"/>
          <w:u w:val="none"/>
          <w:bdr w:val="none" w:color="auto" w:sz="0" w:space="0"/>
        </w:rPr>
        <w:fldChar w:fldCharType="begin"/>
      </w:r>
      <w:r>
        <w:rPr>
          <w:rFonts w:hint="default" w:ascii="Helvetica" w:hAnsi="Helvetica" w:eastAsia="Helvetica" w:cs="Helvetica"/>
          <w:i w:val="0"/>
          <w:iCs w:val="0"/>
          <w:caps w:val="0"/>
          <w:color w:val="666666"/>
          <w:spacing w:val="0"/>
          <w:sz w:val="16"/>
          <w:szCs w:val="16"/>
          <w:u w:val="none"/>
          <w:bdr w:val="none" w:color="auto" w:sz="0" w:space="0"/>
        </w:rPr>
        <w:instrText xml:space="preserve"> HYPERLINK "https://www.taobao.com/market/paimai/sf-helpcenter.php?path=sf-hc-right-content5" \l "q1" </w:instrText>
      </w:r>
      <w:r>
        <w:rPr>
          <w:rFonts w:hint="default" w:ascii="Helvetica" w:hAnsi="Helvetica" w:eastAsia="Helvetica" w:cs="Helvetica"/>
          <w:i w:val="0"/>
          <w:iCs w:val="0"/>
          <w:caps w:val="0"/>
          <w:color w:val="666666"/>
          <w:spacing w:val="0"/>
          <w:sz w:val="16"/>
          <w:szCs w:val="16"/>
          <w:u w:val="none"/>
          <w:bdr w:val="none" w:color="auto" w:sz="0" w:space="0"/>
        </w:rPr>
        <w:fldChar w:fldCharType="separate"/>
      </w:r>
      <w:r>
        <w:rPr>
          <w:rStyle w:val="5"/>
          <w:rFonts w:hint="default" w:ascii="Helvetica" w:hAnsi="Helvetica" w:eastAsia="Helvetica" w:cs="Helvetica"/>
          <w:i w:val="0"/>
          <w:iCs w:val="0"/>
          <w:caps w:val="0"/>
          <w:color w:val="548DD4"/>
          <w:spacing w:val="0"/>
          <w:sz w:val="28"/>
          <w:szCs w:val="28"/>
          <w:u w:val="none"/>
          <w:bdr w:val="none" w:color="auto" w:sz="0" w:space="0"/>
        </w:rPr>
        <w:t>https://www.taobao.com/market/paimai/sf-helpcenter.php?path=sf-hc-right-content5#q1</w:t>
      </w:r>
      <w:r>
        <w:rPr>
          <w:rFonts w:hint="default" w:ascii="Helvetica" w:hAnsi="Helvetica" w:eastAsia="Helvetica" w:cs="Helvetica"/>
          <w:i w:val="0"/>
          <w:iCs w:val="0"/>
          <w:caps w:val="0"/>
          <w:color w:val="666666"/>
          <w:spacing w:val="0"/>
          <w:sz w:val="16"/>
          <w:szCs w:val="16"/>
          <w:u w:val="none"/>
          <w:bdr w:val="none" w:color="auto" w:sz="0" w:space="0"/>
        </w:rPr>
        <w:fldChar w:fldCharType="end"/>
      </w:r>
    </w:p>
    <w:p w14:paraId="48BEA2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bdr w:val="none" w:color="auto" w:sz="0" w:space="0"/>
        </w:rPr>
        <w:t> </w:t>
      </w:r>
    </w:p>
    <w:p w14:paraId="088E53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十、拍卖余款请在2024年10</w:t>
      </w:r>
      <w:r>
        <w:rPr>
          <w:rFonts w:hint="eastAsia" w:ascii="宋体" w:hAnsi="宋体" w:eastAsia="宋体" w:cs="宋体"/>
          <w:i w:val="0"/>
          <w:iCs w:val="0"/>
          <w:caps w:val="0"/>
          <w:color w:val="666666"/>
          <w:spacing w:val="0"/>
          <w:sz w:val="28"/>
          <w:szCs w:val="28"/>
          <w:bdr w:val="none" w:color="auto" w:sz="0" w:space="0"/>
        </w:rPr>
        <w:t>月11日前</w:t>
      </w:r>
      <w:r>
        <w:rPr>
          <w:rFonts w:hint="default" w:ascii="Helvetica" w:hAnsi="Helvetica" w:eastAsia="Helvetica" w:cs="Helvetica"/>
          <w:i w:val="0"/>
          <w:iCs w:val="0"/>
          <w:caps w:val="0"/>
          <w:color w:val="666666"/>
          <w:spacing w:val="0"/>
          <w:sz w:val="28"/>
          <w:szCs w:val="28"/>
          <w:bdr w:val="none" w:color="auto" w:sz="0" w:space="0"/>
        </w:rPr>
        <w:t>（拍卖成交后15日内）完成竞拍尾款支付。缴入管理人指定账户（户名：兴安盟辰威管业有限公司</w:t>
      </w:r>
      <w:r>
        <w:rPr>
          <w:rFonts w:hint="default" w:ascii="Helvetica" w:hAnsi="Helvetica" w:eastAsia="Helvetica" w:cs="Helvetica"/>
          <w:i w:val="0"/>
          <w:iCs w:val="0"/>
          <w:caps w:val="0"/>
          <w:color w:val="000000"/>
          <w:spacing w:val="0"/>
          <w:sz w:val="28"/>
          <w:szCs w:val="28"/>
          <w:bdr w:val="none" w:color="auto" w:sz="0" w:space="0"/>
        </w:rPr>
        <w:t>管理人</w:t>
      </w:r>
      <w:r>
        <w:rPr>
          <w:rFonts w:hint="default" w:ascii="Helvetica" w:hAnsi="Helvetica" w:eastAsia="Helvetica" w:cs="Helvetica"/>
          <w:i w:val="0"/>
          <w:iCs w:val="0"/>
          <w:caps w:val="0"/>
          <w:color w:val="666666"/>
          <w:spacing w:val="0"/>
          <w:sz w:val="28"/>
          <w:szCs w:val="28"/>
          <w:bdr w:val="none" w:color="auto" w:sz="0" w:space="0"/>
        </w:rPr>
        <w:t>，开户行：上海浦东发展银行股份有限公司呼和浩特分行，账号：59010078801900002109）</w:t>
      </w:r>
      <w:r>
        <w:rPr>
          <w:rFonts w:hint="eastAsia" w:ascii="宋体" w:hAnsi="宋体" w:eastAsia="宋体" w:cs="宋体"/>
          <w:i w:val="0"/>
          <w:iCs w:val="0"/>
          <w:caps w:val="0"/>
          <w:color w:val="666666"/>
          <w:spacing w:val="0"/>
          <w:sz w:val="28"/>
          <w:szCs w:val="28"/>
          <w:bdr w:val="none" w:color="auto" w:sz="0" w:space="0"/>
        </w:rPr>
        <w:t>。额外综合服务费为成交价的2%，由买受人支付，请在2024年10月11日前（拍卖成交后</w:t>
      </w:r>
      <w:r>
        <w:rPr>
          <w:rFonts w:hint="default" w:ascii="Helvetica" w:hAnsi="Helvetica" w:eastAsia="Helvetica" w:cs="Helvetica"/>
          <w:i w:val="0"/>
          <w:iCs w:val="0"/>
          <w:caps w:val="0"/>
          <w:color w:val="666666"/>
          <w:spacing w:val="0"/>
          <w:sz w:val="28"/>
          <w:szCs w:val="28"/>
          <w:bdr w:val="none" w:color="auto" w:sz="0" w:space="0"/>
        </w:rPr>
        <w:t>15</w:t>
      </w:r>
      <w:r>
        <w:rPr>
          <w:rFonts w:hint="eastAsia" w:ascii="宋体" w:hAnsi="宋体" w:eastAsia="宋体" w:cs="宋体"/>
          <w:i w:val="0"/>
          <w:iCs w:val="0"/>
          <w:caps w:val="0"/>
          <w:color w:val="666666"/>
          <w:spacing w:val="0"/>
          <w:sz w:val="28"/>
          <w:szCs w:val="28"/>
          <w:bdr w:val="none" w:color="auto" w:sz="0" w:space="0"/>
        </w:rPr>
        <w:t>日内）完成支付。汇款到服务商指定账户【账户名称：中鼎元品拍辅科技有限公司，开户银行：交通银行股份有限公司北京东区支行，账号：1100 6116 6018 8000 47058】。</w:t>
      </w:r>
    </w:p>
    <w:p w14:paraId="022F95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180E0C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333333"/>
          <w:spacing w:val="0"/>
          <w:sz w:val="28"/>
          <w:szCs w:val="28"/>
          <w:bdr w:val="none" w:color="auto" w:sz="0" w:space="0"/>
        </w:rPr>
        <w:t>十一、买受人应于付清全部拍卖成交款后五个工作日内（遇节假日顺延）凭付款凭证及相关身份材料到破产管理人（地址：内蒙古自治区呼和浩特市如意开发区科尔沁南路留学人员创业园611室）签署拍卖成交确认文件。并自签署拍卖成交确认文件后10日内，管理人向买受人交付财产涉及办理权属变更登记手续的一并开始办理。买受人未及时受领财产的，自交付期限届满之日起，受领财产发生的一切费用及风险由买受人承担。如果拍卖后发生非因管理人的原因不能办理过户手续或权证的情况，管理人不承担责任。</w:t>
      </w:r>
    </w:p>
    <w:p w14:paraId="25FDD5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333333"/>
          <w:spacing w:val="0"/>
          <w:sz w:val="28"/>
          <w:szCs w:val="28"/>
          <w:bdr w:val="none" w:color="auto" w:sz="0" w:space="0"/>
        </w:rPr>
        <w:t> </w:t>
      </w:r>
    </w:p>
    <w:p w14:paraId="6C1EAF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68D634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十二、买受人逾</w:t>
      </w:r>
      <w:r>
        <w:rPr>
          <w:rFonts w:hint="default" w:ascii="Helvetica" w:hAnsi="Helvetica" w:eastAsia="Helvetica" w:cs="Helvetica"/>
          <w:i w:val="0"/>
          <w:iCs w:val="0"/>
          <w:caps w:val="0"/>
          <w:color w:val="333333"/>
          <w:spacing w:val="-6"/>
          <w:sz w:val="28"/>
          <w:szCs w:val="28"/>
          <w:bdr w:val="none" w:color="auto" w:sz="0" w:space="0"/>
        </w:rPr>
        <w:t>期未支付拍卖余款或未办理交接手续，管理人可提请重新拍卖。重新拍卖时，原买受人不得参加竞买。</w:t>
      </w:r>
      <w:r>
        <w:rPr>
          <w:rFonts w:hint="default" w:ascii="Helvetica" w:hAnsi="Helvetica" w:eastAsia="Helvetica" w:cs="Helvetica"/>
          <w:i w:val="0"/>
          <w:iCs w:val="0"/>
          <w:caps w:val="0"/>
          <w:color w:val="800000"/>
          <w:spacing w:val="-6"/>
          <w:sz w:val="28"/>
          <w:szCs w:val="28"/>
          <w:bdr w:val="none" w:color="auto" w:sz="0" w:space="0"/>
        </w:rPr>
        <w:t>拍卖成交后买受人悔拍的，交纳的保证金不予退还，计入债务人财产，依次用于支付拍卖产生的费用损失、弥补重新拍卖价款低于原拍卖价款的差价等。保证金数额不足以弥补拍卖费用损失以及重新拍卖价款低于原拍卖价款的差价的，管理人可向悔拍人追索。</w:t>
      </w:r>
    </w:p>
    <w:p w14:paraId="677A77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800000"/>
          <w:spacing w:val="-6"/>
          <w:sz w:val="28"/>
          <w:szCs w:val="28"/>
          <w:bdr w:val="none" w:color="auto" w:sz="0" w:space="0"/>
        </w:rPr>
        <w:t> </w:t>
      </w:r>
    </w:p>
    <w:p w14:paraId="0715B1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十三、买受人在按要求缴纳全部拍卖款后应及时接收标的物，并由管理人和拍辅机构协助办理转移手续，逾期不办理的，承担本标的物可能发生的损毁、灭失等后果和场地占用所产生的费用。能否办理过户手续及办理过户手续的时间请竞买人在竞买前自行到相关职能部门咨询确认，标的物现状及存在瑕疵等原因不能作为延迟办理标的物接收的理由，不能或者延迟办理过户手续及办理二次过户造成的税、费增加的后果自负，</w:t>
      </w:r>
      <w:r>
        <w:rPr>
          <w:rFonts w:hint="default" w:ascii="Helvetica" w:hAnsi="Helvetica" w:eastAsia="Helvetica" w:cs="Helvetica"/>
          <w:b/>
          <w:bCs/>
          <w:i w:val="0"/>
          <w:iCs w:val="0"/>
          <w:caps w:val="0"/>
          <w:color w:val="FF0000"/>
          <w:spacing w:val="0"/>
          <w:sz w:val="28"/>
          <w:szCs w:val="28"/>
          <w:bdr w:val="none" w:color="auto" w:sz="0" w:space="0"/>
        </w:rPr>
        <w:t>兴安盟辰威管业有限公司管理人、兴安盟中级人民法院与中鼎元品拍辅科技有限公司</w:t>
      </w:r>
      <w:r>
        <w:rPr>
          <w:rFonts w:hint="default" w:ascii="Helvetica" w:hAnsi="Helvetica" w:eastAsia="Helvetica" w:cs="Helvetica"/>
          <w:i w:val="0"/>
          <w:iCs w:val="0"/>
          <w:caps w:val="0"/>
          <w:color w:val="333333"/>
          <w:spacing w:val="0"/>
          <w:sz w:val="28"/>
          <w:szCs w:val="28"/>
          <w:bdr w:val="none" w:color="auto" w:sz="0" w:space="0"/>
        </w:rPr>
        <w:t>不作任何承诺和担保，接收和提取标的物所涉及的一切费用由</w:t>
      </w:r>
      <w:r>
        <w:rPr>
          <w:rFonts w:hint="eastAsia" w:ascii="宋体" w:hAnsi="宋体" w:eastAsia="宋体" w:cs="宋体"/>
          <w:i w:val="0"/>
          <w:iCs w:val="0"/>
          <w:caps w:val="0"/>
          <w:color w:val="333333"/>
          <w:spacing w:val="0"/>
          <w:sz w:val="28"/>
          <w:szCs w:val="28"/>
          <w:bdr w:val="none" w:color="auto" w:sz="0" w:space="0"/>
        </w:rPr>
        <w:t>买受人承担。</w:t>
      </w:r>
    </w:p>
    <w:p w14:paraId="7F7212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十四、本次拍卖活动计价货币为人民币，拍卖时的起拍价、成交价均不含买受人在拍卖标的物产权转移时所发生的一切税费。</w:t>
      </w:r>
    </w:p>
    <w:p w14:paraId="4C5D97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6E106C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十五、参加竞买的竞买人应当遵守竞买须知的规定，不得阻挠其他竞买人竞拍，不得操纵、垄断竞拍价格，严禁竞买人恶意串标，上述行为一经发现，将取消其竞买资格，并追究相关的法律责任。</w:t>
      </w:r>
    </w:p>
    <w:p w14:paraId="7EB6D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44DACD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十六、管理人根据法律规定有权在拍卖开始前中止拍卖或撤回拍卖。</w:t>
      </w:r>
    </w:p>
    <w:p w14:paraId="045A71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55B147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十七、凡发现拍卖中有违规行为，可如实举报。</w:t>
      </w:r>
    </w:p>
    <w:p w14:paraId="1BFA20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3161CA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4DD69B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 </w:t>
      </w:r>
    </w:p>
    <w:p w14:paraId="019DED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管理人咨询电话：13948436775</w:t>
      </w:r>
    </w:p>
    <w:p w14:paraId="34497D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bdr w:val="none" w:color="auto" w:sz="0" w:space="0"/>
        </w:rPr>
        <w:t>拍卖辅助机构咨询电话：徐先生15560912200</w:t>
      </w:r>
    </w:p>
    <w:p w14:paraId="63392C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bdr w:val="none" w:color="auto" w:sz="0" w:space="0"/>
        </w:rPr>
        <w:t>淘宝技术咨询：400-822-2870</w:t>
      </w:r>
    </w:p>
    <w:p w14:paraId="1065BF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both"/>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333333"/>
          <w:spacing w:val="0"/>
          <w:sz w:val="28"/>
          <w:szCs w:val="28"/>
          <w:bdr w:val="none" w:color="auto" w:sz="0" w:space="0"/>
        </w:rPr>
        <w:t>本规则其他未尽事宜，请向兴安盟辰威管业有限公司</w:t>
      </w:r>
      <w:r>
        <w:rPr>
          <w:rFonts w:hint="eastAsia" w:ascii="宋体" w:hAnsi="宋体" w:eastAsia="宋体" w:cs="宋体"/>
          <w:i w:val="0"/>
          <w:iCs w:val="0"/>
          <w:caps w:val="0"/>
          <w:color w:val="333333"/>
          <w:spacing w:val="0"/>
          <w:sz w:val="28"/>
          <w:szCs w:val="28"/>
          <w:bdr w:val="none" w:color="auto" w:sz="0" w:space="0"/>
        </w:rPr>
        <w:t>管理人咨询。                                              </w:t>
      </w:r>
    </w:p>
    <w:p w14:paraId="5394B1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173FC0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3FD45C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p>
    <w:p w14:paraId="774856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兴安盟辰威管业有限公司管理人</w:t>
      </w:r>
    </w:p>
    <w:p w14:paraId="2295DA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bdr w:val="none" w:color="auto" w:sz="0" w:space="0"/>
        </w:rPr>
        <w:t>                                  </w:t>
      </w:r>
      <w:r>
        <w:rPr>
          <w:rFonts w:hint="eastAsia" w:ascii="宋体" w:hAnsi="宋体" w:eastAsia="宋体" w:cs="宋体"/>
          <w:i w:val="0"/>
          <w:iCs w:val="0"/>
          <w:caps w:val="0"/>
          <w:color w:val="666666"/>
          <w:spacing w:val="0"/>
          <w:sz w:val="28"/>
          <w:szCs w:val="28"/>
          <w:bdr w:val="none" w:color="auto" w:sz="0" w:space="0"/>
        </w:rPr>
        <w:t>二〇</w:t>
      </w:r>
      <w:r>
        <w:rPr>
          <w:rFonts w:hint="default" w:ascii="Helvetica" w:hAnsi="Helvetica" w:eastAsia="Helvetica" w:cs="Helvetica"/>
          <w:i w:val="0"/>
          <w:iCs w:val="0"/>
          <w:caps w:val="0"/>
          <w:color w:val="666666"/>
          <w:spacing w:val="0"/>
          <w:sz w:val="28"/>
          <w:szCs w:val="28"/>
          <w:bdr w:val="none" w:color="auto" w:sz="0" w:space="0"/>
        </w:rPr>
        <w:t>二四年九月九日</w:t>
      </w:r>
    </w:p>
    <w:p w14:paraId="08288F8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NTE1NTQyM2EyYjFjYWExZTJlZGE3MjBiZGE0YmEifQ=="/>
  </w:docVars>
  <w:rsids>
    <w:rsidRoot w:val="00000000"/>
    <w:rsid w:val="59FF6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2024-09-09T03:14:06Z</dcterms:created>
  <dc:creator>Administrator</dc:creator>
  <cp:lastModifiedBy></cp:lastModifiedBy>
  <dcterms:modified xsi:type="dcterms:W3CDTF">2024-09-09T03:14:11Z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868819EBAB004C7FAC5E83EE145826EF_12</vt:lpwstr>
  </property>
</Properties>
</file>