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258A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Helvetica" w:hAnsi="Helvetica" w:eastAsia="Helvetica" w:cs="Helvetica"/>
          <w:i w:val="0"/>
          <w:iCs w:val="0"/>
          <w:caps w:val="0"/>
          <w:color w:val="1B253A"/>
          <w:spacing w:val="0"/>
          <w:sz w:val="16"/>
          <w:szCs w:val="16"/>
        </w:rPr>
      </w:pPr>
      <w:r>
        <w:rPr>
          <w:rFonts w:hint="default" w:ascii="Helvetica" w:hAnsi="Helvetica" w:eastAsia="Helvetica" w:cs="Helvetica"/>
          <w:i w:val="0"/>
          <w:iCs w:val="0"/>
          <w:caps w:val="0"/>
          <w:color w:val="1B253A"/>
          <w:spacing w:val="0"/>
          <w:sz w:val="36"/>
          <w:szCs w:val="36"/>
          <w:bdr w:val="none" w:color="auto" w:sz="0" w:space="0"/>
          <w:shd w:val="clear" w:fill="FFFFFF"/>
        </w:rPr>
        <w:br w:type="textWrapping"/>
      </w:r>
      <w:r>
        <w:rPr>
          <w:rFonts w:hint="default" w:ascii="Helvetica" w:hAnsi="Helvetica" w:eastAsia="Helvetica" w:cs="Helvetica"/>
          <w:i w:val="0"/>
          <w:iCs w:val="0"/>
          <w:caps w:val="0"/>
          <w:color w:val="1B253A"/>
          <w:spacing w:val="0"/>
          <w:sz w:val="36"/>
          <w:szCs w:val="36"/>
          <w:bdr w:val="none" w:color="auto" w:sz="0" w:space="0"/>
          <w:shd w:val="clear" w:fill="FFFFFF"/>
        </w:rPr>
        <w:t>拍卖标的情况调查表</w:t>
      </w:r>
    </w:p>
    <w:p w14:paraId="11B1393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Helvetica" w:hAnsi="Helvetica" w:eastAsia="Helvetica" w:cs="Helvetica"/>
          <w:i w:val="0"/>
          <w:iCs w:val="0"/>
          <w:caps w:val="0"/>
          <w:color w:val="1B253A"/>
          <w:spacing w:val="0"/>
          <w:sz w:val="16"/>
          <w:szCs w:val="16"/>
        </w:rPr>
      </w:pPr>
      <w:r>
        <w:rPr>
          <w:rFonts w:hint="default" w:ascii="Helvetica" w:hAnsi="Helvetica" w:eastAsia="Helvetica" w:cs="Helvetica"/>
          <w:i w:val="0"/>
          <w:iCs w:val="0"/>
          <w:caps w:val="0"/>
          <w:color w:val="1B253A"/>
          <w:spacing w:val="0"/>
          <w:sz w:val="28"/>
          <w:szCs w:val="28"/>
          <w:bdr w:val="none" w:color="auto" w:sz="0" w:space="0"/>
          <w:shd w:val="clear" w:fill="FFFFFF"/>
        </w:rPr>
        <w:t> </w:t>
      </w:r>
    </w:p>
    <w:p w14:paraId="03AF3B7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Helvetica" w:cs="Helvetica"/>
          <w:i w:val="0"/>
          <w:iCs w:val="0"/>
          <w:caps w:val="0"/>
          <w:color w:val="1B253A"/>
          <w:spacing w:val="0"/>
          <w:sz w:val="16"/>
          <w:szCs w:val="16"/>
        </w:rPr>
      </w:pPr>
      <w:r>
        <w:rPr>
          <w:rFonts w:hint="default" w:ascii="Helvetica" w:hAnsi="Helvetica" w:eastAsia="Helvetica" w:cs="Helvetica"/>
          <w:i w:val="0"/>
          <w:iCs w:val="0"/>
          <w:caps w:val="0"/>
          <w:color w:val="1B253A"/>
          <w:spacing w:val="0"/>
          <w:sz w:val="28"/>
          <w:szCs w:val="28"/>
          <w:bdr w:val="none" w:color="auto" w:sz="0" w:space="0"/>
          <w:shd w:val="clear" w:fill="FFFFFF"/>
        </w:rPr>
        <w:t>标的物情况介绍摘录自内蒙古弘泰资产评估事务所有限公司内弘资评报字【2023】</w:t>
      </w:r>
      <w:r>
        <w:rPr>
          <w:rFonts w:hint="eastAsia" w:ascii="宋体" w:hAnsi="宋体" w:eastAsia="宋体" w:cs="宋体"/>
          <w:i w:val="0"/>
          <w:iCs w:val="0"/>
          <w:caps w:val="0"/>
          <w:color w:val="1B253A"/>
          <w:spacing w:val="0"/>
          <w:sz w:val="28"/>
          <w:szCs w:val="28"/>
          <w:bdr w:val="none" w:color="auto" w:sz="0" w:space="0"/>
          <w:shd w:val="clear" w:fill="FFFFFF"/>
        </w:rPr>
        <w:t>第2</w:t>
      </w:r>
      <w:r>
        <w:rPr>
          <w:rFonts w:hint="default" w:ascii="Helvetica" w:hAnsi="Helvetica" w:eastAsia="Helvetica" w:cs="Helvetica"/>
          <w:i w:val="0"/>
          <w:iCs w:val="0"/>
          <w:caps w:val="0"/>
          <w:color w:val="1B253A"/>
          <w:spacing w:val="0"/>
          <w:sz w:val="28"/>
          <w:szCs w:val="28"/>
          <w:bdr w:val="none" w:color="auto" w:sz="0" w:space="0"/>
          <w:shd w:val="clear" w:fill="FFFFFF"/>
        </w:rPr>
        <w:t>号《资产评估报告书》。</w:t>
      </w:r>
    </w:p>
    <w:tbl>
      <w:tblPr>
        <w:tblW w:w="0" w:type="auto"/>
        <w:jc w:val="center"/>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2844"/>
        <w:gridCol w:w="5678"/>
      </w:tblGrid>
      <w:tr w14:paraId="729A23A8">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tblCellMar>
            <w:top w:w="15" w:type="dxa"/>
            <w:left w:w="15" w:type="dxa"/>
            <w:bottom w:w="15" w:type="dxa"/>
            <w:right w:w="15" w:type="dxa"/>
          </w:tblCellMar>
        </w:tblPrEx>
        <w:trPr>
          <w:trHeight w:val="933" w:hRule="atLeast"/>
          <w:jc w:val="center"/>
        </w:trPr>
        <w:tc>
          <w:tcPr>
            <w:tcW w:w="284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C3365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jc w:val="center"/>
            </w:pPr>
            <w:r>
              <w:rPr>
                <w:sz w:val="24"/>
                <w:szCs w:val="24"/>
                <w:bdr w:val="none" w:color="auto" w:sz="0" w:space="0"/>
              </w:rPr>
              <w:t>拍品名称</w:t>
            </w:r>
          </w:p>
        </w:tc>
        <w:tc>
          <w:tcPr>
            <w:tcW w:w="567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C667D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jc w:val="center"/>
            </w:pPr>
            <w:r>
              <w:rPr>
                <w:sz w:val="24"/>
                <w:szCs w:val="24"/>
                <w:bdr w:val="none" w:color="auto" w:sz="0" w:space="0"/>
              </w:rPr>
              <w:t>兴安盟辰威管业有限公司破产清算案处置资产</w:t>
            </w:r>
          </w:p>
        </w:tc>
      </w:tr>
      <w:tr w14:paraId="3062BD76">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tblCellMar>
            <w:top w:w="15" w:type="dxa"/>
            <w:left w:w="15" w:type="dxa"/>
            <w:bottom w:w="15" w:type="dxa"/>
            <w:right w:w="15" w:type="dxa"/>
          </w:tblCellMar>
        </w:tblPrEx>
        <w:trPr>
          <w:trHeight w:val="632" w:hRule="atLeast"/>
          <w:jc w:val="center"/>
        </w:trPr>
        <w:tc>
          <w:tcPr>
            <w:tcW w:w="284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4DE0B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jc w:val="center"/>
            </w:pPr>
            <w:r>
              <w:rPr>
                <w:sz w:val="24"/>
                <w:szCs w:val="24"/>
                <w:bdr w:val="none" w:color="auto" w:sz="0" w:space="0"/>
              </w:rPr>
              <w:t>拍卖依据</w:t>
            </w:r>
          </w:p>
        </w:tc>
        <w:tc>
          <w:tcPr>
            <w:tcW w:w="567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8E766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jc w:val="center"/>
            </w:pPr>
            <w:r>
              <w:rPr>
                <w:sz w:val="24"/>
                <w:szCs w:val="24"/>
                <w:bdr w:val="none" w:color="auto" w:sz="0" w:space="0"/>
              </w:rPr>
              <w:t>《破产财产处置方案》</w:t>
            </w:r>
          </w:p>
        </w:tc>
      </w:tr>
      <w:tr w14:paraId="2C589473">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tblCellMar>
            <w:top w:w="15" w:type="dxa"/>
            <w:left w:w="15" w:type="dxa"/>
            <w:bottom w:w="15" w:type="dxa"/>
            <w:right w:w="15" w:type="dxa"/>
          </w:tblCellMar>
        </w:tblPrEx>
        <w:trPr>
          <w:trHeight w:val="707" w:hRule="atLeast"/>
          <w:jc w:val="center"/>
        </w:trPr>
        <w:tc>
          <w:tcPr>
            <w:tcW w:w="284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CF54AA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jc w:val="center"/>
            </w:pPr>
            <w:r>
              <w:rPr>
                <w:sz w:val="24"/>
                <w:szCs w:val="24"/>
                <w:bdr w:val="none" w:color="auto" w:sz="0" w:space="0"/>
              </w:rPr>
              <w:t>拍品权利人</w:t>
            </w:r>
          </w:p>
        </w:tc>
        <w:tc>
          <w:tcPr>
            <w:tcW w:w="567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AF5BF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jc w:val="center"/>
            </w:pPr>
            <w:r>
              <w:rPr>
                <w:sz w:val="24"/>
                <w:szCs w:val="24"/>
                <w:bdr w:val="none" w:color="auto" w:sz="0" w:space="0"/>
              </w:rPr>
              <w:t>兴安盟辰威管业有限公司</w:t>
            </w:r>
            <w:r>
              <w:rPr>
                <w:color w:val="000000"/>
                <w:sz w:val="24"/>
                <w:szCs w:val="24"/>
                <w:bdr w:val="none" w:color="auto" w:sz="0" w:space="0"/>
              </w:rPr>
              <w:t>管理人</w:t>
            </w:r>
          </w:p>
        </w:tc>
      </w:tr>
      <w:tr w14:paraId="4B472EBA">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tblCellMar>
            <w:top w:w="15" w:type="dxa"/>
            <w:left w:w="15" w:type="dxa"/>
            <w:bottom w:w="15" w:type="dxa"/>
            <w:right w:w="15" w:type="dxa"/>
          </w:tblCellMar>
        </w:tblPrEx>
        <w:trPr>
          <w:trHeight w:val="3031" w:hRule="atLeast"/>
          <w:jc w:val="center"/>
        </w:trPr>
        <w:tc>
          <w:tcPr>
            <w:tcW w:w="284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802A4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jc w:val="center"/>
            </w:pPr>
            <w:r>
              <w:rPr>
                <w:sz w:val="24"/>
                <w:szCs w:val="24"/>
                <w:bdr w:val="none" w:color="auto" w:sz="0" w:space="0"/>
              </w:rPr>
              <w:t>拍品现状</w:t>
            </w:r>
          </w:p>
        </w:tc>
        <w:tc>
          <w:tcPr>
            <w:tcW w:w="567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CEC19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pPr>
            <w:r>
              <w:rPr>
                <w:sz w:val="24"/>
                <w:szCs w:val="24"/>
                <w:bdr w:val="none" w:color="auto" w:sz="0" w:space="0"/>
              </w:rPr>
              <w:t>1、资产位于</w:t>
            </w:r>
            <w:r>
              <w:rPr>
                <w:color w:val="000000"/>
                <w:sz w:val="24"/>
                <w:szCs w:val="24"/>
                <w:bdr w:val="none" w:color="auto" w:sz="0" w:space="0"/>
              </w:rPr>
              <w:t>位于兴安盟科右前旗政府新址天骄路东同心街以南</w:t>
            </w:r>
            <w:r>
              <w:rPr>
                <w:sz w:val="24"/>
                <w:szCs w:val="24"/>
                <w:bdr w:val="none" w:color="auto" w:sz="0" w:space="0"/>
              </w:rPr>
              <w:t>。</w:t>
            </w:r>
          </w:p>
          <w:p w14:paraId="0D950C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pPr>
            <w:r>
              <w:rPr>
                <w:sz w:val="24"/>
                <w:szCs w:val="24"/>
                <w:bdr w:val="none" w:color="auto" w:sz="0" w:space="0"/>
              </w:rPr>
              <w:t>2、建议预约实地查看为宜。标的物以现场实际现状为准，买受人应至现场查勘实物，本标的数量、质量、价值等一切已知及未知的瑕疵产生的后果，均由买受人承担。</w:t>
            </w:r>
          </w:p>
        </w:tc>
      </w:tr>
      <w:tr w14:paraId="23C44EF6">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tblCellMar>
            <w:top w:w="15" w:type="dxa"/>
            <w:left w:w="15" w:type="dxa"/>
            <w:bottom w:w="15" w:type="dxa"/>
            <w:right w:w="15" w:type="dxa"/>
          </w:tblCellMar>
        </w:tblPrEx>
        <w:trPr>
          <w:trHeight w:val="1351" w:hRule="atLeast"/>
          <w:jc w:val="center"/>
        </w:trPr>
        <w:tc>
          <w:tcPr>
            <w:tcW w:w="284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AE1F7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jc w:val="center"/>
            </w:pPr>
            <w:r>
              <w:rPr>
                <w:sz w:val="24"/>
                <w:szCs w:val="24"/>
                <w:bdr w:val="none" w:color="auto" w:sz="0" w:space="0"/>
              </w:rPr>
              <w:t>税费说明</w:t>
            </w:r>
          </w:p>
        </w:tc>
        <w:tc>
          <w:tcPr>
            <w:tcW w:w="567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CAF48B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pPr>
            <w:r>
              <w:rPr>
                <w:sz w:val="24"/>
                <w:szCs w:val="24"/>
                <w:bdr w:val="none" w:color="auto" w:sz="0" w:space="0"/>
              </w:rPr>
              <w:t>办理过程中所涉及的一切税、费和所需补交的相关税、费均由买受人承担（包括但不限于应缴纳或补缴的增值税、附加税、水利建设基金、土地增值税、企业所得税、印花税、契税、供暖费、水电费等）。</w:t>
            </w:r>
          </w:p>
          <w:p w14:paraId="6EB55F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pPr>
            <w:r>
              <w:rPr>
                <w:sz w:val="24"/>
                <w:szCs w:val="24"/>
                <w:bdr w:val="none" w:color="auto" w:sz="0" w:space="0"/>
              </w:rPr>
              <w:t>买受人在竞买前可向所涉及税务部门确认成交后应缴的税费标准。</w:t>
            </w:r>
          </w:p>
        </w:tc>
      </w:tr>
      <w:tr w14:paraId="4590B909">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tblCellMar>
            <w:top w:w="15" w:type="dxa"/>
            <w:left w:w="15" w:type="dxa"/>
            <w:bottom w:w="15" w:type="dxa"/>
            <w:right w:w="15" w:type="dxa"/>
          </w:tblCellMar>
        </w:tblPrEx>
        <w:trPr>
          <w:trHeight w:val="697" w:hRule="atLeast"/>
          <w:jc w:val="center"/>
        </w:trPr>
        <w:tc>
          <w:tcPr>
            <w:tcW w:w="2844" w:type="dxa"/>
            <w:vMerge w:val="restart"/>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3778C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jc w:val="center"/>
            </w:pPr>
            <w:r>
              <w:rPr>
                <w:sz w:val="24"/>
                <w:szCs w:val="24"/>
                <w:bdr w:val="none" w:color="auto" w:sz="0" w:space="0"/>
              </w:rPr>
              <w:t>权利限制情况</w:t>
            </w:r>
          </w:p>
        </w:tc>
        <w:tc>
          <w:tcPr>
            <w:tcW w:w="567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C59F0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jc w:val="center"/>
            </w:pPr>
            <w:r>
              <w:rPr>
                <w:sz w:val="24"/>
                <w:szCs w:val="24"/>
                <w:bdr w:val="none" w:color="auto" w:sz="0" w:space="0"/>
              </w:rPr>
              <w:t>无查封</w:t>
            </w:r>
          </w:p>
        </w:tc>
      </w:tr>
      <w:tr w14:paraId="5F0FD20B">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tblCellMar>
            <w:top w:w="15" w:type="dxa"/>
            <w:left w:w="15" w:type="dxa"/>
            <w:bottom w:w="15" w:type="dxa"/>
            <w:right w:w="15" w:type="dxa"/>
          </w:tblCellMar>
        </w:tblPrEx>
        <w:trPr>
          <w:trHeight w:val="637" w:hRule="atLeast"/>
          <w:jc w:val="center"/>
        </w:trPr>
        <w:tc>
          <w:tcPr>
            <w:tcW w:w="2844" w:type="dxa"/>
            <w:vMerge w:val="continue"/>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A4C7EEB">
            <w:pPr>
              <w:rPr>
                <w:rFonts w:hint="eastAsia" w:ascii="宋体"/>
                <w:sz w:val="16"/>
                <w:szCs w:val="16"/>
              </w:rPr>
            </w:pPr>
          </w:p>
        </w:tc>
        <w:tc>
          <w:tcPr>
            <w:tcW w:w="567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278D1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jc w:val="center"/>
            </w:pPr>
            <w:r>
              <w:rPr>
                <w:sz w:val="24"/>
                <w:szCs w:val="24"/>
                <w:bdr w:val="none" w:color="auto" w:sz="0" w:space="0"/>
              </w:rPr>
              <w:t>有抵押</w:t>
            </w:r>
          </w:p>
        </w:tc>
      </w:tr>
      <w:tr w14:paraId="419B89AE">
        <w:tblPrEx>
          <w:tblBorders>
            <w:top w:val="single" w:color="E9E9E9" w:sz="4" w:space="0"/>
            <w:left w:val="single" w:color="E9E9E9" w:sz="4" w:space="0"/>
            <w:bottom w:val="single" w:color="E9E9E9" w:sz="4" w:space="0"/>
            <w:right w:val="single" w:color="E9E9E9" w:sz="4" w:space="0"/>
            <w:insideH w:val="outset" w:color="auto" w:sz="6" w:space="0"/>
            <w:insideV w:val="outset" w:color="auto" w:sz="6" w:space="0"/>
          </w:tblBorders>
          <w:shd w:val="clear"/>
          <w:tblCellMar>
            <w:top w:w="15" w:type="dxa"/>
            <w:left w:w="15" w:type="dxa"/>
            <w:bottom w:w="15" w:type="dxa"/>
            <w:right w:w="15" w:type="dxa"/>
          </w:tblCellMar>
        </w:tblPrEx>
        <w:trPr>
          <w:trHeight w:val="1947" w:hRule="atLeast"/>
          <w:jc w:val="center"/>
        </w:trPr>
        <w:tc>
          <w:tcPr>
            <w:tcW w:w="8522" w:type="dxa"/>
            <w:gridSpan w:val="2"/>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C239D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jc w:val="center"/>
            </w:pPr>
            <w:r>
              <w:rPr>
                <w:b/>
                <w:bCs/>
                <w:sz w:val="24"/>
                <w:szCs w:val="24"/>
                <w:bdr w:val="none" w:color="auto" w:sz="0" w:space="0"/>
              </w:rPr>
              <w:t>拍品介绍</w:t>
            </w:r>
          </w:p>
          <w:p w14:paraId="102239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312" w:lineRule="atLeast"/>
              <w:ind w:left="0" w:right="0"/>
            </w:pPr>
            <w:r>
              <w:rPr>
                <w:b/>
                <w:bCs/>
                <w:sz w:val="24"/>
                <w:szCs w:val="24"/>
                <w:bdr w:val="none" w:color="auto" w:sz="0" w:space="0"/>
              </w:rPr>
              <w:t>拍卖对象：</w:t>
            </w:r>
            <w:r>
              <w:rPr>
                <w:sz w:val="24"/>
                <w:szCs w:val="24"/>
                <w:bdr w:val="none" w:color="auto" w:sz="0" w:space="0"/>
              </w:rPr>
              <w:t>共计四大项，主要包括：地上房屋建筑物、机器设备、办公设备、土地使用权。</w:t>
            </w:r>
          </w:p>
          <w:p w14:paraId="7AF19A8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jc w:val="both"/>
            </w:pPr>
            <w:r>
              <w:rPr>
                <w:b/>
                <w:bCs/>
                <w:sz w:val="24"/>
                <w:szCs w:val="24"/>
                <w:bdr w:val="none" w:color="auto" w:sz="0" w:space="0"/>
              </w:rPr>
              <w:t>一、拍卖标的相关情况及重大说明：</w:t>
            </w:r>
          </w:p>
          <w:p w14:paraId="06EA46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jc w:val="both"/>
            </w:pPr>
            <w:r>
              <w:rPr>
                <w:sz w:val="24"/>
                <w:szCs w:val="24"/>
                <w:bdr w:val="none" w:color="auto" w:sz="0" w:space="0"/>
              </w:rPr>
              <w:t>1、本次拍卖标的中的实物资产，拍卖人对其质量、性能不作任何瑕疵担保。拍卖标的物以现场实际现状为准。拍卖人依标的物现场实际现状进行拍卖和交付。</w:t>
            </w:r>
          </w:p>
          <w:p w14:paraId="5F2778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jc w:val="both"/>
            </w:pPr>
            <w:r>
              <w:rPr>
                <w:sz w:val="24"/>
                <w:szCs w:val="24"/>
                <w:bdr w:val="none" w:color="auto" w:sz="0" w:space="0"/>
              </w:rPr>
              <w:t>2、税费负担情况：本次交易所涉及的一切税、费（包括但不限于应缴纳的企业所得税、增值税等税金，以及资产交易中规定缴纳的各项费用）按法律规定由买受人承担。</w:t>
            </w:r>
          </w:p>
          <w:p w14:paraId="3EE0FB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jc w:val="both"/>
            </w:pPr>
            <w:r>
              <w:rPr>
                <w:sz w:val="24"/>
                <w:szCs w:val="24"/>
                <w:bdr w:val="none" w:color="auto" w:sz="0" w:space="0"/>
              </w:rPr>
              <w:t>3、买受人在竞买前应对拍卖标的作详细了解，并充分估算拍卖所产生的各种费用。如果拍卖后发生非因管理人的原因不能办理过户转移手续的情况，管理人不承担责任。</w:t>
            </w:r>
          </w:p>
        </w:tc>
      </w:tr>
    </w:tbl>
    <w:p w14:paraId="4C0760B1">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NTE1NTQyM2EyYjFjYWExZTJlZGE3MjBiZGE0YmEifQ=="/>
  </w:docVars>
  <w:rsids>
    <w:rsidRoot w:val="00000000"/>
    <w:rsid w:val="776473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2024-09-09T03:12:24Z</dcterms:created>
  <dc:creator>Administrator</dc:creator>
  <cp:lastModifiedBy></cp:lastModifiedBy>
  <dcterms:modified xsi:type="dcterms:W3CDTF">2024-09-09T03:12:56Z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4D39790C2B6C4D5589A48C66B60C5540_12</vt:lpwstr>
  </property>
</Properties>
</file>