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284B32">
      <w:pPr>
        <w:widowControl/>
        <w:spacing w:line="460" w:lineRule="exact"/>
        <w:jc w:val="center"/>
        <w:rPr>
          <w:rFonts w:asci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福州康安怡健康服务有限公司</w:t>
      </w:r>
      <w:r>
        <w:rPr>
          <w:rFonts w:hint="eastAsia" w:ascii="宋体" w:hAnsi="宋体" w:eastAsia="宋体" w:cs="宋体"/>
          <w:b/>
          <w:kern w:val="0"/>
          <w:sz w:val="36"/>
          <w:szCs w:val="36"/>
        </w:rPr>
        <w:t>债权</w:t>
      </w:r>
      <w:r>
        <w:rPr>
          <w:rFonts w:hint="eastAsia" w:ascii="宋体" w:hAnsi="宋体" w:cs="宋体"/>
          <w:b/>
          <w:kern w:val="0"/>
          <w:sz w:val="36"/>
          <w:szCs w:val="36"/>
        </w:rPr>
        <w:t>申报须知</w:t>
      </w:r>
    </w:p>
    <w:p w14:paraId="1EA13986">
      <w:pPr>
        <w:spacing w:beforeLines="50" w:afterLines="50"/>
        <w:ind w:firstLine="480" w:firstLineChars="200"/>
        <w:jc w:val="left"/>
        <w:rPr>
          <w:sz w:val="24"/>
        </w:rPr>
      </w:pPr>
    </w:p>
    <w:p w14:paraId="499BE076">
      <w:pPr>
        <w:spacing w:beforeLines="50" w:afterLines="50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为确</w:t>
      </w:r>
      <w:r>
        <w:rPr>
          <w:rFonts w:hint="eastAsia" w:eastAsia="宋体"/>
          <w:sz w:val="24"/>
        </w:rPr>
        <w:t>保</w:t>
      </w:r>
      <w:r>
        <w:rPr>
          <w:rFonts w:hint="eastAsia"/>
          <w:sz w:val="24"/>
          <w:lang w:val="en-US" w:eastAsia="zh-CN"/>
        </w:rPr>
        <w:t>福州康安怡健康服务有限公司</w:t>
      </w:r>
      <w:r>
        <w:rPr>
          <w:rFonts w:hint="eastAsia" w:eastAsia="宋体"/>
          <w:sz w:val="24"/>
        </w:rPr>
        <w:t>债权</w:t>
      </w:r>
      <w:r>
        <w:rPr>
          <w:rFonts w:hint="eastAsia"/>
          <w:sz w:val="24"/>
        </w:rPr>
        <w:t>申报工作顺利进行，现就债权申报相关事宜告知如下</w:t>
      </w:r>
      <w:r>
        <w:rPr>
          <w:rFonts w:hint="eastAsia"/>
          <w:sz w:val="24"/>
          <w:lang w:eastAsia="zh-CN"/>
        </w:rPr>
        <w:t>：</w:t>
      </w:r>
    </w:p>
    <w:p w14:paraId="40FDB1E6">
      <w:pPr>
        <w:widowControl/>
        <w:spacing w:line="460" w:lineRule="exact"/>
        <w:ind w:firstLine="480" w:firstLineChars="200"/>
        <w:jc w:val="left"/>
        <w:rPr>
          <w:rFonts w:asci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一、申报债权应提供下列材料：</w:t>
      </w:r>
    </w:p>
    <w:p w14:paraId="235C1683">
      <w:pPr>
        <w:spacing w:line="460" w:lineRule="exact"/>
        <w:ind w:firstLine="480" w:firstLineChars="200"/>
        <w:rPr>
          <w:rFonts w:asci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（一）《债权申报表》、《</w:t>
      </w:r>
      <w:r>
        <w:rPr>
          <w:rFonts w:hint="eastAsia"/>
          <w:sz w:val="24"/>
        </w:rPr>
        <w:t>债权申报证据清单》</w:t>
      </w:r>
      <w:r>
        <w:rPr>
          <w:rFonts w:hint="eastAsia" w:ascii="宋体" w:hAnsi="宋体" w:cs="宋体"/>
          <w:kern w:val="0"/>
          <w:sz w:val="24"/>
        </w:rPr>
        <w:t>、《</w:t>
      </w:r>
      <w:r>
        <w:rPr>
          <w:rFonts w:hint="eastAsia"/>
          <w:sz w:val="24"/>
        </w:rPr>
        <w:t>债权人联系方式、送达地址及受偿账户确认书》</w:t>
      </w:r>
      <w:r>
        <w:rPr>
          <w:rFonts w:hint="default"/>
          <w:sz w:val="24"/>
          <w:u w:val="single"/>
        </w:rPr>
        <w:t>（</w:t>
      </w:r>
      <w:r>
        <w:rPr>
          <w:rFonts w:hint="eastAsia"/>
          <w:sz w:val="24"/>
          <w:u w:val="single"/>
          <w:lang w:val="en-US" w:eastAsia="zh-Hans"/>
        </w:rPr>
        <w:t>债权人应填写电子送达的邮箱、微信号</w:t>
      </w:r>
      <w:r>
        <w:rPr>
          <w:rFonts w:hint="default"/>
          <w:sz w:val="24"/>
          <w:u w:val="single"/>
        </w:rPr>
        <w:t>）</w:t>
      </w:r>
      <w:r>
        <w:rPr>
          <w:rFonts w:hint="eastAsia" w:ascii="宋体" w:hAnsi="宋体" w:cs="宋体"/>
          <w:kern w:val="0"/>
          <w:sz w:val="24"/>
        </w:rPr>
        <w:t>一式两份。</w:t>
      </w:r>
    </w:p>
    <w:p w14:paraId="2C9142D4">
      <w:pPr>
        <w:spacing w:line="460" w:lineRule="exact"/>
        <w:ind w:firstLine="480" w:firstLineChars="200"/>
        <w:rPr>
          <w:rFonts w:asci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（二）提供证明债权存在事实的相关证据材料。</w:t>
      </w:r>
    </w:p>
    <w:p w14:paraId="06D33459">
      <w:pPr>
        <w:widowControl/>
        <w:spacing w:line="460" w:lineRule="exact"/>
        <w:ind w:firstLine="480" w:firstLineChars="200"/>
        <w:jc w:val="left"/>
        <w:rPr>
          <w:rFonts w:asci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（三）申报人为单位的，提供申报人已年检的营业执照复印件、组织机构代码证复印件、</w:t>
      </w:r>
      <w:r>
        <w:rPr>
          <w:rFonts w:hint="eastAsia" w:ascii="宋体" w:hAnsi="宋体" w:cs="宋体"/>
          <w:kern w:val="0"/>
          <w:sz w:val="24"/>
          <w:lang w:eastAsia="zh-CN"/>
        </w:rPr>
        <w:t>（如已办理“三证合一”的请提供营业执照复印件）、</w:t>
      </w:r>
      <w:r>
        <w:rPr>
          <w:rFonts w:hint="eastAsia" w:ascii="宋体" w:hAnsi="宋体" w:cs="宋体"/>
          <w:kern w:val="0"/>
          <w:sz w:val="24"/>
        </w:rPr>
        <w:t>法定代表人身份证明书</w:t>
      </w:r>
      <w:r>
        <w:rPr>
          <w:rFonts w:hint="eastAsia" w:ascii="宋体" w:hAnsi="宋体" w:cs="宋体"/>
          <w:kern w:val="0"/>
          <w:sz w:val="24"/>
          <w:lang w:eastAsia="zh-CN"/>
        </w:rPr>
        <w:t>、法定代表人身份证复印件</w:t>
      </w:r>
      <w:r>
        <w:rPr>
          <w:rFonts w:ascii="宋体" w:hAnsi="宋体" w:cs="宋体"/>
          <w:kern w:val="0"/>
          <w:sz w:val="24"/>
        </w:rPr>
        <w:t>(</w:t>
      </w:r>
      <w:r>
        <w:rPr>
          <w:rFonts w:hint="eastAsia" w:ascii="宋体" w:hAnsi="宋体" w:cs="宋体"/>
          <w:kern w:val="0"/>
          <w:sz w:val="24"/>
        </w:rPr>
        <w:t>上述文件</w:t>
      </w:r>
      <w:r>
        <w:rPr>
          <w:rFonts w:hint="eastAsia" w:ascii="宋体" w:hAnsi="宋体" w:cs="宋体"/>
          <w:kern w:val="0"/>
          <w:sz w:val="24"/>
          <w:lang w:eastAsia="zh-CN"/>
        </w:rPr>
        <w:t>均</w:t>
      </w:r>
      <w:r>
        <w:rPr>
          <w:rFonts w:hint="eastAsia" w:ascii="宋体" w:hAnsi="宋体" w:cs="宋体"/>
          <w:kern w:val="0"/>
          <w:sz w:val="24"/>
        </w:rPr>
        <w:t>需加盖单位公章</w:t>
      </w:r>
      <w:r>
        <w:rPr>
          <w:rFonts w:ascii="宋体" w:hAnsi="宋体" w:cs="宋体"/>
          <w:kern w:val="0"/>
          <w:sz w:val="24"/>
        </w:rPr>
        <w:t>)</w:t>
      </w:r>
      <w:r>
        <w:rPr>
          <w:rFonts w:hint="eastAsia" w:ascii="宋体" w:hAnsi="宋体" w:cs="宋体"/>
          <w:kern w:val="0"/>
          <w:sz w:val="24"/>
        </w:rPr>
        <w:t>；申报人为自然人的，提供申报人个人身份证复印件（签字并捺印）。</w:t>
      </w:r>
    </w:p>
    <w:p w14:paraId="565CDE24">
      <w:pPr>
        <w:widowControl/>
        <w:spacing w:line="460" w:lineRule="exact"/>
        <w:ind w:firstLine="480" w:firstLineChars="200"/>
        <w:jc w:val="left"/>
        <w:rPr>
          <w:rFonts w:hint="eastAsia" w:ascii="宋体" w:eastAsia="宋体" w:cs="宋体"/>
          <w:kern w:val="0"/>
          <w:sz w:val="24"/>
          <w:lang w:eastAsia="zh-CN"/>
        </w:rPr>
      </w:pPr>
      <w:r>
        <w:rPr>
          <w:rFonts w:hint="eastAsia" w:ascii="宋体" w:hAnsi="宋体" w:cs="宋体"/>
          <w:kern w:val="0"/>
          <w:sz w:val="24"/>
        </w:rPr>
        <w:t>（四）申报人委托代理人申报债权，除根据第（三）项提供所需材料外，还需提供《授权委托书》及代理人身份证明</w:t>
      </w:r>
      <w:r>
        <w:rPr>
          <w:rFonts w:ascii="宋体" w:hAnsi="宋体" w:cs="宋体"/>
          <w:kern w:val="0"/>
          <w:sz w:val="24"/>
        </w:rPr>
        <w:t>(</w:t>
      </w:r>
      <w:r>
        <w:rPr>
          <w:rFonts w:hint="eastAsia" w:ascii="宋体" w:hAnsi="宋体" w:cs="宋体"/>
          <w:kern w:val="0"/>
          <w:sz w:val="24"/>
        </w:rPr>
        <w:t>代理人为</w:t>
      </w:r>
      <w:r>
        <w:rPr>
          <w:rFonts w:hint="eastAsia" w:hAnsi="宋体"/>
          <w:sz w:val="24"/>
        </w:rPr>
        <w:t>自然人提供身份证复印件，</w:t>
      </w:r>
      <w:r>
        <w:rPr>
          <w:rFonts w:hint="eastAsia" w:hAnsi="宋体"/>
          <w:sz w:val="24"/>
          <w:lang w:eastAsia="zh-CN"/>
        </w:rPr>
        <w:t>代理人为</w:t>
      </w:r>
      <w:r>
        <w:rPr>
          <w:rFonts w:hint="eastAsia" w:hAnsi="宋体"/>
          <w:sz w:val="24"/>
        </w:rPr>
        <w:t>律师</w:t>
      </w:r>
      <w:r>
        <w:rPr>
          <w:rFonts w:hint="eastAsia" w:hAnsi="宋体"/>
          <w:sz w:val="24"/>
          <w:lang w:eastAsia="zh-CN"/>
        </w:rPr>
        <w:t>的</w:t>
      </w:r>
      <w:r>
        <w:rPr>
          <w:rFonts w:hint="eastAsia" w:hAnsi="宋体"/>
          <w:sz w:val="24"/>
        </w:rPr>
        <w:t>提供律师事务所函及律师执业证复印件</w:t>
      </w:r>
      <w:r>
        <w:rPr>
          <w:rFonts w:hint="eastAsia" w:hAnsi="宋体"/>
          <w:sz w:val="24"/>
          <w:lang w:eastAsia="zh-CN"/>
        </w:rPr>
        <w:t>）。</w:t>
      </w:r>
    </w:p>
    <w:p w14:paraId="0F8BE213">
      <w:pPr>
        <w:widowControl/>
        <w:spacing w:line="460" w:lineRule="exact"/>
        <w:ind w:firstLine="480" w:firstLineChars="200"/>
        <w:jc w:val="left"/>
        <w:rPr>
          <w:rFonts w:asci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二、申报人应当如实、详细填写债权申报表以及提供完整、真实有效的申报材料和确认文书。</w:t>
      </w:r>
      <w:r>
        <w:rPr>
          <w:rFonts w:hint="eastAsia" w:ascii="宋体" w:hAnsi="宋体" w:cs="宋体"/>
          <w:b/>
          <w:kern w:val="0"/>
          <w:sz w:val="24"/>
        </w:rPr>
        <w:t>申报人不得编造虚假债权，否则，将承担相应的法律责任。</w:t>
      </w:r>
    </w:p>
    <w:p w14:paraId="1B72BC0D">
      <w:pPr>
        <w:widowControl/>
        <w:spacing w:line="460" w:lineRule="exact"/>
        <w:ind w:firstLine="480" w:firstLineChars="200"/>
        <w:jc w:val="left"/>
        <w:rPr>
          <w:sz w:val="24"/>
        </w:rPr>
      </w:pPr>
      <w:r>
        <w:rPr>
          <w:rFonts w:hint="eastAsia" w:ascii="宋体" w:hAnsi="宋体" w:cs="宋体"/>
          <w:kern w:val="0"/>
          <w:sz w:val="24"/>
        </w:rPr>
        <w:t>三、申报人应当严格遵守申报现场秩序，服从</w:t>
      </w:r>
      <w:r>
        <w:rPr>
          <w:rFonts w:hint="eastAsia" w:ascii="宋体" w:hAnsi="宋体" w:cs="宋体"/>
          <w:kern w:val="0"/>
          <w:sz w:val="24"/>
          <w:lang w:eastAsia="zh-CN"/>
        </w:rPr>
        <w:t>管理人</w:t>
      </w:r>
      <w:r>
        <w:rPr>
          <w:rFonts w:hint="eastAsia" w:ascii="宋体" w:hAnsi="宋体" w:cs="宋体"/>
          <w:kern w:val="0"/>
          <w:sz w:val="24"/>
        </w:rPr>
        <w:t>的安排，有序申报及接受解答。</w:t>
      </w:r>
    </w:p>
    <w:p w14:paraId="425EFCAF">
      <w:pPr>
        <w:widowControl/>
        <w:spacing w:line="460" w:lineRule="exact"/>
        <w:ind w:firstLine="480" w:firstLineChars="200"/>
        <w:jc w:val="left"/>
        <w:rPr>
          <w:rFonts w:asci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四、申报材料将由</w:t>
      </w:r>
      <w:r>
        <w:rPr>
          <w:rFonts w:hint="eastAsia" w:ascii="宋体" w:hAnsi="宋体" w:cs="宋体"/>
          <w:kern w:val="0"/>
          <w:sz w:val="24"/>
          <w:lang w:eastAsia="zh-CN"/>
        </w:rPr>
        <w:t>管理人</w:t>
      </w:r>
      <w:r>
        <w:rPr>
          <w:rFonts w:hint="eastAsia" w:ascii="宋体" w:hAnsi="宋体" w:cs="宋体"/>
          <w:kern w:val="0"/>
          <w:sz w:val="24"/>
        </w:rPr>
        <w:t>进行登记造册，严格审查，并编制债权表。申报人应当积极配合</w:t>
      </w:r>
      <w:r>
        <w:rPr>
          <w:rFonts w:hint="eastAsia" w:ascii="宋体" w:hAnsi="宋体" w:cs="宋体"/>
          <w:kern w:val="0"/>
          <w:sz w:val="24"/>
          <w:lang w:eastAsia="zh-CN"/>
        </w:rPr>
        <w:t>管理人</w:t>
      </w:r>
      <w:r>
        <w:rPr>
          <w:rFonts w:hint="eastAsia" w:ascii="宋体" w:hAnsi="宋体" w:cs="宋体"/>
          <w:kern w:val="0"/>
          <w:sz w:val="24"/>
        </w:rPr>
        <w:t>的审查，如实回答</w:t>
      </w:r>
      <w:r>
        <w:rPr>
          <w:rFonts w:hint="eastAsia" w:ascii="宋体" w:hAnsi="宋体" w:cs="宋体"/>
          <w:kern w:val="0"/>
          <w:sz w:val="24"/>
          <w:lang w:eastAsia="zh-CN"/>
        </w:rPr>
        <w:t>管理人</w:t>
      </w:r>
      <w:r>
        <w:rPr>
          <w:rFonts w:hint="eastAsia" w:ascii="宋体" w:hAnsi="宋体" w:cs="宋体"/>
          <w:kern w:val="0"/>
          <w:sz w:val="24"/>
        </w:rPr>
        <w:t>的询问。</w:t>
      </w:r>
    </w:p>
    <w:p w14:paraId="29114A71">
      <w:pPr>
        <w:widowControl/>
        <w:spacing w:line="460" w:lineRule="exact"/>
        <w:ind w:firstLine="480" w:firstLineChars="200"/>
        <w:jc w:val="left"/>
        <w:rPr>
          <w:rFonts w:ascii="宋体" w:cs="宋体"/>
          <w:b/>
          <w:kern w:val="0"/>
          <w:sz w:val="24"/>
        </w:rPr>
      </w:pPr>
      <w:r>
        <w:rPr>
          <w:rFonts w:hint="eastAsia" w:ascii="宋体" w:hAnsi="宋体" w:cs="宋体"/>
          <w:kern w:val="0"/>
          <w:sz w:val="24"/>
          <w:highlight w:val="none"/>
        </w:rPr>
        <w:t>五、</w:t>
      </w:r>
      <w:r>
        <w:rPr>
          <w:rFonts w:hint="eastAsia" w:ascii="宋体" w:hAnsi="宋体" w:cs="宋体"/>
          <w:kern w:val="0"/>
          <w:sz w:val="24"/>
          <w:highlight w:val="none"/>
          <w:lang w:eastAsia="zh-CN"/>
        </w:rPr>
        <w:t>管理人</w:t>
      </w:r>
      <w:r>
        <w:rPr>
          <w:rFonts w:hint="eastAsia" w:ascii="宋体" w:hAnsi="宋体" w:cs="宋体"/>
          <w:kern w:val="0"/>
          <w:sz w:val="24"/>
          <w:highlight w:val="none"/>
        </w:rPr>
        <w:t>编制的债权表，将提交</w:t>
      </w:r>
      <w:bookmarkStart w:id="0" w:name="_GoBack"/>
      <w:bookmarkEnd w:id="0"/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福州市台江区人民法院</w:t>
      </w:r>
      <w:r>
        <w:rPr>
          <w:rFonts w:hint="eastAsia" w:ascii="宋体" w:hAnsi="宋体" w:cs="宋体"/>
          <w:kern w:val="0"/>
          <w:sz w:val="24"/>
          <w:highlight w:val="none"/>
          <w:lang w:eastAsia="zh-CN"/>
        </w:rPr>
        <w:t>审查</w:t>
      </w:r>
      <w:r>
        <w:rPr>
          <w:rFonts w:hint="eastAsia" w:ascii="宋体" w:hAnsi="宋体" w:cs="宋体"/>
          <w:kern w:val="0"/>
          <w:sz w:val="24"/>
          <w:highlight w:val="none"/>
        </w:rPr>
        <w:t>。如债权人对债权表记载的债权无异议的由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福州市台江区人民法院</w:t>
      </w:r>
      <w:r>
        <w:rPr>
          <w:rFonts w:hint="eastAsia" w:ascii="宋体" w:hAnsi="宋体" w:cs="宋体"/>
          <w:kern w:val="0"/>
          <w:sz w:val="24"/>
          <w:highlight w:val="none"/>
        </w:rPr>
        <w:t>确认；如债权人对债权表记载的债权有异议的，</w:t>
      </w:r>
      <w:r>
        <w:rPr>
          <w:rFonts w:hint="eastAsia" w:ascii="宋体" w:hAnsi="宋体" w:cs="宋体"/>
          <w:kern w:val="0"/>
          <w:sz w:val="24"/>
          <w:highlight w:val="none"/>
          <w:lang w:eastAsia="zh-CN"/>
        </w:rPr>
        <w:t>可向管理人申请重新核定。如债权人对管理人重新核定的债权仍有异议的，</w:t>
      </w:r>
      <w:r>
        <w:rPr>
          <w:rFonts w:hint="eastAsia" w:ascii="宋体" w:hAnsi="宋体" w:cs="宋体"/>
          <w:kern w:val="0"/>
          <w:sz w:val="24"/>
          <w:highlight w:val="none"/>
        </w:rPr>
        <w:t>可在</w:t>
      </w:r>
      <w:r>
        <w:rPr>
          <w:rFonts w:hint="eastAsia" w:ascii="宋体" w:hAnsi="宋体" w:cs="宋体"/>
          <w:kern w:val="0"/>
          <w:sz w:val="24"/>
          <w:highlight w:val="none"/>
          <w:lang w:eastAsia="zh-CN"/>
        </w:rPr>
        <w:t>管理人重新核定后</w:t>
      </w:r>
      <w:r>
        <w:rPr>
          <w:rFonts w:ascii="宋体" w:hAnsi="宋体" w:cs="宋体"/>
          <w:kern w:val="0"/>
          <w:sz w:val="24"/>
          <w:highlight w:val="none"/>
        </w:rPr>
        <w:t>15</w:t>
      </w:r>
      <w:r>
        <w:rPr>
          <w:rFonts w:hint="eastAsia" w:ascii="宋体" w:hAnsi="宋体" w:cs="宋体"/>
          <w:kern w:val="0"/>
          <w:sz w:val="24"/>
          <w:highlight w:val="none"/>
        </w:rPr>
        <w:t>日内向受理法院提起诉讼，否则视为无异议。</w:t>
      </w:r>
    </w:p>
    <w:p w14:paraId="055555EB">
      <w:pPr>
        <w:widowControl/>
        <w:spacing w:line="460" w:lineRule="exact"/>
        <w:ind w:firstLine="480" w:firstLineChars="200"/>
        <w:jc w:val="left"/>
        <w:rPr>
          <w:rFonts w:ascii="宋体" w:cs="宋体"/>
          <w:b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六、申报人可将《债权申报表》、《</w:t>
      </w:r>
      <w:r>
        <w:rPr>
          <w:rFonts w:hint="eastAsia"/>
          <w:sz w:val="24"/>
        </w:rPr>
        <w:t>债权申报证据清单》</w:t>
      </w:r>
      <w:r>
        <w:rPr>
          <w:rFonts w:hint="eastAsia" w:ascii="宋体" w:hAnsi="宋体" w:cs="宋体"/>
          <w:kern w:val="0"/>
          <w:sz w:val="24"/>
        </w:rPr>
        <w:t>、《</w:t>
      </w:r>
      <w:r>
        <w:rPr>
          <w:rFonts w:hint="eastAsia"/>
          <w:sz w:val="24"/>
        </w:rPr>
        <w:t>债权人联系方式、送达地址及受偿账户确认书》电子档预发至</w:t>
      </w:r>
      <w:r>
        <w:rPr>
          <w:rFonts w:hint="eastAsia"/>
          <w:sz w:val="24"/>
          <w:highlight w:val="none"/>
          <w:lang w:val="en-US" w:eastAsia="zh-CN"/>
        </w:rPr>
        <w:t>takelaw_</w:t>
      </w:r>
      <w:r>
        <w:rPr>
          <w:rFonts w:hint="eastAsia"/>
          <w:sz w:val="24"/>
          <w:highlight w:val="none"/>
          <w:lang w:val="en-US" w:eastAsia="zh-Hans"/>
        </w:rPr>
        <w:t>zhh</w:t>
      </w:r>
      <w:r>
        <w:rPr>
          <w:rFonts w:hint="eastAsia"/>
          <w:sz w:val="24"/>
          <w:highlight w:val="none"/>
          <w:lang w:val="en-US" w:eastAsia="zh-CN"/>
        </w:rPr>
        <w:t>@126.com</w:t>
      </w:r>
      <w:r>
        <w:rPr>
          <w:rFonts w:hint="eastAsia"/>
          <w:sz w:val="24"/>
          <w:highlight w:val="none"/>
          <w:lang w:val="en-US" w:eastAsia="zh-Hans"/>
        </w:rPr>
        <w:t>邮箱</w:t>
      </w:r>
      <w:r>
        <w:rPr>
          <w:rFonts w:hint="eastAsia"/>
          <w:sz w:val="24"/>
        </w:rPr>
        <w:t>。申报人以递交书面申报文件为正式申报。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3C0530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DF4C17"/>
    <w:rsid w:val="000004B8"/>
    <w:rsid w:val="000065A7"/>
    <w:rsid w:val="0002175D"/>
    <w:rsid w:val="00052DF9"/>
    <w:rsid w:val="00080470"/>
    <w:rsid w:val="000B632D"/>
    <w:rsid w:val="000C5D52"/>
    <w:rsid w:val="000D54C7"/>
    <w:rsid w:val="000E2BE6"/>
    <w:rsid w:val="000E4ABC"/>
    <w:rsid w:val="00122AD9"/>
    <w:rsid w:val="00126714"/>
    <w:rsid w:val="00163AE8"/>
    <w:rsid w:val="00173FFC"/>
    <w:rsid w:val="001C5C6B"/>
    <w:rsid w:val="002024E7"/>
    <w:rsid w:val="00207D95"/>
    <w:rsid w:val="0024397F"/>
    <w:rsid w:val="002C370D"/>
    <w:rsid w:val="002D21B8"/>
    <w:rsid w:val="00313C8B"/>
    <w:rsid w:val="003260DF"/>
    <w:rsid w:val="003B3372"/>
    <w:rsid w:val="003D102C"/>
    <w:rsid w:val="003D3BFB"/>
    <w:rsid w:val="00422520"/>
    <w:rsid w:val="00446FD0"/>
    <w:rsid w:val="00457113"/>
    <w:rsid w:val="00473505"/>
    <w:rsid w:val="004B061F"/>
    <w:rsid w:val="004B2BA0"/>
    <w:rsid w:val="004B5592"/>
    <w:rsid w:val="004E59ED"/>
    <w:rsid w:val="004E62D4"/>
    <w:rsid w:val="0050441B"/>
    <w:rsid w:val="00526F71"/>
    <w:rsid w:val="00544166"/>
    <w:rsid w:val="00547B99"/>
    <w:rsid w:val="005522AA"/>
    <w:rsid w:val="0055643D"/>
    <w:rsid w:val="005C309C"/>
    <w:rsid w:val="005F2943"/>
    <w:rsid w:val="00625743"/>
    <w:rsid w:val="006534F2"/>
    <w:rsid w:val="00664EC2"/>
    <w:rsid w:val="00671A43"/>
    <w:rsid w:val="006A32D2"/>
    <w:rsid w:val="006B333C"/>
    <w:rsid w:val="006B4F09"/>
    <w:rsid w:val="00712ECB"/>
    <w:rsid w:val="00721E01"/>
    <w:rsid w:val="007311A9"/>
    <w:rsid w:val="00790C6D"/>
    <w:rsid w:val="007B7427"/>
    <w:rsid w:val="007E6277"/>
    <w:rsid w:val="008056EE"/>
    <w:rsid w:val="00840BD1"/>
    <w:rsid w:val="00840DFE"/>
    <w:rsid w:val="00863335"/>
    <w:rsid w:val="008964C8"/>
    <w:rsid w:val="008D6840"/>
    <w:rsid w:val="008E4413"/>
    <w:rsid w:val="00933BD7"/>
    <w:rsid w:val="009813EB"/>
    <w:rsid w:val="009B199C"/>
    <w:rsid w:val="009C170E"/>
    <w:rsid w:val="009D4750"/>
    <w:rsid w:val="009E2C09"/>
    <w:rsid w:val="009F22CF"/>
    <w:rsid w:val="009F7F94"/>
    <w:rsid w:val="00A036B5"/>
    <w:rsid w:val="00A10554"/>
    <w:rsid w:val="00A14EB7"/>
    <w:rsid w:val="00A64532"/>
    <w:rsid w:val="00A977F5"/>
    <w:rsid w:val="00AB1F77"/>
    <w:rsid w:val="00AB6A5D"/>
    <w:rsid w:val="00AF27BF"/>
    <w:rsid w:val="00B25839"/>
    <w:rsid w:val="00BF18A5"/>
    <w:rsid w:val="00BF664D"/>
    <w:rsid w:val="00C15963"/>
    <w:rsid w:val="00C55030"/>
    <w:rsid w:val="00C71E42"/>
    <w:rsid w:val="00C808C6"/>
    <w:rsid w:val="00CA0F06"/>
    <w:rsid w:val="00D45CCC"/>
    <w:rsid w:val="00D55AB6"/>
    <w:rsid w:val="00D56DF5"/>
    <w:rsid w:val="00D8520C"/>
    <w:rsid w:val="00D9799C"/>
    <w:rsid w:val="00DC1456"/>
    <w:rsid w:val="00DC55EB"/>
    <w:rsid w:val="00DD1D1E"/>
    <w:rsid w:val="00DF4C17"/>
    <w:rsid w:val="00E3714F"/>
    <w:rsid w:val="00E47EAA"/>
    <w:rsid w:val="00E53CE9"/>
    <w:rsid w:val="00E63281"/>
    <w:rsid w:val="00E75C04"/>
    <w:rsid w:val="00E77492"/>
    <w:rsid w:val="00EA1437"/>
    <w:rsid w:val="00EE2870"/>
    <w:rsid w:val="00F30D63"/>
    <w:rsid w:val="00F46CC8"/>
    <w:rsid w:val="00F57953"/>
    <w:rsid w:val="00F71908"/>
    <w:rsid w:val="00F80EEE"/>
    <w:rsid w:val="00FB1BA2"/>
    <w:rsid w:val="00FB5463"/>
    <w:rsid w:val="00FC3010"/>
    <w:rsid w:val="00FD4F3C"/>
    <w:rsid w:val="00FF12B6"/>
    <w:rsid w:val="04E25BB8"/>
    <w:rsid w:val="08323907"/>
    <w:rsid w:val="13A3666C"/>
    <w:rsid w:val="18B647B1"/>
    <w:rsid w:val="2A876165"/>
    <w:rsid w:val="33B85B46"/>
    <w:rsid w:val="35C9683A"/>
    <w:rsid w:val="37C4410B"/>
    <w:rsid w:val="38F86663"/>
    <w:rsid w:val="3DDB059D"/>
    <w:rsid w:val="3FEF25D5"/>
    <w:rsid w:val="41084B38"/>
    <w:rsid w:val="492306A1"/>
    <w:rsid w:val="5A0F42BC"/>
    <w:rsid w:val="5F7FF9BD"/>
    <w:rsid w:val="6C9E6BB8"/>
    <w:rsid w:val="7BDE0817"/>
    <w:rsid w:val="7EB0852D"/>
    <w:rsid w:val="7FF3400E"/>
    <w:rsid w:val="ACFFA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qFormat/>
    <w:uiPriority w:val="99"/>
    <w:rPr>
      <w:b/>
      <w:bCs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styleId="10">
    <w:name w:val="annotation reference"/>
    <w:basedOn w:val="8"/>
    <w:semiHidden/>
    <w:qFormat/>
    <w:uiPriority w:val="99"/>
    <w:rPr>
      <w:rFonts w:cs="Times New Roman"/>
      <w:sz w:val="21"/>
      <w:szCs w:val="21"/>
    </w:rPr>
  </w:style>
  <w:style w:type="character" w:customStyle="1" w:styleId="11">
    <w:name w:val="Header Char"/>
    <w:basedOn w:val="8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Balloon Text Char"/>
    <w:basedOn w:val="8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Comment Text Char"/>
    <w:basedOn w:val="8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15">
    <w:name w:val="Comment Subject Char"/>
    <w:basedOn w:val="14"/>
    <w:link w:val="6"/>
    <w:semiHidden/>
    <w:qFormat/>
    <w:locked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</Pages>
  <Words>124</Words>
  <Characters>711</Characters>
  <Lines>0</Lines>
  <Paragraphs>0</Paragraphs>
  <TotalTime>1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2015-05-29T21:23:00Z</dcterms:created>
  <dc:creator>Thinkpad</dc:creator>
  <cp:lastModifiedBy>小公羽-</cp:lastModifiedBy>
  <cp:lastPrinted>2021-08-13T19:04:00Z</cp:lastPrinted>
  <dcterms:modified xsi:type="dcterms:W3CDTF">2024-09-26T10:48:15Z</dcterms:modified>
  <dc:title>福建四海建设有限公司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28C71FDDF6476A4F42396364C1D7548C_43</vt:lpwstr>
  </property>
</Properties>
</file>