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CE9A4">
      <w:pPr>
        <w:spacing w:line="360" w:lineRule="auto"/>
        <w:jc w:val="center"/>
        <w:rPr>
          <w:rFonts w:ascii="仿宋" w:hAnsi="仿宋" w:eastAsia="仿宋" w:cs="仿宋"/>
          <w:b/>
          <w:bCs/>
          <w:color w:val="000000" w:themeColor="text1"/>
          <w:sz w:val="30"/>
          <w:szCs w:val="30"/>
          <w14:textFill>
            <w14:solidFill>
              <w14:schemeClr w14:val="tx1"/>
            </w14:solidFill>
          </w14:textFill>
        </w:rPr>
      </w:pPr>
      <w:bookmarkStart w:id="0" w:name="_GoBack"/>
      <w:r>
        <w:rPr>
          <w:rFonts w:hint="eastAsia" w:ascii="仿宋" w:hAnsi="仿宋" w:eastAsia="仿宋" w:cs="仿宋"/>
          <w:b/>
          <w:bCs/>
          <w:color w:val="000000" w:themeColor="text1"/>
          <w:sz w:val="30"/>
          <w:szCs w:val="30"/>
          <w14:textFill>
            <w14:solidFill>
              <w14:schemeClr w14:val="tx1"/>
            </w14:solidFill>
          </w14:textFill>
        </w:rPr>
        <w:t>竞买须知</w:t>
      </w:r>
    </w:p>
    <w:p w14:paraId="4BE9507B">
      <w:pPr>
        <w:spacing w:line="360" w:lineRule="auto"/>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w:t>
      </w:r>
    </w:p>
    <w:p w14:paraId="2DD5CA57">
      <w:pPr>
        <w:spacing w:line="360" w:lineRule="auto"/>
        <w:ind w:firstLine="560" w:firstLineChars="200"/>
        <w:jc w:val="lef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江西远东机械科技有限公司</w:t>
      </w:r>
      <w:r>
        <w:rPr>
          <w:rFonts w:hint="eastAsia" w:ascii="仿宋" w:hAnsi="仿宋" w:eastAsia="仿宋" w:cs="仿宋"/>
          <w:color w:val="000000" w:themeColor="text1"/>
          <w:sz w:val="28"/>
          <w:szCs w:val="28"/>
          <w14:textFill>
            <w14:solidFill>
              <w14:schemeClr w14:val="tx1"/>
            </w14:solidFill>
          </w14:textFill>
        </w:rPr>
        <w:t>管理人</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江西远东新能源有限公司管理人</w:t>
      </w:r>
      <w:r>
        <w:rPr>
          <w:rFonts w:hint="eastAsia" w:ascii="仿宋" w:hAnsi="仿宋" w:eastAsia="仿宋" w:cs="仿宋"/>
          <w:color w:val="000000" w:themeColor="text1"/>
          <w:sz w:val="28"/>
          <w:szCs w:val="28"/>
          <w14:textFill>
            <w14:solidFill>
              <w14:schemeClr w14:val="tx1"/>
            </w14:solidFill>
          </w14:textFill>
        </w:rPr>
        <w:t>将于</w:t>
      </w:r>
      <w:r>
        <w:rPr>
          <w:rFonts w:hint="eastAsia" w:ascii="仿宋" w:hAnsi="仿宋" w:eastAsia="仿宋" w:cs="仿宋"/>
          <w:b/>
          <w:bCs/>
          <w:color w:val="000000" w:themeColor="text1"/>
          <w:sz w:val="28"/>
          <w:szCs w:val="28"/>
          <w:u w:val="single"/>
          <w14:textFill>
            <w14:solidFill>
              <w14:schemeClr w14:val="tx1"/>
            </w14:solidFill>
          </w14:textFill>
        </w:rPr>
        <w:t>202</w:t>
      </w:r>
      <w:r>
        <w:rPr>
          <w:rFonts w:hint="eastAsia" w:ascii="仿宋" w:hAnsi="仿宋" w:eastAsia="仿宋" w:cs="仿宋"/>
          <w:b/>
          <w:bCs/>
          <w:color w:val="000000" w:themeColor="text1"/>
          <w:sz w:val="28"/>
          <w:szCs w:val="28"/>
          <w:u w:val="single"/>
          <w:lang w:val="en-US" w:eastAsia="zh-CN"/>
          <w14:textFill>
            <w14:solidFill>
              <w14:schemeClr w14:val="tx1"/>
            </w14:solidFill>
          </w14:textFill>
        </w:rPr>
        <w:t>4</w:t>
      </w:r>
      <w:r>
        <w:rPr>
          <w:rFonts w:hint="eastAsia" w:ascii="仿宋" w:hAnsi="仿宋" w:eastAsia="仿宋" w:cs="仿宋"/>
          <w:b/>
          <w:bCs/>
          <w:color w:val="000000" w:themeColor="text1"/>
          <w:sz w:val="28"/>
          <w:szCs w:val="28"/>
          <w:u w:val="single"/>
          <w14:textFill>
            <w14:solidFill>
              <w14:schemeClr w14:val="tx1"/>
            </w14:solidFill>
          </w14:textFill>
        </w:rPr>
        <w:t>年</w:t>
      </w:r>
      <w:r>
        <w:rPr>
          <w:rFonts w:hint="eastAsia" w:ascii="仿宋" w:hAnsi="仿宋" w:eastAsia="仿宋" w:cs="仿宋"/>
          <w:b/>
          <w:bCs/>
          <w:color w:val="000000" w:themeColor="text1"/>
          <w:sz w:val="28"/>
          <w:szCs w:val="28"/>
          <w:u w:val="single"/>
          <w:lang w:val="en-US" w:eastAsia="zh-CN"/>
          <w14:textFill>
            <w14:solidFill>
              <w14:schemeClr w14:val="tx1"/>
            </w14:solidFill>
          </w14:textFill>
        </w:rPr>
        <w:t>9</w:t>
      </w:r>
      <w:r>
        <w:rPr>
          <w:rFonts w:hint="eastAsia" w:ascii="仿宋" w:hAnsi="仿宋" w:eastAsia="仿宋" w:cs="仿宋"/>
          <w:b/>
          <w:bCs/>
          <w:color w:val="000000" w:themeColor="text1"/>
          <w:sz w:val="28"/>
          <w:szCs w:val="28"/>
          <w:u w:val="single"/>
          <w14:textFill>
            <w14:solidFill>
              <w14:schemeClr w14:val="tx1"/>
            </w14:solidFill>
          </w14:textFill>
        </w:rPr>
        <w:t>月</w:t>
      </w:r>
      <w:r>
        <w:rPr>
          <w:rFonts w:hint="eastAsia" w:ascii="仿宋" w:hAnsi="仿宋" w:eastAsia="仿宋" w:cs="仿宋"/>
          <w:b/>
          <w:bCs/>
          <w:color w:val="000000" w:themeColor="text1"/>
          <w:sz w:val="28"/>
          <w:szCs w:val="28"/>
          <w:u w:val="single"/>
          <w:lang w:val="en-US" w:eastAsia="zh-CN"/>
          <w14:textFill>
            <w14:solidFill>
              <w14:schemeClr w14:val="tx1"/>
            </w14:solidFill>
          </w14:textFill>
        </w:rPr>
        <w:t>25</w:t>
      </w:r>
      <w:r>
        <w:rPr>
          <w:rFonts w:hint="eastAsia" w:ascii="仿宋" w:hAnsi="仿宋" w:eastAsia="仿宋" w:cs="仿宋"/>
          <w:b/>
          <w:bCs/>
          <w:color w:val="000000" w:themeColor="text1"/>
          <w:sz w:val="28"/>
          <w:szCs w:val="28"/>
          <w:u w:val="single"/>
          <w14:textFill>
            <w14:solidFill>
              <w14:schemeClr w14:val="tx1"/>
            </w14:solidFill>
          </w14:textFill>
        </w:rPr>
        <w:t>日上午10时至202</w:t>
      </w:r>
      <w:r>
        <w:rPr>
          <w:rFonts w:hint="eastAsia" w:ascii="仿宋" w:hAnsi="仿宋" w:eastAsia="仿宋" w:cs="仿宋"/>
          <w:b/>
          <w:bCs/>
          <w:color w:val="000000" w:themeColor="text1"/>
          <w:sz w:val="28"/>
          <w:szCs w:val="28"/>
          <w:u w:val="single"/>
          <w:lang w:val="en-US" w:eastAsia="zh-CN"/>
          <w14:textFill>
            <w14:solidFill>
              <w14:schemeClr w14:val="tx1"/>
            </w14:solidFill>
          </w14:textFill>
        </w:rPr>
        <w:t>4</w:t>
      </w:r>
      <w:r>
        <w:rPr>
          <w:rFonts w:hint="eastAsia" w:ascii="仿宋" w:hAnsi="仿宋" w:eastAsia="仿宋" w:cs="仿宋"/>
          <w:b/>
          <w:bCs/>
          <w:color w:val="000000" w:themeColor="text1"/>
          <w:sz w:val="28"/>
          <w:szCs w:val="28"/>
          <w:u w:val="single"/>
          <w14:textFill>
            <w14:solidFill>
              <w14:schemeClr w14:val="tx1"/>
            </w14:solidFill>
          </w14:textFill>
        </w:rPr>
        <w:t>年</w:t>
      </w:r>
      <w:r>
        <w:rPr>
          <w:rFonts w:hint="eastAsia" w:ascii="仿宋" w:hAnsi="仿宋" w:eastAsia="仿宋" w:cs="仿宋"/>
          <w:b/>
          <w:bCs/>
          <w:color w:val="000000" w:themeColor="text1"/>
          <w:sz w:val="28"/>
          <w:szCs w:val="28"/>
          <w:u w:val="single"/>
          <w:lang w:val="en-US" w:eastAsia="zh-CN"/>
          <w14:textFill>
            <w14:solidFill>
              <w14:schemeClr w14:val="tx1"/>
            </w14:solidFill>
          </w14:textFill>
        </w:rPr>
        <w:t>9</w:t>
      </w:r>
      <w:r>
        <w:rPr>
          <w:rFonts w:hint="eastAsia" w:ascii="仿宋" w:hAnsi="仿宋" w:eastAsia="仿宋" w:cs="仿宋"/>
          <w:b/>
          <w:bCs/>
          <w:color w:val="000000" w:themeColor="text1"/>
          <w:sz w:val="28"/>
          <w:szCs w:val="28"/>
          <w:u w:val="single"/>
          <w14:textFill>
            <w14:solidFill>
              <w14:schemeClr w14:val="tx1"/>
            </w14:solidFill>
          </w14:textFill>
        </w:rPr>
        <w:t>月</w:t>
      </w:r>
      <w:r>
        <w:rPr>
          <w:rFonts w:hint="eastAsia" w:ascii="仿宋" w:hAnsi="仿宋" w:eastAsia="仿宋" w:cs="仿宋"/>
          <w:b/>
          <w:bCs/>
          <w:color w:val="000000" w:themeColor="text1"/>
          <w:sz w:val="28"/>
          <w:szCs w:val="28"/>
          <w:u w:val="single"/>
          <w:lang w:val="en-US" w:eastAsia="zh-CN"/>
          <w14:textFill>
            <w14:solidFill>
              <w14:schemeClr w14:val="tx1"/>
            </w14:solidFill>
          </w14:textFill>
        </w:rPr>
        <w:t>26</w:t>
      </w:r>
      <w:r>
        <w:rPr>
          <w:rFonts w:hint="eastAsia" w:ascii="仿宋" w:hAnsi="仿宋" w:eastAsia="仿宋" w:cs="仿宋"/>
          <w:b/>
          <w:bCs/>
          <w:color w:val="000000" w:themeColor="text1"/>
          <w:sz w:val="28"/>
          <w:szCs w:val="28"/>
          <w:u w:val="single"/>
          <w14:textFill>
            <w14:solidFill>
              <w14:schemeClr w14:val="tx1"/>
            </w14:solidFill>
          </w14:textFill>
        </w:rPr>
        <w:t>日上午10时止</w:t>
      </w:r>
      <w:r>
        <w:rPr>
          <w:rFonts w:hint="eastAsia" w:ascii="仿宋" w:hAnsi="仿宋" w:eastAsia="仿宋" w:cs="仿宋"/>
          <w:color w:val="000000" w:themeColor="text1"/>
          <w:sz w:val="28"/>
          <w:szCs w:val="28"/>
          <w14:textFill>
            <w14:solidFill>
              <w14:schemeClr w14:val="tx1"/>
            </w14:solidFill>
          </w14:textFill>
        </w:rPr>
        <w:t>（延时除外）在淘宝网阿里拍卖破产强清平台进行公开拍卖活动，现就网上拍卖有关事宜敬告各位竞买人</w:t>
      </w:r>
      <w:r>
        <w:rPr>
          <w:rFonts w:hint="eastAsia" w:ascii="仿宋" w:hAnsi="仿宋" w:eastAsia="仿宋" w:cs="仿宋"/>
          <w:color w:val="000000" w:themeColor="text1"/>
          <w:sz w:val="28"/>
          <w:szCs w:val="28"/>
          <w:lang w:eastAsia="zh-CN"/>
          <w14:textFill>
            <w14:solidFill>
              <w14:schemeClr w14:val="tx1"/>
            </w14:solidFill>
          </w14:textFill>
        </w:rPr>
        <w:t>：</w:t>
      </w:r>
    </w:p>
    <w:p w14:paraId="6E2BDA4B">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一、本《拍卖须知》根据《中华人民共和国民事诉讼法》等相关法律规定所制定，竞买人应认真仔细阅读，了解本须知的全部内容。</w:t>
      </w:r>
    </w:p>
    <w:p w14:paraId="52047AA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二、本次拍卖活动遵循“公开、公平、公正、诚实守信”的原则，拍卖活动具备法律效力。参加本次拍卖活动的竞买人必须遵守本须知的各项条款，并对自己的行为承担法律责任。</w:t>
      </w:r>
    </w:p>
    <w:p w14:paraId="472DB11E">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58C6E18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四、竞买人条件：凡具备完全民事行为能力的公民、法人和其他组织均可参加竞买，若不具有完全民事行为能力其代理人必须具备完全民事行为能力；法律、行政法规、司法解释对</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资格或者条件有特殊规定的，竞买人应当具备规定的资格或者条件。因不符合条件参加竞买的，由竞买人自行承担相应的法律责任。</w:t>
      </w:r>
    </w:p>
    <w:p w14:paraId="7BD5676A">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565DB99D">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因不符合条件参加竞买的，由竞买人自行承担相应的法律责任。</w:t>
      </w:r>
    </w:p>
    <w:p w14:paraId="07F73A42">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五、优先购买权人参加竞买的应于竞价活动开始</w:t>
      </w:r>
      <w:r>
        <w:rPr>
          <w:rFonts w:hint="eastAsia" w:ascii="仿宋" w:hAnsi="仿宋" w:eastAsia="仿宋" w:cs="仿宋"/>
          <w:color w:val="000000" w:themeColor="text1"/>
          <w:sz w:val="28"/>
          <w:szCs w:val="28"/>
          <w:lang w:val="en-US" w:eastAsia="zh-CN"/>
          <w14:textFill>
            <w14:solidFill>
              <w14:schemeClr w14:val="tx1"/>
            </w14:solidFill>
          </w14:textFill>
        </w:rPr>
        <w:t>五</w:t>
      </w:r>
      <w:r>
        <w:rPr>
          <w:rFonts w:hint="eastAsia" w:ascii="仿宋" w:hAnsi="仿宋" w:eastAsia="仿宋" w:cs="仿宋"/>
          <w:color w:val="000000" w:themeColor="text1"/>
          <w:sz w:val="28"/>
          <w:szCs w:val="28"/>
          <w14:textFill>
            <w14:solidFill>
              <w14:schemeClr w14:val="tx1"/>
            </w14:solidFill>
          </w14:textFill>
        </w:rPr>
        <w:t>日前向管理人提交合法有效的证明，资格经管理人确认并添加至破产强清平台后台系统后才能参与竞买，逾期不提交的，视为放弃对本标的物享有优先购买权。</w:t>
      </w:r>
    </w:p>
    <w:p w14:paraId="1405D16D">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六、与本标的物有利害关系的当事人可参加竞拍，不参加竞拍的请关注本次拍卖活动的整个过程。</w:t>
      </w:r>
    </w:p>
    <w:p w14:paraId="50CDACEE">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七、本次拍卖活动设置延时出价功能，在拍卖活动结束前，每最后5分钟如果有竞买人出价，就自动延迟5分钟。</w:t>
      </w:r>
    </w:p>
    <w:p w14:paraId="685730EA">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八、拍卖成交的，本标的物竞得者（又称“</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”）冻结的保证金将自动转入管理人指定账户，其他竞买人的保证金在拍卖后即时解冻。拍卖未成交的（即流拍的），竞买人的保证金在拍卖活动结束后即时解冻，保证金冻结期间不计利息。</w:t>
      </w:r>
    </w:p>
    <w:p w14:paraId="1A41C712">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破产企业资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eastAsia" w:ascii="仿宋" w:hAnsi="仿宋" w:eastAsia="仿宋" w:cs="仿宋"/>
          <w:color w:val="000000" w:themeColor="text1"/>
          <w:sz w:val="28"/>
          <w:szCs w:val="28"/>
          <w:lang w:eastAsia="zh-CN"/>
          <w14:textFill>
            <w14:solidFill>
              <w14:schemeClr w14:val="tx1"/>
            </w14:solidFill>
          </w14:textFill>
        </w:rPr>
        <w:t>：</w:t>
      </w:r>
      <w:r>
        <w:rPr>
          <w:color w:val="000000" w:themeColor="text1"/>
          <w:sz w:val="28"/>
          <w:szCs w:val="28"/>
          <w14:textFill>
            <w14:solidFill>
              <w14:schemeClr w14:val="tx1"/>
            </w14:solidFill>
          </w14:textFill>
        </w:rPr>
        <w:fldChar w:fldCharType="begin"/>
      </w:r>
      <w:r>
        <w:rPr>
          <w:color w:val="000000" w:themeColor="text1"/>
          <w:sz w:val="28"/>
          <w:szCs w:val="28"/>
          <w14:textFill>
            <w14:solidFill>
              <w14:schemeClr w14:val="tx1"/>
            </w14:solidFill>
          </w14:textFill>
        </w:rPr>
        <w:instrText xml:space="preserve"> HYPERLINK "https://susong-item.taobao.com/auction/672245033902.htm?spm=a219w.7474998.paiList.2.13834d827pbYRP" </w:instrText>
      </w:r>
      <w:r>
        <w:rPr>
          <w:color w:val="000000" w:themeColor="text1"/>
          <w:sz w:val="28"/>
          <w:szCs w:val="28"/>
          <w14:textFill>
            <w14:solidFill>
              <w14:schemeClr w14:val="tx1"/>
            </w14:solidFill>
          </w14:textFill>
        </w:rPr>
        <w:fldChar w:fldCharType="separate"/>
      </w:r>
      <w:r>
        <w:rPr>
          <w:rFonts w:hint="eastAsia" w:ascii="仿宋" w:hAnsi="仿宋" w:eastAsia="仿宋" w:cs="仿宋"/>
          <w:color w:val="000000" w:themeColor="text1"/>
          <w:sz w:val="28"/>
          <w:szCs w:val="28"/>
          <w14:textFill>
            <w14:solidFill>
              <w14:schemeClr w14:val="tx1"/>
            </w14:solidFill>
          </w14:textFill>
        </w:rPr>
        <w:t>https://www.taobao.com/market/paimai/sf-helpcenter.php?path=sf-hc-right-content5#q1</w:t>
      </w:r>
      <w:r>
        <w:rPr>
          <w:rFonts w:hint="eastAsia" w:ascii="仿宋" w:hAnsi="仿宋" w:eastAsia="仿宋" w:cs="仿宋"/>
          <w:color w:val="000000" w:themeColor="text1"/>
          <w:sz w:val="28"/>
          <w:szCs w:val="28"/>
          <w14:textFill>
            <w14:solidFill>
              <w14:schemeClr w14:val="tx1"/>
            </w14:solidFill>
          </w14:textFill>
        </w:rPr>
        <w:fldChar w:fldCharType="end"/>
      </w:r>
      <w:r>
        <w:rPr>
          <w:rFonts w:hint="eastAsia" w:ascii="仿宋" w:hAnsi="仿宋" w:eastAsia="仿宋" w:cs="仿宋"/>
          <w:color w:val="000000" w:themeColor="text1"/>
          <w:sz w:val="28"/>
          <w:szCs w:val="28"/>
          <w14:textFill>
            <w14:solidFill>
              <w14:schemeClr w14:val="tx1"/>
            </w14:solidFill>
          </w14:textFill>
        </w:rPr>
        <w:t>。</w:t>
      </w:r>
    </w:p>
    <w:p w14:paraId="1CA3218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九、</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应于付清全部拍卖成交款后</w:t>
      </w:r>
      <w:r>
        <w:rPr>
          <w:rFonts w:hint="eastAsia" w:ascii="仿宋" w:hAnsi="仿宋" w:eastAsia="仿宋" w:cs="仿宋"/>
          <w:color w:val="000000" w:themeColor="text1"/>
          <w:sz w:val="28"/>
          <w:szCs w:val="28"/>
          <w:u w:val="single"/>
          <w14:textFill>
            <w14:solidFill>
              <w14:schemeClr w14:val="tx1"/>
            </w14:solidFill>
          </w14:textFill>
        </w:rPr>
        <w:t>3日内</w:t>
      </w:r>
      <w:r>
        <w:rPr>
          <w:rFonts w:hint="eastAsia" w:ascii="仿宋" w:hAnsi="仿宋" w:eastAsia="仿宋" w:cs="仿宋"/>
          <w:color w:val="000000" w:themeColor="text1"/>
          <w:sz w:val="28"/>
          <w:szCs w:val="28"/>
          <w14:textFill>
            <w14:solidFill>
              <w14:schemeClr w14:val="tx1"/>
            </w14:solidFill>
          </w14:textFill>
        </w:rPr>
        <w:t>（遇节假日顺延）</w:t>
      </w:r>
      <w:r>
        <w:rPr>
          <w:rFonts w:hint="eastAsia" w:ascii="仿宋" w:hAnsi="仿宋" w:eastAsia="仿宋" w:cs="仿宋"/>
          <w:color w:val="000000" w:themeColor="text1"/>
          <w:sz w:val="28"/>
          <w:szCs w:val="28"/>
          <w:u w:val="single"/>
          <w14:textFill>
            <w14:solidFill>
              <w14:schemeClr w14:val="tx1"/>
            </w14:solidFill>
          </w14:textFill>
        </w:rPr>
        <w:t>凭付款凭证及相关身份材料到破产管理人处</w:t>
      </w:r>
      <w:r>
        <w:rPr>
          <w:rFonts w:hint="eastAsia" w:ascii="仿宋" w:hAnsi="仿宋" w:eastAsia="仿宋" w:cs="仿宋"/>
          <w:color w:val="000000" w:themeColor="text1"/>
          <w:sz w:val="28"/>
          <w:szCs w:val="28"/>
          <w14:textFill>
            <w14:solidFill>
              <w14:schemeClr w14:val="tx1"/>
            </w14:solidFill>
          </w14:textFill>
        </w:rPr>
        <w:t>（地址：</w:t>
      </w:r>
      <w:r>
        <w:rPr>
          <w:rFonts w:hint="eastAsia" w:ascii="仿宋" w:hAnsi="仿宋" w:eastAsia="仿宋" w:cs="仿宋"/>
          <w:color w:val="000000" w:themeColor="text1"/>
          <w:sz w:val="28"/>
          <w:szCs w:val="28"/>
          <w:u w:val="single"/>
          <w14:textFill>
            <w14:solidFill>
              <w14:schemeClr w14:val="tx1"/>
            </w14:solidFill>
          </w14:textFill>
        </w:rPr>
        <w:t>江西省萍乡市安源区金融港二号楼17F北京雍文（萍乡）律师事务所</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签署拍卖成交确认文件</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并</w:t>
      </w:r>
      <w:r>
        <w:rPr>
          <w:rFonts w:hint="eastAsia" w:ascii="仿宋" w:hAnsi="仿宋" w:eastAsia="仿宋" w:cs="仿宋"/>
          <w:color w:val="000000" w:themeColor="text1"/>
          <w:sz w:val="28"/>
          <w:szCs w:val="28"/>
          <w:u w:val="single"/>
          <w:lang w:val="en-US" w:eastAsia="zh-CN"/>
          <w14:textFill>
            <w14:solidFill>
              <w14:schemeClr w14:val="tx1"/>
            </w14:solidFill>
          </w14:textFill>
        </w:rPr>
        <w:t>应</w:t>
      </w:r>
      <w:r>
        <w:rPr>
          <w:rFonts w:hint="eastAsia" w:ascii="仿宋" w:hAnsi="仿宋" w:eastAsia="仿宋" w:cs="仿宋"/>
          <w:color w:val="000000" w:themeColor="text1"/>
          <w:sz w:val="28"/>
          <w:szCs w:val="28"/>
          <w:u w:val="single"/>
          <w14:textFill>
            <w14:solidFill>
              <w14:schemeClr w14:val="tx1"/>
            </w14:solidFill>
          </w14:textFill>
        </w:rPr>
        <w:t>在尾款支付后</w:t>
      </w:r>
      <w:r>
        <w:rPr>
          <w:rFonts w:hint="eastAsia" w:ascii="仿宋" w:hAnsi="仿宋" w:eastAsia="仿宋" w:cs="仿宋"/>
          <w:color w:val="000000" w:themeColor="text1"/>
          <w:sz w:val="28"/>
          <w:szCs w:val="28"/>
          <w:u w:val="single"/>
          <w14:textFill>
            <w14:solidFill>
              <w14:schemeClr w14:val="tx1"/>
            </w14:solidFill>
          </w14:textFill>
        </w:rPr>
        <w:t>10日内</w:t>
      </w:r>
      <w:r>
        <w:rPr>
          <w:rFonts w:hint="eastAsia" w:ascii="仿宋" w:hAnsi="仿宋" w:eastAsia="仿宋" w:cs="仿宋"/>
          <w:color w:val="000000" w:themeColor="text1"/>
          <w:sz w:val="28"/>
          <w:szCs w:val="28"/>
          <w:u w:val="single"/>
          <w14:textFill>
            <w14:solidFill>
              <w14:schemeClr w14:val="tx1"/>
            </w14:solidFill>
          </w14:textFill>
        </w:rPr>
        <w:t>前往标的物所在厂区内办理交割手续。</w:t>
      </w:r>
      <w:r>
        <w:rPr>
          <w:rFonts w:hint="eastAsia" w:ascii="仿宋" w:hAnsi="仿宋" w:eastAsia="仿宋" w:cs="仿宋"/>
          <w:color w:val="000000" w:themeColor="text1"/>
          <w:sz w:val="28"/>
          <w:szCs w:val="28"/>
          <w14:textFill>
            <w14:solidFill>
              <w14:schemeClr w14:val="tx1"/>
            </w14:solidFill>
          </w14:textFill>
        </w:rPr>
        <w:t>请</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于付清全部拍卖成交款后三日内主动与管理人取得联系以确认相关事项。</w:t>
      </w:r>
    </w:p>
    <w:p w14:paraId="2EEF7F98">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在按要求缴纳全部拍卖款后应及时签署成交相关文件，并由管理人协助办理</w:t>
      </w:r>
      <w:r>
        <w:rPr>
          <w:rFonts w:hint="eastAsia" w:ascii="仿宋" w:hAnsi="仿宋" w:eastAsia="仿宋" w:cs="仿宋"/>
          <w:color w:val="000000" w:themeColor="text1"/>
          <w:sz w:val="28"/>
          <w:szCs w:val="28"/>
          <w:lang w:val="en-US" w:eastAsia="zh-CN"/>
          <w14:textFill>
            <w14:solidFill>
              <w14:schemeClr w14:val="tx1"/>
            </w14:solidFill>
          </w14:textFill>
        </w:rPr>
        <w:t>交割手续或</w:t>
      </w:r>
      <w:r>
        <w:rPr>
          <w:rFonts w:hint="eastAsia" w:ascii="仿宋" w:hAnsi="仿宋" w:eastAsia="仿宋" w:cs="仿宋"/>
          <w:color w:val="000000" w:themeColor="text1"/>
          <w:sz w:val="28"/>
          <w:szCs w:val="28"/>
          <w14:textFill>
            <w14:solidFill>
              <w14:schemeClr w14:val="tx1"/>
            </w14:solidFill>
          </w14:textFill>
        </w:rPr>
        <w:t>过户手续</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如需</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逾期不办理的，将承担本标的物可能发生的损毁、灭失等后果。能否办理过户手续及办理过户手续的时间请竞买人在竞买前自行到相关部门咨询确认，标的物现状及存在瑕疵等原因不能或者延迟办理过户手续造成的费用增加的后果自负，管理人不作过户的任何承诺</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拍卖所涉及的一切税、费（包括但不限于所得税、</w:t>
      </w:r>
      <w:r>
        <w:rPr>
          <w:rFonts w:hint="eastAsia" w:ascii="仿宋" w:hAnsi="仿宋" w:eastAsia="仿宋" w:cs="仿宋"/>
          <w:color w:val="000000" w:themeColor="text1"/>
          <w:sz w:val="28"/>
          <w:szCs w:val="28"/>
          <w:lang w:val="en-US" w:eastAsia="zh-CN"/>
          <w14:textFill>
            <w14:solidFill>
              <w14:schemeClr w14:val="tx1"/>
            </w14:solidFill>
          </w14:textFill>
        </w:rPr>
        <w:t>土地增值税、</w:t>
      </w:r>
      <w:r>
        <w:rPr>
          <w:rFonts w:hint="eastAsia" w:ascii="仿宋" w:hAnsi="仿宋" w:eastAsia="仿宋" w:cs="仿宋"/>
          <w:color w:val="000000" w:themeColor="text1"/>
          <w:sz w:val="28"/>
          <w:szCs w:val="28"/>
          <w14:textFill>
            <w14:solidFill>
              <w14:schemeClr w14:val="tx1"/>
            </w14:solidFill>
          </w14:textFill>
        </w:rPr>
        <w:t>增值税及其附加、印花税、契税、备案手续费、权证费、保管费等）和所需补缴的相关税、费及有可能存在的其他费用全部由</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承担（依法由标的物所有人承担的税费也由</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承担）。</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在竞买前可向所涉相关政府部门进行咨询、了解，确认成交后应缴纳的税费标准。未明确缴费义务人的费用也由</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承担，具体费用请竞买人至相关单位自行咨询了解。因竞买人的原因产生的税款滞纳金，全部由竞买人承担。涉及违法、违建、无证部分，由</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自行接受行政主管部门依照有关行政法规的处理。</w:t>
      </w:r>
    </w:p>
    <w:p w14:paraId="1AD38499">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十一、本次拍卖活动计价货币为人民币，拍卖时的起拍价、成交价均不含</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在拍卖标的物交付、过户时所发生的费用和税费。</w:t>
      </w:r>
      <w:r>
        <w:rPr>
          <w:rFonts w:hint="eastAsia" w:ascii="仿宋" w:hAnsi="仿宋" w:eastAsia="仿宋" w:cs="仿宋"/>
          <w:b/>
          <w:bCs/>
          <w:color w:val="000000" w:themeColor="text1"/>
          <w:sz w:val="28"/>
          <w:szCs w:val="28"/>
          <w:u w:val="single"/>
          <w14:textFill>
            <w14:solidFill>
              <w14:schemeClr w14:val="tx1"/>
            </w14:solidFill>
          </w14:textFill>
        </w:rPr>
        <w:t>管理人不提供发票</w:t>
      </w:r>
      <w:r>
        <w:rPr>
          <w:rFonts w:hint="eastAsia" w:ascii="仿宋" w:hAnsi="仿宋" w:eastAsia="仿宋" w:cs="仿宋"/>
          <w:b/>
          <w:bCs/>
          <w:color w:val="000000" w:themeColor="text1"/>
          <w:sz w:val="28"/>
          <w:szCs w:val="28"/>
          <w:u w:val="single"/>
          <w:lang w:eastAsia="zh-CN"/>
          <w14:textFill>
            <w14:solidFill>
              <w14:schemeClr w14:val="tx1"/>
            </w14:solidFill>
          </w14:textFill>
        </w:rPr>
        <w:t>。</w:t>
      </w:r>
    </w:p>
    <w:p w14:paraId="39C0911C">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十二、参加竞买的人应当遵守拍卖须知的规定，不得阻挠其他竞买人竞拍，不得操纵、垄断竞拍价格，严禁竞买人恶意串标，上述行为一经发现，将取消其竞买资格，并追究相关的法律责任。</w:t>
      </w:r>
    </w:p>
    <w:p w14:paraId="78B1A17F">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十三、管理人根据法律规定有权在拍卖开始前中止拍卖或撤回拍卖。</w:t>
      </w:r>
    </w:p>
    <w:p w14:paraId="17431EE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十四、为便于</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及时收到拍卖相关的文书，竞买人在拍卖竞价前如实向淘宝网司法拍卖网络平台提供确切的送达地址或者主动与管理人联系。如需更改地址，</w:t>
      </w:r>
      <w:r>
        <w:rPr>
          <w:rFonts w:hint="eastAsia" w:ascii="仿宋" w:hAnsi="仿宋" w:eastAsia="仿宋" w:cs="仿宋"/>
          <w:color w:val="000000" w:themeColor="text1"/>
          <w:sz w:val="28"/>
          <w:szCs w:val="28"/>
          <w:lang w:eastAsia="zh-CN"/>
          <w14:textFill>
            <w14:solidFill>
              <w14:schemeClr w14:val="tx1"/>
            </w14:solidFill>
          </w14:textFill>
        </w:rPr>
        <w:t>竞买人</w:t>
      </w:r>
      <w:r>
        <w:rPr>
          <w:rFonts w:hint="eastAsia" w:ascii="仿宋" w:hAnsi="仿宋" w:eastAsia="仿宋" w:cs="仿宋"/>
          <w:color w:val="000000" w:themeColor="text1"/>
          <w:sz w:val="28"/>
          <w:szCs w:val="28"/>
          <w14:textFill>
            <w14:solidFill>
              <w14:schemeClr w14:val="tx1"/>
            </w14:solidFill>
          </w14:textFill>
        </w:rPr>
        <w:t>应及时与管理人联系确认更改。因提供的送达地址不确切，或未及时告知变更地址，导致有关法律文书无法送达的，由竞买人自行承担由此可能产生的法律后果。</w:t>
      </w:r>
    </w:p>
    <w:p w14:paraId="7EFA55FA">
      <w:pPr>
        <w:spacing w:line="360" w:lineRule="auto"/>
        <w:ind w:firstLine="560" w:firstLineChars="20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五、地上建筑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64697914">
      <w:pPr>
        <w:spacing w:line="360" w:lineRule="auto"/>
        <w:ind w:firstLine="560" w:firstLineChars="200"/>
        <w:jc w:val="left"/>
        <w:rPr>
          <w:rFonts w:hint="default" w:eastAsia="黑体"/>
          <w:color w:val="000000" w:themeColor="text1"/>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十六、</w:t>
      </w:r>
      <w:r>
        <w:rPr>
          <w:rFonts w:hint="eastAsia" w:ascii="仿宋" w:hAnsi="仿宋" w:eastAsia="仿宋" w:cs="仿宋"/>
          <w:b/>
          <w:bCs/>
          <w:color w:val="000000" w:themeColor="text1"/>
          <w:sz w:val="28"/>
          <w:szCs w:val="28"/>
          <w:u w:val="single"/>
          <w:lang w:val="en-US" w:eastAsia="zh-CN"/>
          <w14:textFill>
            <w14:solidFill>
              <w14:schemeClr w14:val="tx1"/>
            </w14:solidFill>
          </w14:textFill>
        </w:rPr>
        <w:t>本标的物其中有7000平方米房屋已出租给了江西索蒂斯生物科技有限公司，且已预收了至2025年3月30日前的租金，已预收的租金归江西远东机械科技有限公司、江西远东新能源有限公司所有。</w:t>
      </w:r>
    </w:p>
    <w:p w14:paraId="7828D14C">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w:t>
      </w:r>
      <w:r>
        <w:rPr>
          <w:rFonts w:hint="eastAsia" w:ascii="仿宋" w:hAnsi="仿宋" w:eastAsia="仿宋" w:cs="仿宋"/>
          <w:color w:val="000000" w:themeColor="text1"/>
          <w:sz w:val="28"/>
          <w:szCs w:val="28"/>
          <w:lang w:val="en-US" w:eastAsia="zh-CN"/>
          <w14:textFill>
            <w14:solidFill>
              <w14:schemeClr w14:val="tx1"/>
            </w14:solidFill>
          </w14:textFill>
        </w:rPr>
        <w:t>七</w:t>
      </w:r>
      <w:r>
        <w:rPr>
          <w:rFonts w:hint="eastAsia" w:ascii="仿宋" w:hAnsi="仿宋" w:eastAsia="仿宋" w:cs="仿宋"/>
          <w:color w:val="000000" w:themeColor="text1"/>
          <w:sz w:val="28"/>
          <w:szCs w:val="28"/>
          <w14:textFill>
            <w14:solidFill>
              <w14:schemeClr w14:val="tx1"/>
            </w14:solidFill>
          </w14:textFill>
        </w:rPr>
        <w:t>、凡发现拍卖中有违规行为，可如实举报。破产案件监督单位：</w:t>
      </w:r>
      <w:r>
        <w:rPr>
          <w:rFonts w:hint="eastAsia" w:ascii="仿宋" w:hAnsi="仿宋" w:eastAsia="仿宋" w:cs="仿宋"/>
          <w:color w:val="000000" w:themeColor="text1"/>
          <w:sz w:val="28"/>
          <w:szCs w:val="28"/>
          <w:lang w:val="en-US" w:eastAsia="zh-CN"/>
          <w14:textFill>
            <w14:solidFill>
              <w14:schemeClr w14:val="tx1"/>
            </w14:solidFill>
          </w14:textFill>
        </w:rPr>
        <w:t>江西省上栗县</w:t>
      </w:r>
      <w:r>
        <w:rPr>
          <w:rFonts w:hint="eastAsia" w:ascii="仿宋" w:hAnsi="仿宋" w:eastAsia="仿宋" w:cs="仿宋"/>
          <w:color w:val="000000" w:themeColor="text1"/>
          <w:sz w:val="28"/>
          <w:szCs w:val="28"/>
          <w14:textFill>
            <w14:solidFill>
              <w14:schemeClr w14:val="tx1"/>
            </w14:solidFill>
          </w14:textFill>
        </w:rPr>
        <w:t>人民法院。</w:t>
      </w:r>
    </w:p>
    <w:p w14:paraId="44B4979B">
      <w:pPr>
        <w:spacing w:line="360" w:lineRule="auto"/>
        <w:ind w:firstLine="560" w:firstLineChars="200"/>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看样电话：</w:t>
      </w:r>
      <w:r>
        <w:rPr>
          <w:rFonts w:hint="eastAsia" w:ascii="仿宋" w:hAnsi="仿宋" w:eastAsia="仿宋" w:cs="仿宋"/>
          <w:color w:val="000000" w:themeColor="text1"/>
          <w:sz w:val="28"/>
          <w:szCs w:val="28"/>
          <w:lang w:val="en-US" w:eastAsia="zh-CN"/>
          <w14:textFill>
            <w14:solidFill>
              <w14:schemeClr w14:val="tx1"/>
            </w14:solidFill>
          </w14:textFill>
        </w:rPr>
        <w:t xml:space="preserve">钟律师 </w:t>
      </w:r>
      <w:r>
        <w:rPr>
          <w:rFonts w:hint="eastAsia" w:ascii="仿宋" w:hAnsi="仿宋" w:eastAsia="仿宋" w:cs="仿宋"/>
          <w:color w:val="000000" w:themeColor="text1"/>
          <w:sz w:val="28"/>
          <w:szCs w:val="28"/>
          <w:u w:val="single"/>
          <w:lang w:val="en-US" w:eastAsia="zh-CN"/>
          <w14:textFill>
            <w14:solidFill>
              <w14:schemeClr w14:val="tx1"/>
            </w14:solidFill>
          </w14:textFill>
        </w:rPr>
        <w:t>15083992004</w:t>
      </w:r>
    </w:p>
    <w:p w14:paraId="3F956840">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淘宝技术咨询：400-822-2870</w:t>
      </w:r>
    </w:p>
    <w:p w14:paraId="3201488A">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本公告未尽事宜，请向管理人</w:t>
      </w:r>
      <w:r>
        <w:rPr>
          <w:rFonts w:hint="eastAsia" w:ascii="仿宋" w:hAnsi="仿宋" w:eastAsia="仿宋" w:cs="仿宋"/>
          <w:color w:val="000000" w:themeColor="text1"/>
          <w:sz w:val="28"/>
          <w:szCs w:val="28"/>
          <w:u w:val="none"/>
          <w:lang w:val="en-US" w:eastAsia="zh-CN"/>
          <w14:textFill>
            <w14:solidFill>
              <w14:schemeClr w14:val="tx1"/>
            </w14:solidFill>
          </w14:textFill>
        </w:rPr>
        <w:t>钟</w:t>
      </w:r>
      <w:r>
        <w:rPr>
          <w:rFonts w:hint="eastAsia" w:ascii="仿宋" w:hAnsi="仿宋" w:eastAsia="仿宋" w:cs="仿宋"/>
          <w:color w:val="000000" w:themeColor="text1"/>
          <w:sz w:val="28"/>
          <w:szCs w:val="28"/>
          <w14:textFill>
            <w14:solidFill>
              <w14:schemeClr w14:val="tx1"/>
            </w14:solidFill>
          </w14:textFill>
        </w:rPr>
        <w:t>律师：</w:t>
      </w:r>
      <w:r>
        <w:rPr>
          <w:rFonts w:hint="eastAsia" w:ascii="仿宋" w:hAnsi="仿宋" w:eastAsia="仿宋" w:cs="仿宋"/>
          <w:color w:val="000000" w:themeColor="text1"/>
          <w:sz w:val="28"/>
          <w:szCs w:val="28"/>
          <w:lang w:val="en-US" w:eastAsia="zh-CN"/>
          <w14:textFill>
            <w14:solidFill>
              <w14:schemeClr w14:val="tx1"/>
            </w14:solidFill>
          </w14:textFill>
        </w:rPr>
        <w:t>15083992004</w:t>
      </w:r>
      <w:r>
        <w:rPr>
          <w:rFonts w:hint="eastAsia" w:ascii="仿宋" w:hAnsi="仿宋" w:eastAsia="仿宋" w:cs="仿宋"/>
          <w:color w:val="000000" w:themeColor="text1"/>
          <w:sz w:val="28"/>
          <w:szCs w:val="28"/>
          <w14:textFill>
            <w14:solidFill>
              <w14:schemeClr w14:val="tx1"/>
            </w14:solidFill>
          </w14:textFill>
        </w:rPr>
        <w:t>咨询。</w:t>
      </w:r>
    </w:p>
    <w:p w14:paraId="264AADA2">
      <w:pPr>
        <w:spacing w:line="360"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w:t>
      </w:r>
    </w:p>
    <w:p w14:paraId="3E2E3654">
      <w:pPr>
        <w:spacing w:line="360" w:lineRule="auto"/>
        <w:ind w:firstLine="560" w:firstLineChars="200"/>
        <w:jc w:val="righ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江西远东机械科技有限公司</w:t>
      </w:r>
      <w:r>
        <w:rPr>
          <w:rFonts w:hint="eastAsia" w:ascii="仿宋" w:hAnsi="仿宋" w:eastAsia="仿宋" w:cs="仿宋"/>
          <w:color w:val="000000" w:themeColor="text1"/>
          <w:sz w:val="28"/>
          <w:szCs w:val="28"/>
          <w14:textFill>
            <w14:solidFill>
              <w14:schemeClr w14:val="tx1"/>
            </w14:solidFill>
          </w14:textFill>
        </w:rPr>
        <w:t>管理人</w:t>
      </w:r>
    </w:p>
    <w:p w14:paraId="5E4BC5FE">
      <w:pPr>
        <w:spacing w:line="360" w:lineRule="auto"/>
        <w:ind w:firstLine="560" w:firstLineChars="200"/>
        <w:jc w:val="righ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江西远东新能源有限公司管理人</w:t>
      </w:r>
    </w:p>
    <w:p w14:paraId="368D4BAB">
      <w:pPr>
        <w:spacing w:line="360" w:lineRule="auto"/>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2024年9月10日</w:t>
      </w:r>
    </w:p>
    <w:p w14:paraId="2CA793E3">
      <w:pPr>
        <w:pStyle w:val="2"/>
        <w:rPr>
          <w:rFonts w:ascii="仿宋" w:hAnsi="仿宋" w:eastAsia="仿宋" w:cs="仿宋"/>
          <w:b/>
          <w:bCs/>
          <w:color w:val="000000" w:themeColor="text1"/>
          <w:sz w:val="30"/>
          <w:szCs w:val="30"/>
          <w14:textFill>
            <w14:solidFill>
              <w14:schemeClr w14:val="tx1"/>
            </w14:solidFill>
          </w14:textFill>
        </w:rPr>
      </w:pPr>
    </w:p>
    <w:p w14:paraId="23A22FA5">
      <w:pPr>
        <w:rPr>
          <w:rFonts w:ascii="仿宋" w:hAnsi="仿宋" w:eastAsia="仿宋" w:cs="仿宋"/>
          <w:b/>
          <w:bCs/>
          <w:color w:val="000000" w:themeColor="text1"/>
          <w:sz w:val="30"/>
          <w:szCs w:val="30"/>
          <w14:textFill>
            <w14:solidFill>
              <w14:schemeClr w14:val="tx1"/>
            </w14:solidFill>
          </w14:textFill>
        </w:rPr>
      </w:pPr>
    </w:p>
    <w:p w14:paraId="0965AF77">
      <w:pPr>
        <w:pStyle w:val="2"/>
        <w:rPr>
          <w:rFonts w:ascii="仿宋" w:hAnsi="仿宋" w:eastAsia="仿宋" w:cs="仿宋"/>
          <w:b/>
          <w:bCs/>
          <w:color w:val="000000" w:themeColor="text1"/>
          <w:sz w:val="30"/>
          <w:szCs w:val="30"/>
          <w14:textFill>
            <w14:solidFill>
              <w14:schemeClr w14:val="tx1"/>
            </w14:solidFill>
          </w14:textFill>
        </w:rPr>
      </w:pPr>
    </w:p>
    <w:p w14:paraId="463C2E45">
      <w:pPr>
        <w:rPr>
          <w:rFonts w:ascii="仿宋" w:hAnsi="仿宋" w:eastAsia="仿宋" w:cs="仿宋"/>
          <w:b/>
          <w:bCs/>
          <w:color w:val="000000" w:themeColor="text1"/>
          <w:sz w:val="30"/>
          <w:szCs w:val="30"/>
          <w14:textFill>
            <w14:solidFill>
              <w14:schemeClr w14:val="tx1"/>
            </w14:solidFill>
          </w14:textFill>
        </w:rPr>
      </w:pPr>
    </w:p>
    <w:p w14:paraId="699BFEA3">
      <w:pPr>
        <w:pStyle w:val="2"/>
        <w:rPr>
          <w:rFonts w:ascii="仿宋" w:hAnsi="仿宋" w:eastAsia="仿宋" w:cs="仿宋"/>
          <w:b/>
          <w:bCs/>
          <w:color w:val="000000" w:themeColor="text1"/>
          <w:sz w:val="30"/>
          <w:szCs w:val="30"/>
          <w14:textFill>
            <w14:solidFill>
              <w14:schemeClr w14:val="tx1"/>
            </w14:solidFill>
          </w14:textFill>
        </w:rPr>
      </w:pPr>
    </w:p>
    <w:p w14:paraId="4B737AC8">
      <w:pPr>
        <w:rPr>
          <w:rFonts w:ascii="仿宋" w:hAnsi="仿宋" w:eastAsia="仿宋" w:cs="仿宋"/>
          <w:b/>
          <w:bCs/>
          <w:color w:val="000000" w:themeColor="text1"/>
          <w:sz w:val="30"/>
          <w:szCs w:val="30"/>
          <w14:textFill>
            <w14:solidFill>
              <w14:schemeClr w14:val="tx1"/>
            </w14:solidFill>
          </w14:textFill>
        </w:rPr>
      </w:pPr>
    </w:p>
    <w:p w14:paraId="31A5BE5E">
      <w:pPr>
        <w:pStyle w:val="2"/>
        <w:rPr>
          <w:rFonts w:ascii="仿宋" w:hAnsi="仿宋" w:eastAsia="仿宋" w:cs="仿宋"/>
          <w:b/>
          <w:bCs/>
          <w:color w:val="000000" w:themeColor="text1"/>
          <w:sz w:val="30"/>
          <w:szCs w:val="30"/>
          <w14:textFill>
            <w14:solidFill>
              <w14:schemeClr w14:val="tx1"/>
            </w14:solidFill>
          </w14:textFill>
        </w:rPr>
      </w:pPr>
    </w:p>
    <w:p w14:paraId="19555FDD">
      <w:pPr>
        <w:rPr>
          <w:rFonts w:ascii="仿宋" w:hAnsi="仿宋" w:eastAsia="仿宋" w:cs="仿宋"/>
          <w:b/>
          <w:bCs/>
          <w:color w:val="000000" w:themeColor="text1"/>
          <w:sz w:val="30"/>
          <w:szCs w:val="30"/>
          <w14:textFill>
            <w14:solidFill>
              <w14:schemeClr w14:val="tx1"/>
            </w14:solidFill>
          </w14:textFill>
        </w:rPr>
      </w:pPr>
    </w:p>
    <w:p w14:paraId="3DD98FEB">
      <w:pPr>
        <w:pStyle w:val="2"/>
        <w:rPr>
          <w:color w:val="000000" w:themeColor="text1"/>
          <w14:textFill>
            <w14:solidFill>
              <w14:schemeClr w14:val="tx1"/>
            </w14:solidFill>
          </w14:textFill>
        </w:rPr>
      </w:pPr>
    </w:p>
    <w:p w14:paraId="52127EC7">
      <w:pPr>
        <w:spacing w:line="360" w:lineRule="auto"/>
        <w:jc w:val="center"/>
        <w:rPr>
          <w:rFonts w:hint="eastAsia" w:ascii="仿宋" w:hAnsi="仿宋" w:eastAsia="仿宋" w:cs="仿宋"/>
          <w:b/>
          <w:bCs/>
          <w:color w:val="000000" w:themeColor="text1"/>
          <w:sz w:val="30"/>
          <w:szCs w:val="30"/>
          <w14:textFill>
            <w14:solidFill>
              <w14:schemeClr w14:val="tx1"/>
            </w14:solidFill>
          </w14:textFill>
        </w:rPr>
      </w:pPr>
    </w:p>
    <w:p w14:paraId="383998D7">
      <w:pPr>
        <w:spacing w:line="360" w:lineRule="auto"/>
        <w:jc w:val="both"/>
        <w:rPr>
          <w:rFonts w:hint="eastAsia" w:ascii="仿宋" w:hAnsi="仿宋" w:eastAsia="仿宋" w:cs="仿宋"/>
          <w:b/>
          <w:bCs/>
          <w:color w:val="000000" w:themeColor="text1"/>
          <w:sz w:val="30"/>
          <w:szCs w:val="30"/>
          <w14:textFill>
            <w14:solidFill>
              <w14:schemeClr w14:val="tx1"/>
            </w14:solidFill>
          </w14:textFill>
        </w:rPr>
      </w:pPr>
    </w:p>
    <w:p w14:paraId="3FC50000">
      <w:pPr>
        <w:spacing w:line="360" w:lineRule="auto"/>
        <w:jc w:val="center"/>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标的物介绍</w:t>
      </w:r>
    </w:p>
    <w:p w14:paraId="2054C808">
      <w:pPr>
        <w:pStyle w:val="3"/>
        <w:widowControl/>
        <w:shd w:val="clear" w:color="auto" w:fill="FFFFFF"/>
        <w:spacing w:beforeAutospacing="0" w:afterAutospacing="0" w:line="360" w:lineRule="auto"/>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拍卖</w:t>
      </w:r>
      <w:r>
        <w:rPr>
          <w:rFonts w:hint="eastAsia" w:ascii="仿宋" w:hAnsi="仿宋" w:eastAsia="仿宋" w:cs="仿宋"/>
          <w:color w:val="000000" w:themeColor="text1"/>
          <w:sz w:val="30"/>
          <w:szCs w:val="30"/>
          <w:shd w:val="clear" w:color="auto" w:fill="auto"/>
          <w14:textFill>
            <w14:solidFill>
              <w14:schemeClr w14:val="tx1"/>
            </w14:solidFill>
          </w14:textFill>
        </w:rPr>
        <w:t>标的为</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江西远东机械科技有限公司、江西远东新能源</w:t>
      </w:r>
      <w:r>
        <w:rPr>
          <w:rFonts w:hint="eastAsia" w:ascii="仿宋" w:hAnsi="仿宋" w:eastAsia="仿宋" w:cs="仿宋"/>
          <w:color w:val="000000" w:themeColor="text1"/>
          <w:sz w:val="30"/>
          <w:szCs w:val="30"/>
          <w:shd w:val="clear" w:color="auto" w:fill="auto"/>
          <w14:textFill>
            <w14:solidFill>
              <w14:schemeClr w14:val="tx1"/>
            </w14:solidFill>
          </w14:textFill>
        </w:rPr>
        <w:t>有限公司</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实质合并破产</w:t>
      </w:r>
      <w:r>
        <w:rPr>
          <w:rFonts w:hint="eastAsia" w:ascii="仿宋" w:hAnsi="仿宋" w:eastAsia="仿宋" w:cs="仿宋"/>
          <w:color w:val="000000" w:themeColor="text1"/>
          <w:sz w:val="30"/>
          <w:szCs w:val="30"/>
          <w:shd w:val="clear" w:color="auto" w:fill="auto"/>
          <w14:textFill>
            <w14:solidFill>
              <w14:schemeClr w14:val="tx1"/>
            </w14:solidFill>
          </w14:textFill>
        </w:rPr>
        <w:t>拟破产清算涉及的资产，具体详情见下表：</w:t>
      </w:r>
    </w:p>
    <w:tbl>
      <w:tblPr>
        <w:tblStyle w:val="4"/>
        <w:tblW w:w="9240" w:type="dxa"/>
        <w:jc w:val="center"/>
        <w:tblBorders>
          <w:top w:val="single" w:color="E9E9E9" w:sz="4" w:space="0"/>
          <w:left w:val="single" w:color="E9E9E9" w:sz="4" w:space="0"/>
          <w:bottom w:val="single" w:color="E9E9E9" w:sz="4" w:space="0"/>
          <w:right w:val="single" w:color="E9E9E9" w:sz="4" w:space="0"/>
          <w:insideH w:val="none" w:color="auto" w:sz="0" w:space="0"/>
          <w:insideV w:val="none" w:color="auto" w:sz="0" w:space="0"/>
        </w:tblBorders>
        <w:tblLayout w:type="autofit"/>
        <w:tblCellMar>
          <w:top w:w="0" w:type="dxa"/>
          <w:left w:w="0" w:type="dxa"/>
          <w:bottom w:w="0" w:type="dxa"/>
          <w:right w:w="0" w:type="dxa"/>
        </w:tblCellMar>
      </w:tblPr>
      <w:tblGrid>
        <w:gridCol w:w="1324"/>
        <w:gridCol w:w="1125"/>
        <w:gridCol w:w="6791"/>
      </w:tblGrid>
      <w:tr w14:paraId="2F0B2212">
        <w:trPr>
          <w:trHeight w:val="764" w:hRule="atLeast"/>
          <w:jc w:val="center"/>
        </w:trPr>
        <w:tc>
          <w:tcPr>
            <w:tcW w:w="9240" w:type="dxa"/>
            <w:gridSpan w:val="3"/>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6299E47">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b/>
                <w:bCs/>
                <w:color w:val="000000" w:themeColor="text1"/>
                <w:sz w:val="30"/>
                <w:szCs w:val="30"/>
                <w:shd w:val="clear" w:color="auto" w:fill="auto"/>
                <w14:textFill>
                  <w14:solidFill>
                    <w14:schemeClr w14:val="tx1"/>
                  </w14:solidFill>
                </w14:textFill>
              </w:rPr>
              <w:t>标的物调查表</w:t>
            </w:r>
          </w:p>
        </w:tc>
      </w:tr>
      <w:tr w14:paraId="1FB40975">
        <w:trPr>
          <w:trHeight w:val="3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BFA926A">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标的名称</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D6EF852">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江西远东机械科技有限公司、江西远东新能源有限公司名下的房屋、土地及办公用品整体</w:t>
            </w:r>
          </w:p>
        </w:tc>
      </w:tr>
      <w:tr w14:paraId="52192DD0">
        <w:trPr>
          <w:trHeight w:val="3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1790C3E3">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详细位置</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637A45F6">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江西省</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上栗县赤山镇上栗</w:t>
            </w:r>
            <w:r>
              <w:rPr>
                <w:rFonts w:hint="eastAsia" w:ascii="仿宋" w:hAnsi="仿宋" w:eastAsia="仿宋" w:cs="仿宋"/>
                <w:color w:val="000000" w:themeColor="text1"/>
                <w:sz w:val="30"/>
                <w:szCs w:val="30"/>
                <w:shd w:val="clear" w:color="auto" w:fill="auto"/>
                <w14:textFill>
                  <w14:solidFill>
                    <w14:schemeClr w14:val="tx1"/>
                  </w14:solidFill>
                </w14:textFill>
              </w:rPr>
              <w:t>业</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工业</w:t>
            </w:r>
            <w:r>
              <w:rPr>
                <w:rFonts w:hint="eastAsia" w:ascii="仿宋" w:hAnsi="仿宋" w:eastAsia="仿宋" w:cs="仿宋"/>
                <w:color w:val="000000" w:themeColor="text1"/>
                <w:sz w:val="30"/>
                <w:szCs w:val="30"/>
                <w:shd w:val="clear" w:color="auto" w:fill="auto"/>
                <w14:textFill>
                  <w14:solidFill>
                    <w14:schemeClr w14:val="tx1"/>
                  </w14:solidFill>
                </w14:textFill>
              </w:rPr>
              <w:t>园</w:t>
            </w:r>
          </w:p>
        </w:tc>
      </w:tr>
      <w:tr w14:paraId="4BCE0875">
        <w:trPr>
          <w:trHeight w:val="406"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9D8FA7D">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权利来源</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378321D7">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破产财产</w:t>
            </w:r>
            <w:r>
              <w:rPr>
                <w:rFonts w:hint="eastAsia" w:ascii="仿宋" w:hAnsi="仿宋" w:eastAsia="仿宋" w:cs="仿宋"/>
                <w:color w:val="000000" w:themeColor="text1"/>
                <w:sz w:val="30"/>
                <w:szCs w:val="30"/>
                <w:shd w:val="clear" w:color="auto" w:fill="auto"/>
                <w14:textFill>
                  <w14:solidFill>
                    <w14:schemeClr w14:val="tx1"/>
                  </w14:solidFill>
                </w14:textFill>
              </w:rPr>
              <w:t>（202</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4</w:t>
            </w:r>
            <w:r>
              <w:rPr>
                <w:rFonts w:hint="eastAsia" w:ascii="仿宋" w:hAnsi="仿宋" w:eastAsia="仿宋" w:cs="仿宋"/>
                <w:color w:val="000000" w:themeColor="text1"/>
                <w:sz w:val="30"/>
                <w:szCs w:val="30"/>
                <w:shd w:val="clear" w:color="auto" w:fill="auto"/>
                <w14:textFill>
                  <w14:solidFill>
                    <w14:schemeClr w14:val="tx1"/>
                  </w14:solidFill>
                </w14:textFill>
              </w:rPr>
              <w:t>）赣03</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22</w:t>
            </w:r>
            <w:r>
              <w:rPr>
                <w:rFonts w:hint="eastAsia" w:ascii="仿宋" w:hAnsi="仿宋" w:eastAsia="仿宋" w:cs="仿宋"/>
                <w:color w:val="000000" w:themeColor="text1"/>
                <w:sz w:val="30"/>
                <w:szCs w:val="30"/>
                <w:shd w:val="clear" w:color="auto" w:fill="auto"/>
                <w14:textFill>
                  <w14:solidFill>
                    <w14:schemeClr w14:val="tx1"/>
                  </w14:solidFill>
                </w14:textFill>
              </w:rPr>
              <w:t>破</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2</w:t>
            </w:r>
            <w:r>
              <w:rPr>
                <w:rFonts w:hint="eastAsia" w:ascii="仿宋" w:hAnsi="仿宋" w:eastAsia="仿宋" w:cs="仿宋"/>
                <w:color w:val="000000" w:themeColor="text1"/>
                <w:sz w:val="30"/>
                <w:szCs w:val="30"/>
                <w:shd w:val="clear" w:color="auto" w:fill="auto"/>
                <w14:textFill>
                  <w14:solidFill>
                    <w14:schemeClr w14:val="tx1"/>
                  </w14:solidFill>
                </w14:textFill>
              </w:rPr>
              <w:t>号</w:t>
            </w:r>
          </w:p>
        </w:tc>
      </w:tr>
      <w:tr w14:paraId="73A15E6E">
        <w:trPr>
          <w:trHeight w:val="2491" w:hRule="atLeast"/>
          <w:jc w:val="center"/>
        </w:trPr>
        <w:tc>
          <w:tcPr>
            <w:tcW w:w="1324" w:type="dxa"/>
            <w:vMerge w:val="restart"/>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3BBA1E82">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拍品介绍</w:t>
            </w: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770575B">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1、</w:t>
            </w:r>
            <w:r>
              <w:rPr>
                <w:rFonts w:hint="eastAsia" w:ascii="仿宋" w:hAnsi="仿宋" w:eastAsia="仿宋" w:cs="仿宋"/>
                <w:color w:val="000000" w:themeColor="text1"/>
                <w:sz w:val="30"/>
                <w:szCs w:val="30"/>
                <w:shd w:val="clear" w:color="auto" w:fill="auto"/>
                <w14:textFill>
                  <w14:solidFill>
                    <w14:schemeClr w14:val="tx1"/>
                  </w14:solidFill>
                </w14:textFill>
              </w:rPr>
              <w:t>土地使用权情况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4285A88">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14:textFill>
                  <w14:solidFill>
                    <w14:schemeClr w14:val="tx1"/>
                  </w14:solidFill>
                </w14:textFill>
              </w:rPr>
            </w:pP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土地使用权</w:t>
            </w:r>
            <w:r>
              <w:rPr>
                <w:rStyle w:val="6"/>
                <w:rFonts w:hint="eastAsia" w:ascii="仿宋" w:hAnsi="仿宋" w:eastAsia="仿宋" w:cs="仿宋"/>
                <w:color w:val="000000" w:themeColor="text1"/>
                <w:sz w:val="28"/>
                <w:szCs w:val="28"/>
                <w:shd w:val="clear" w:color="auto" w:fill="auto"/>
                <w14:textFill>
                  <w14:solidFill>
                    <w14:schemeClr w14:val="tx1"/>
                  </w14:solidFill>
                </w14:textFill>
              </w:rPr>
              <w:t>情况</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土地权证编号：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w:t>
            </w:r>
          </w:p>
          <w:p w14:paraId="0C8DD451">
            <w:pPr>
              <w:keepNext w:val="0"/>
              <w:keepLines w:val="0"/>
              <w:widowControl/>
              <w:suppressLineNumbers w:val="0"/>
              <w:jc w:val="left"/>
              <w:rPr>
                <w:rFonts w:hint="eastAsia" w:ascii="仿宋" w:hAnsi="仿宋" w:eastAsia="仿宋" w:cs="仿宋"/>
                <w:b/>
                <w:bCs/>
                <w:color w:val="000000" w:themeColor="text1"/>
                <w:sz w:val="30"/>
                <w:szCs w:val="30"/>
                <w:shd w:val="clear" w:color="auto" w:fill="auto"/>
                <w:lang w:val="en-US" w:eastAsia="zh-CN"/>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土地位置：</w:t>
            </w:r>
            <w:r>
              <w:rPr>
                <w:rStyle w:val="6"/>
                <w:rFonts w:hint="eastAsia" w:ascii="仿宋" w:hAnsi="仿宋" w:eastAsia="仿宋" w:cs="仿宋"/>
                <w:color w:val="000000" w:themeColor="text1"/>
                <w:sz w:val="28"/>
                <w:szCs w:val="28"/>
                <w:shd w:val="clear" w:color="auto" w:fill="auto"/>
                <w14:textFill>
                  <w14:solidFill>
                    <w14:schemeClr w14:val="tx1"/>
                  </w14:solidFill>
                </w14:textFill>
              </w:rPr>
              <w:t>上栗县赤山镇工业园</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取得日期：</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2014/12/30</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用地性质：</w:t>
            </w:r>
            <w:r>
              <w:rPr>
                <w:rStyle w:val="6"/>
                <w:rFonts w:hint="eastAsia" w:ascii="仿宋" w:hAnsi="仿宋" w:eastAsia="仿宋" w:cs="仿宋"/>
                <w:color w:val="000000" w:themeColor="text1"/>
                <w:sz w:val="28"/>
                <w:szCs w:val="28"/>
                <w:shd w:val="clear" w:color="auto" w:fill="auto"/>
                <w14:textFill>
                  <w14:solidFill>
                    <w14:schemeClr w14:val="tx1"/>
                  </w14:solidFill>
                </w14:textFill>
              </w:rPr>
              <w:t>出让</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14:textFill>
                  <w14:solidFill>
                    <w14:schemeClr w14:val="tx1"/>
                  </w14:solidFill>
                </w14:textFill>
              </w:rPr>
              <w:t>工业</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终止年限：</w:t>
            </w:r>
            <w:r>
              <w:rPr>
                <w:rStyle w:val="6"/>
                <w:rFonts w:hint="eastAsia" w:ascii="仿宋" w:hAnsi="仿宋" w:eastAsia="仿宋" w:cs="仿宋"/>
                <w:color w:val="000000" w:themeColor="text1"/>
                <w:sz w:val="28"/>
                <w:szCs w:val="28"/>
                <w:shd w:val="clear" w:color="auto" w:fill="auto"/>
                <w14:textFill>
                  <w14:solidFill>
                    <w14:schemeClr w14:val="tx1"/>
                  </w14:solidFill>
                </w14:textFill>
              </w:rPr>
              <w:t>2064/12/29</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开发程度：</w:t>
            </w:r>
            <w:r>
              <w:rPr>
                <w:rStyle w:val="6"/>
                <w:rFonts w:hint="eastAsia" w:ascii="仿宋" w:hAnsi="仿宋" w:eastAsia="仿宋" w:cs="仿宋"/>
                <w:color w:val="000000" w:themeColor="text1"/>
                <w:sz w:val="28"/>
                <w:szCs w:val="28"/>
                <w:shd w:val="clear" w:color="auto" w:fill="auto"/>
                <w14:textFill>
                  <w14:solidFill>
                    <w14:schemeClr w14:val="tx1"/>
                  </w14:solidFill>
                </w14:textFill>
              </w:rPr>
              <w:t>熟地</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21940</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平方米。（详见拍卖公告明细表，具体以现场现状实物为准）</w:t>
            </w:r>
          </w:p>
        </w:tc>
      </w:tr>
      <w:tr w14:paraId="1C63FDD3">
        <w:trPr>
          <w:trHeight w:val="2491" w:hRule="atLeast"/>
          <w:jc w:val="center"/>
        </w:trPr>
        <w:tc>
          <w:tcPr>
            <w:tcW w:w="1324" w:type="dxa"/>
            <w:vMerge w:val="continue"/>
            <w:tcBorders>
              <w:left w:val="single" w:color="000000" w:sz="8" w:space="0"/>
              <w:right w:val="single" w:color="000000" w:sz="8" w:space="0"/>
            </w:tcBorders>
            <w:shd w:val="clear" w:color="auto" w:fill="FFFFFF"/>
            <w:tcMar>
              <w:left w:w="108" w:type="dxa"/>
              <w:right w:w="108" w:type="dxa"/>
            </w:tcMar>
            <w:vAlign w:val="center"/>
          </w:tcPr>
          <w:p w14:paraId="677C4B47">
            <w:pPr>
              <w:pStyle w:val="3"/>
              <w:widowControl/>
              <w:spacing w:beforeAutospacing="0" w:afterAutospacing="0" w:line="312" w:lineRule="atLeast"/>
              <w:jc w:val="center"/>
              <w:textAlignment w:val="center"/>
              <w:rPr>
                <w:rFonts w:hint="eastAsia" w:ascii="仿宋" w:hAnsi="仿宋" w:eastAsia="仿宋" w:cs="仿宋"/>
                <w:color w:val="000000" w:themeColor="text1"/>
                <w:sz w:val="30"/>
                <w:szCs w:val="30"/>
                <w:shd w:val="clear" w:color="auto" w:fill="auto"/>
                <w14:textFill>
                  <w14:solidFill>
                    <w14:schemeClr w14:val="tx1"/>
                  </w14:solidFill>
                </w14:textFill>
              </w:rPr>
            </w:pP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4F838DBE">
            <w:pPr>
              <w:pStyle w:val="3"/>
              <w:widowControl/>
              <w:spacing w:beforeAutospacing="0" w:afterAutospacing="0" w:line="312" w:lineRule="atLeast"/>
              <w:jc w:val="center"/>
              <w:textAlignment w:val="center"/>
              <w:rPr>
                <w:rFonts w:hint="default" w:ascii="仿宋" w:hAnsi="仿宋" w:eastAsia="仿宋" w:cs="仿宋"/>
                <w:color w:val="000000" w:themeColor="text1"/>
                <w:sz w:val="30"/>
                <w:szCs w:val="30"/>
                <w:shd w:val="clear" w:color="auto" w:fill="auto"/>
                <w:lang w:val="en-US" w:eastAsia="zh-CN"/>
                <w14:textFill>
                  <w14:solidFill>
                    <w14:schemeClr w14:val="tx1"/>
                  </w14:solidFill>
                </w14:textFill>
              </w:rPr>
            </w:pP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2、房屋建筑物情况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29C128E">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建成</w:t>
            </w:r>
          </w:p>
          <w:p w14:paraId="4EC537D2">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计量单位</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建筑面积体积（m2或m3）</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14:textFill>
                  <w14:solidFill>
                    <w14:schemeClr w14:val="tx1"/>
                  </w14:solidFill>
                </w14:textFill>
              </w:rPr>
              <w:t>备注</w:t>
            </w:r>
          </w:p>
          <w:p w14:paraId="40C5215D">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pP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1、权证编号：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办公大</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楼，结构：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混合</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建成年月：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2015年</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1,108.97㎡</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（详见拍卖公告明细表，具体以现场现状实物为准</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p>
          <w:p w14:paraId="50E551BF">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2</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食堂宿舍</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混合</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建成年月：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2015年</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1,142.28㎡</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p>
          <w:p w14:paraId="51A08FFB">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3</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车间1</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钢结构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建成年月：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2015年</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5,959.00㎡</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p>
          <w:p w14:paraId="5A494D00">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4</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车间2</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钢结构</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建成年月：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2015年</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4,802.60㎡</w:t>
            </w:r>
            <w:r>
              <w:rPr>
                <w:rStyle w:val="6"/>
                <w:rFonts w:hint="eastAsia" w:ascii="仿宋" w:hAnsi="仿宋" w:eastAsia="仿宋" w:cs="仿宋"/>
                <w:color w:val="000000" w:themeColor="text1"/>
                <w:sz w:val="28"/>
                <w:szCs w:val="28"/>
                <w:shd w:val="clear" w:color="auto" w:fill="auto"/>
                <w14:textFill>
                  <w14:solidFill>
                    <w14:schemeClr w14:val="tx1"/>
                  </w14:solidFill>
                </w14:textFill>
              </w:rPr>
              <w:tab/>
            </w:r>
          </w:p>
          <w:p w14:paraId="1B347ADF">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5</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洗手间</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结构：砖混，建成年月：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2015年</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58.14㎡</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p>
          <w:p w14:paraId="009CD9DB">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pPr>
            <w:r>
              <w:rPr>
                <w:rStyle w:val="6"/>
                <w:rFonts w:hint="eastAsia" w:ascii="仿宋" w:hAnsi="仿宋" w:eastAsia="仿宋" w:cs="仿宋"/>
                <w:color w:val="000000" w:themeColor="text1"/>
                <w:sz w:val="28"/>
                <w:szCs w:val="28"/>
                <w:shd w:val="clear" w:color="auto" w:fill="auto"/>
                <w14:textFill>
                  <w14:solidFill>
                    <w14:schemeClr w14:val="tx1"/>
                  </w14:solidFill>
                </w14:textFill>
              </w:rPr>
              <w:t>6</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权证编号：</w:t>
            </w:r>
            <w:r>
              <w:rPr>
                <w:rStyle w:val="6"/>
                <w:rFonts w:hint="eastAsia" w:ascii="仿宋" w:hAnsi="仿宋" w:eastAsia="仿宋" w:cs="仿宋"/>
                <w:color w:val="000000" w:themeColor="text1"/>
                <w:sz w:val="28"/>
                <w:szCs w:val="28"/>
                <w:shd w:val="clear" w:color="auto" w:fill="auto"/>
                <w14:textFill>
                  <w14:solidFill>
                    <w14:schemeClr w14:val="tx1"/>
                  </w14:solidFill>
                </w14:textFill>
              </w:rPr>
              <w:t>赣（2017）上栗县不动产权第0002220号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建筑物名称：</w:t>
            </w:r>
            <w:r>
              <w:rPr>
                <w:rStyle w:val="6"/>
                <w:rFonts w:hint="eastAsia" w:ascii="仿宋" w:hAnsi="仿宋" w:eastAsia="仿宋" w:cs="仿宋"/>
                <w:color w:val="000000" w:themeColor="text1"/>
                <w:sz w:val="28"/>
                <w:szCs w:val="28"/>
                <w:shd w:val="clear" w:color="auto" w:fill="auto"/>
                <w14:textFill>
                  <w14:solidFill>
                    <w14:schemeClr w14:val="tx1"/>
                  </w14:solidFill>
                </w14:textFill>
              </w:rPr>
              <w:t>老门卫室</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结构：</w:t>
            </w:r>
            <w:r>
              <w:rPr>
                <w:rStyle w:val="6"/>
                <w:rFonts w:hint="eastAsia" w:ascii="仿宋" w:hAnsi="仿宋" w:eastAsia="仿宋" w:cs="仿宋"/>
                <w:color w:val="000000" w:themeColor="text1"/>
                <w:sz w:val="28"/>
                <w:szCs w:val="28"/>
                <w:shd w:val="clear" w:color="auto" w:fill="auto"/>
                <w14:textFill>
                  <w14:solidFill>
                    <w14:schemeClr w14:val="tx1"/>
                  </w14:solidFill>
                </w14:textFill>
              </w:rPr>
              <w:t>砖混</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建成年月：</w:t>
            </w:r>
            <w:r>
              <w:rPr>
                <w:rStyle w:val="6"/>
                <w:rFonts w:hint="eastAsia" w:ascii="仿宋" w:hAnsi="仿宋" w:eastAsia="仿宋" w:cs="仿宋"/>
                <w:color w:val="000000" w:themeColor="text1"/>
                <w:sz w:val="28"/>
                <w:szCs w:val="28"/>
                <w:shd w:val="clear" w:color="auto" w:fill="auto"/>
                <w14:textFill>
                  <w14:solidFill>
                    <w14:schemeClr w14:val="tx1"/>
                  </w14:solidFill>
                </w14:textFill>
              </w:rPr>
              <w:t>2015年</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面积：</w:t>
            </w:r>
            <w:r>
              <w:rPr>
                <w:rStyle w:val="6"/>
                <w:rFonts w:hint="eastAsia" w:ascii="仿宋" w:hAnsi="仿宋" w:eastAsia="仿宋" w:cs="仿宋"/>
                <w:color w:val="000000" w:themeColor="text1"/>
                <w:sz w:val="28"/>
                <w:szCs w:val="28"/>
                <w:shd w:val="clear" w:color="auto" w:fill="auto"/>
                <w14:textFill>
                  <w14:solidFill>
                    <w14:schemeClr w14:val="tx1"/>
                  </w14:solidFill>
                </w14:textFill>
              </w:rPr>
              <w:t>29.36㎡</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r>
              <w:rPr>
                <w:rStyle w:val="6"/>
                <w:rFonts w:hint="eastAsia" w:ascii="仿宋" w:hAnsi="仿宋" w:eastAsia="仿宋" w:cs="仿宋"/>
                <w:color w:val="000000" w:themeColor="text1"/>
                <w:sz w:val="28"/>
                <w:szCs w:val="28"/>
                <w:shd w:val="clear" w:color="auto" w:fill="auto"/>
                <w14:textFill>
                  <w14:solidFill>
                    <w14:schemeClr w14:val="tx1"/>
                  </w14:solidFill>
                </w14:textFill>
              </w:rPr>
              <w:t>已拆除</w:t>
            </w:r>
            <w: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t>）</w:t>
            </w:r>
          </w:p>
          <w:p w14:paraId="234A53E8">
            <w:pPr>
              <w:pStyle w:val="3"/>
              <w:widowControl/>
              <w:spacing w:beforeAutospacing="0" w:afterAutospacing="0" w:line="312" w:lineRule="atLeast"/>
              <w:textAlignment w:val="center"/>
              <w:rPr>
                <w:rStyle w:val="6"/>
                <w:rFonts w:hint="eastAsia" w:ascii="仿宋" w:hAnsi="仿宋" w:eastAsia="仿宋" w:cs="仿宋"/>
                <w:color w:val="000000" w:themeColor="text1"/>
                <w:sz w:val="28"/>
                <w:szCs w:val="28"/>
                <w:shd w:val="clear" w:color="auto" w:fill="auto"/>
                <w:lang w:eastAsia="zh-CN"/>
                <w14:textFill>
                  <w14:solidFill>
                    <w14:schemeClr w14:val="tx1"/>
                  </w14:solidFill>
                </w14:textFill>
              </w:rPr>
            </w:pP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（详见拍卖公告明细表，具体以现场现状实物为准）</w:t>
            </w:r>
          </w:p>
        </w:tc>
      </w:tr>
      <w:tr w14:paraId="000D7AC5">
        <w:trPr>
          <w:trHeight w:val="2491" w:hRule="atLeast"/>
          <w:jc w:val="center"/>
        </w:trPr>
        <w:tc>
          <w:tcPr>
            <w:tcW w:w="1324" w:type="dxa"/>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3E8242DF">
            <w:pPr>
              <w:pStyle w:val="3"/>
              <w:widowControl/>
              <w:spacing w:beforeAutospacing="0" w:afterAutospacing="0" w:line="312" w:lineRule="atLeast"/>
              <w:jc w:val="center"/>
              <w:textAlignment w:val="center"/>
              <w:rPr>
                <w:rFonts w:hint="eastAsia" w:ascii="仿宋" w:hAnsi="仿宋" w:eastAsia="仿宋" w:cs="仿宋"/>
                <w:color w:val="000000" w:themeColor="text1"/>
                <w:sz w:val="30"/>
                <w:szCs w:val="30"/>
                <w:shd w:val="clear" w:color="auto" w:fill="auto"/>
                <w14:textFill>
                  <w14:solidFill>
                    <w14:schemeClr w14:val="tx1"/>
                  </w14:solidFill>
                </w14:textFill>
              </w:rPr>
            </w:pP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EC44B1B">
            <w:pPr>
              <w:pStyle w:val="3"/>
              <w:widowControl/>
              <w:spacing w:beforeAutospacing="0" w:afterAutospacing="0" w:line="312" w:lineRule="atLeast"/>
              <w:jc w:val="center"/>
              <w:textAlignment w:val="cente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pP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3、构筑物及其他辅助设施情况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33B1E29">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车间1旁搭建钢棚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钢架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514.00㎡</w:t>
            </w:r>
          </w:p>
          <w:p w14:paraId="0F2FFF62">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车间1旁搭建钢棚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钢架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268.00㎡</w:t>
            </w:r>
            <w:r>
              <w:rPr>
                <w:rFonts w:hint="eastAsia"/>
                <w:color w:val="000000" w:themeColor="text1"/>
                <w14:textFill>
                  <w14:solidFill>
                    <w14:schemeClr w14:val="tx1"/>
                  </w14:solidFill>
                </w14:textFill>
              </w:rPr>
              <w:tab/>
            </w:r>
          </w:p>
          <w:p w14:paraId="42E4AF45">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宣传栏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不锈钢</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数量：</w:t>
            </w:r>
            <w:r>
              <w:rPr>
                <w:rFonts w:hint="eastAsia"/>
                <w:color w:val="000000" w:themeColor="text1"/>
                <w14:textFill>
                  <w14:solidFill>
                    <w14:schemeClr w14:val="tx1"/>
                  </w14:solidFill>
                </w14:textFill>
              </w:rPr>
              <w:t>1.00项</w:t>
            </w:r>
          </w:p>
          <w:p w14:paraId="58ED8F10">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办公楼前简易车棚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不锈钢</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114.00㎡</w:t>
            </w:r>
          </w:p>
          <w:p w14:paraId="4D591273">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办公楼前车棚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钢架</w:t>
            </w:r>
            <w:r>
              <w:rPr>
                <w:rFonts w:hint="eastAsia"/>
                <w:color w:val="000000" w:themeColor="text1"/>
                <w14:textFill>
                  <w14:solidFill>
                    <w14:schemeClr w14:val="tx1"/>
                  </w14:solidFill>
                </w14:textFill>
              </w:rPr>
              <w:tab/>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171.00㎡</w:t>
            </w:r>
            <w:r>
              <w:rPr>
                <w:rFonts w:hint="eastAsia"/>
                <w:color w:val="000000" w:themeColor="text1"/>
                <w14:textFill>
                  <w14:solidFill>
                    <w14:schemeClr w14:val="tx1"/>
                  </w14:solidFill>
                </w14:textFill>
              </w:rPr>
              <w:tab/>
            </w:r>
          </w:p>
          <w:p w14:paraId="052E1424">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厂区内地面硬化</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含沥青道路和室外地面</w:t>
            </w:r>
            <w:r>
              <w:rPr>
                <w:rFonts w:hint="eastAsia"/>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3,064.00㎡</w:t>
            </w:r>
            <w:r>
              <w:rPr>
                <w:rFonts w:hint="eastAsia"/>
                <w:color w:val="000000" w:themeColor="text1"/>
                <w14:textFill>
                  <w14:solidFill>
                    <w14:schemeClr w14:val="tx1"/>
                  </w14:solidFill>
                </w14:textFill>
              </w:rPr>
              <w:tab/>
            </w:r>
          </w:p>
          <w:p w14:paraId="57014D78">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围墙</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砖砌</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499.60㎡</w:t>
            </w:r>
          </w:p>
          <w:p w14:paraId="0B7A96AA">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围栏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87.00㎡</w:t>
            </w:r>
          </w:p>
          <w:p w14:paraId="7FB3ABD9">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大门电动伸缩门</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高1.5m</w:t>
            </w:r>
            <w:r>
              <w:rPr>
                <w:rFonts w:hint="eastAsia"/>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11.50㎡</w:t>
            </w:r>
            <w:r>
              <w:rPr>
                <w:rFonts w:hint="eastAsia"/>
                <w:color w:val="000000" w:themeColor="text1"/>
                <w14:textFill>
                  <w14:solidFill>
                    <w14:schemeClr w14:val="tx1"/>
                  </w14:solidFill>
                </w14:textFill>
              </w:rPr>
              <w:tab/>
            </w:r>
          </w:p>
          <w:p w14:paraId="6D9C9E5D">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厂区内电动伸缩门</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高1.5m</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8.00㎡</w:t>
            </w:r>
            <w:r>
              <w:rPr>
                <w:rFonts w:hint="eastAsia"/>
                <w:color w:val="000000" w:themeColor="text1"/>
                <w14:textFill>
                  <w14:solidFill>
                    <w14:schemeClr w14:val="tx1"/>
                  </w14:solidFill>
                </w14:textFill>
              </w:rPr>
              <w:tab/>
            </w:r>
          </w:p>
          <w:p w14:paraId="514DCAA1">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旗杆（含底座水池）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共5根旗杆，底座11.50m*5.2m带喷泉</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1.00项</w:t>
            </w:r>
          </w:p>
          <w:p w14:paraId="550F1F90">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12</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办公和生活区绿化</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3,646.00㎡</w:t>
            </w:r>
            <w:r>
              <w:rPr>
                <w:rFonts w:hint="eastAsia"/>
                <w:color w:val="000000" w:themeColor="text1"/>
                <w14:textFill>
                  <w14:solidFill>
                    <w14:schemeClr w14:val="tx1"/>
                  </w14:solidFill>
                </w14:textFill>
              </w:rPr>
              <w:tab/>
            </w:r>
          </w:p>
          <w:p w14:paraId="7D386EF6">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13</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厂房四周花池绿化</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493.00㎡</w:t>
            </w:r>
            <w:r>
              <w:rPr>
                <w:rFonts w:hint="eastAsia"/>
                <w:color w:val="000000" w:themeColor="text1"/>
                <w14:textFill>
                  <w14:solidFill>
                    <w14:schemeClr w14:val="tx1"/>
                  </w14:solidFill>
                </w14:textFill>
              </w:rPr>
              <w:tab/>
            </w:r>
          </w:p>
          <w:p w14:paraId="12DFACB6">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菜土池子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砖砌</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2024年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40.60㎡</w:t>
            </w:r>
            <w:r>
              <w:rPr>
                <w:rFonts w:hint="eastAsia"/>
                <w:color w:val="000000" w:themeColor="text1"/>
                <w14:textFill>
                  <w14:solidFill>
                    <w14:schemeClr w14:val="tx1"/>
                  </w14:solidFill>
                </w14:textFill>
              </w:rPr>
              <w:tab/>
            </w:r>
          </w:p>
          <w:p w14:paraId="172DE9B9">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厂外电动车棚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钢棚</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2022年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110.00㎡</w:t>
            </w:r>
            <w:r>
              <w:rPr>
                <w:rFonts w:hint="eastAsia"/>
                <w:color w:val="000000" w:themeColor="text1"/>
                <w14:textFill>
                  <w14:solidFill>
                    <w14:schemeClr w14:val="tx1"/>
                  </w14:solidFill>
                </w14:textFill>
              </w:rPr>
              <w:tab/>
            </w:r>
          </w:p>
          <w:p w14:paraId="7E490125">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16</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洗手间旁板房</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19.00㎡</w:t>
            </w:r>
            <w:r>
              <w:rPr>
                <w:rFonts w:hint="eastAsia"/>
                <w:color w:val="000000" w:themeColor="text1"/>
                <w14:textFill>
                  <w14:solidFill>
                    <w14:schemeClr w14:val="tx1"/>
                  </w14:solidFill>
                </w14:textFill>
              </w:rPr>
              <w:tab/>
            </w:r>
          </w:p>
          <w:p w14:paraId="25E4CBD7">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食堂侧面铁架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28.00㎡</w:t>
            </w:r>
            <w:r>
              <w:rPr>
                <w:rFonts w:hint="eastAsia"/>
                <w:color w:val="000000" w:themeColor="text1"/>
                <w14:textFill>
                  <w14:solidFill>
                    <w14:schemeClr w14:val="tx1"/>
                  </w14:solidFill>
                </w14:textFill>
              </w:rPr>
              <w:tab/>
            </w:r>
          </w:p>
          <w:p w14:paraId="109C109A">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18</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食堂门前葡萄架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铁架</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150.00㎡</w:t>
            </w:r>
            <w:r>
              <w:rPr>
                <w:rFonts w:hint="eastAsia"/>
                <w:color w:val="000000" w:themeColor="text1"/>
                <w14:textFill>
                  <w14:solidFill>
                    <w14:schemeClr w14:val="tx1"/>
                  </w14:solidFill>
                </w14:textFill>
              </w:rPr>
              <w:tab/>
            </w:r>
          </w:p>
          <w:p w14:paraId="28F33E2D">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19</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户外健身区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含场地硬化和健身设施</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47.00㎡</w:t>
            </w:r>
            <w:r>
              <w:rPr>
                <w:rFonts w:hint="eastAsia"/>
                <w:color w:val="000000" w:themeColor="text1"/>
                <w14:textFill>
                  <w14:solidFill>
                    <w14:schemeClr w14:val="tx1"/>
                  </w14:solidFill>
                </w14:textFill>
              </w:rPr>
              <w:tab/>
            </w:r>
          </w:p>
          <w:p w14:paraId="28BA981C">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20</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洗手间旁杂物间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砖混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2015年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12.00㎡</w:t>
            </w:r>
            <w:r>
              <w:rPr>
                <w:rFonts w:hint="eastAsia"/>
                <w:color w:val="000000" w:themeColor="text1"/>
                <w14:textFill>
                  <w14:solidFill>
                    <w14:schemeClr w14:val="tx1"/>
                  </w14:solidFill>
                </w14:textFill>
              </w:rPr>
              <w:tab/>
            </w:r>
          </w:p>
          <w:p w14:paraId="7AA43944">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新门卫岗亭</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2023年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6.51㎡</w:t>
            </w:r>
            <w:r>
              <w:rPr>
                <w:rFonts w:hint="eastAsia"/>
                <w:color w:val="000000" w:themeColor="text1"/>
                <w14:textFill>
                  <w14:solidFill>
                    <w14:schemeClr w14:val="tx1"/>
                  </w14:solidFill>
                </w14:textFill>
              </w:rPr>
              <w:tab/>
            </w:r>
          </w:p>
          <w:p w14:paraId="5F44833E">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22</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厂区大门柱子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2023年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数量：</w:t>
            </w:r>
            <w:r>
              <w:rPr>
                <w:rFonts w:hint="eastAsia"/>
                <w:color w:val="000000" w:themeColor="text1"/>
                <w14:textFill>
                  <w14:solidFill>
                    <w14:schemeClr w14:val="tx1"/>
                  </w14:solidFill>
                </w14:textFill>
              </w:rPr>
              <w:t>2.00座</w:t>
            </w:r>
          </w:p>
          <w:p w14:paraId="0880EF38">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23</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微型消防站</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结构：</w:t>
            </w:r>
            <w:r>
              <w:rPr>
                <w:rFonts w:hint="eastAsia"/>
                <w:color w:val="000000" w:themeColor="text1"/>
                <w14:textFill>
                  <w14:solidFill>
                    <w14:schemeClr w14:val="tx1"/>
                  </w14:solidFill>
                </w14:textFill>
              </w:rPr>
              <w:t>钢结构+太阳能板外墙</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建成年月：</w:t>
            </w:r>
            <w:r>
              <w:rPr>
                <w:rFonts w:hint="eastAsia"/>
                <w:color w:val="000000" w:themeColor="text1"/>
                <w14:textFill>
                  <w14:solidFill>
                    <w14:schemeClr w14:val="tx1"/>
                  </w14:solidFill>
                </w14:textFill>
              </w:rPr>
              <w:t>2023年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面积：</w:t>
            </w:r>
            <w:r>
              <w:rPr>
                <w:rFonts w:hint="eastAsia"/>
                <w:color w:val="000000" w:themeColor="text1"/>
                <w14:textFill>
                  <w14:solidFill>
                    <w14:schemeClr w14:val="tx1"/>
                  </w14:solidFill>
                </w14:textFill>
              </w:rPr>
              <w:t>18.30㎡</w:t>
            </w:r>
            <w:r>
              <w:rPr>
                <w:rFonts w:hint="eastAsia"/>
                <w:color w:val="000000" w:themeColor="text1"/>
                <w14:textFill>
                  <w14:solidFill>
                    <w14:schemeClr w14:val="tx1"/>
                  </w14:solidFill>
                </w14:textFill>
              </w:rPr>
              <w:tab/>
            </w:r>
          </w:p>
          <w:p w14:paraId="5C42D58E">
            <w:pPr>
              <w:pStyle w:val="2"/>
              <w:rPr>
                <w:rFonts w:hint="eastAsia"/>
                <w:color w:val="000000" w:themeColor="text1"/>
                <w14:textFill>
                  <w14:solidFill>
                    <w14:schemeClr w14:val="tx1"/>
                  </w14:solidFill>
                </w14:textFill>
              </w:rPr>
            </w:pP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（详见拍卖公告明细表，具体以现场现状实物为准）</w:t>
            </w:r>
          </w:p>
        </w:tc>
      </w:tr>
      <w:tr w14:paraId="60F10F92">
        <w:trPr>
          <w:trHeight w:val="2491" w:hRule="atLeast"/>
          <w:jc w:val="center"/>
        </w:trPr>
        <w:tc>
          <w:tcPr>
            <w:tcW w:w="1324" w:type="dxa"/>
            <w:tcBorders>
              <w:top w:val="single" w:color="000000" w:sz="8" w:space="0"/>
              <w:left w:val="single" w:color="000000" w:sz="8" w:space="0"/>
              <w:right w:val="single" w:color="000000" w:sz="8" w:space="0"/>
            </w:tcBorders>
            <w:shd w:val="clear" w:color="auto" w:fill="FFFFFF"/>
            <w:tcMar>
              <w:left w:w="108" w:type="dxa"/>
              <w:right w:w="108" w:type="dxa"/>
            </w:tcMar>
            <w:vAlign w:val="center"/>
          </w:tcPr>
          <w:p w14:paraId="7D0034CC">
            <w:pPr>
              <w:pStyle w:val="3"/>
              <w:widowControl/>
              <w:spacing w:beforeAutospacing="0" w:afterAutospacing="0" w:line="312" w:lineRule="atLeast"/>
              <w:jc w:val="center"/>
              <w:textAlignment w:val="center"/>
              <w:rPr>
                <w:rFonts w:hint="eastAsia" w:ascii="仿宋" w:hAnsi="仿宋" w:eastAsia="仿宋" w:cs="仿宋"/>
                <w:color w:val="000000" w:themeColor="text1"/>
                <w:sz w:val="30"/>
                <w:szCs w:val="30"/>
                <w:shd w:val="clear" w:color="auto" w:fill="auto"/>
                <w14:textFill>
                  <w14:solidFill>
                    <w14:schemeClr w14:val="tx1"/>
                  </w14:solidFill>
                </w14:textFill>
              </w:rPr>
            </w:pP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1716F80">
            <w:pPr>
              <w:pStyle w:val="3"/>
              <w:widowControl/>
              <w:spacing w:beforeAutospacing="0" w:afterAutospacing="0" w:line="312" w:lineRule="atLeast"/>
              <w:jc w:val="center"/>
              <w:textAlignment w:val="cente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pP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办公设备、家具情况</w:t>
            </w:r>
          </w:p>
        </w:tc>
        <w:tc>
          <w:tcPr>
            <w:tcW w:w="679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1ABAD607">
            <w:pPr>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高清监控</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含主机1套、摄像头2个、布线安装</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厂区照明工程</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含太阳能路灯、景观灯、照明线路安装等</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办公楼顶层光伏设备</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宿舍楼顶光伏设备</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葡萄架上光伏设备</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喷泉光伏设备</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草坪上光伏设备</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华凌空调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挂式空调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小天鹅空调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挂式空调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蒸气锅</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消毒柜</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台球桌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包箱大餐桌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含8张餐椅、茶水柜、屏风等</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食堂大厅餐桌椅</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跑步机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沙发</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台式电脑</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打印机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木质</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铁皮文件柜</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格力空调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挂式</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格力空调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立式</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会客室沙发</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布艺单人沙发</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电视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墙面挂画</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办公桌椅含桌椅书柜</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茶桌</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皮质沙发</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博古架</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办公桌椅含桌椅书柜</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木沙发含沙发茶几边几</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鱼缸、</w:t>
            </w:r>
            <w:r>
              <w:rPr>
                <w:rFonts w:hint="eastAsia"/>
                <w:color w:val="000000" w:themeColor="text1"/>
                <w14:textFill>
                  <w14:solidFill>
                    <w14:schemeClr w14:val="tx1"/>
                  </w14:solidFill>
                </w14:textFill>
              </w:rPr>
              <w:t>茶水柜</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保险柜</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美的空调</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挂式</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赣JR3283江铃皮卡车</w:t>
            </w:r>
            <w:r>
              <w:rPr>
                <w:rFonts w:hint="eastAsia"/>
                <w:color w:val="000000" w:themeColor="text1"/>
                <w:lang w:val="en-US" w:eastAsia="zh-CN"/>
                <w14:textFill>
                  <w14:solidFill>
                    <w14:schemeClr w14:val="tx1"/>
                  </w14:solidFill>
                </w14:textFill>
              </w:rPr>
              <w:t>等共计42项。</w:t>
            </w:r>
          </w:p>
          <w:p w14:paraId="4B9BD13C">
            <w:pPr>
              <w:pStyle w:val="2"/>
              <w:rPr>
                <w:rFonts w:hint="eastAsia"/>
                <w:color w:val="000000" w:themeColor="text1"/>
                <w14:textFill>
                  <w14:solidFill>
                    <w14:schemeClr w14:val="tx1"/>
                  </w14:solidFill>
                </w14:textFill>
              </w:rPr>
            </w:pPr>
            <w:r>
              <w:rPr>
                <w:rStyle w:val="6"/>
                <w:rFonts w:hint="eastAsia" w:ascii="仿宋" w:hAnsi="仿宋" w:eastAsia="仿宋" w:cs="仿宋"/>
                <w:color w:val="000000" w:themeColor="text1"/>
                <w:sz w:val="28"/>
                <w:szCs w:val="28"/>
                <w:shd w:val="clear" w:color="auto" w:fill="auto"/>
                <w:lang w:val="en-US" w:eastAsia="zh-CN"/>
                <w14:textFill>
                  <w14:solidFill>
                    <w14:schemeClr w14:val="tx1"/>
                  </w14:solidFill>
                </w14:textFill>
              </w:rPr>
              <w:t>（详见拍卖公告明细表，具体以现场现状实物为准）</w:t>
            </w:r>
          </w:p>
        </w:tc>
      </w:tr>
      <w:tr w14:paraId="243E8AAD">
        <w:trPr>
          <w:trHeight w:val="519"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6EB9C45">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竞买人资格</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41FE305C">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竞买人须具有完全民事行为能力，符合竞买条件。</w:t>
            </w:r>
          </w:p>
        </w:tc>
      </w:tr>
      <w:tr w14:paraId="7037640B">
        <w:trPr>
          <w:trHeight w:val="285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3E8F99D8">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税费负担</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768C7FE">
            <w:pPr>
              <w:pStyle w:val="3"/>
              <w:widowControl/>
              <w:spacing w:beforeAutospacing="0" w:afterAutospacing="0" w:line="312" w:lineRule="atLeast"/>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拍卖成交后，拍卖所涉及的一切税、费（包括但不限于所得税、土地增值税、增值税及其附加、印花税、契税、备案手续费、权证费、保管费等）和所需补缴的相关税、费及有可能存在的其他费用</w:t>
            </w:r>
            <w:r>
              <w:rPr>
                <w:rFonts w:hint="eastAsia" w:ascii="仿宋" w:hAnsi="仿宋" w:eastAsia="仿宋" w:cs="仿宋"/>
                <w:color w:val="000000" w:themeColor="text1"/>
                <w:sz w:val="30"/>
                <w:szCs w:val="30"/>
                <w:shd w:val="clear" w:color="auto" w:fill="auto"/>
                <w:lang w:val="en-US" w:eastAsia="zh-CN"/>
                <w14:textFill>
                  <w14:solidFill>
                    <w14:schemeClr w14:val="tx1"/>
                  </w14:solidFill>
                </w14:textFill>
              </w:rPr>
              <w:t>等</w:t>
            </w:r>
            <w:r>
              <w:rPr>
                <w:rFonts w:hint="eastAsia" w:ascii="仿宋" w:hAnsi="仿宋" w:eastAsia="仿宋" w:cs="仿宋"/>
                <w:color w:val="000000" w:themeColor="text1"/>
                <w:sz w:val="30"/>
                <w:szCs w:val="30"/>
                <w:shd w:val="clear" w:color="auto" w:fill="auto"/>
                <w14:textFill>
                  <w14:solidFill>
                    <w14:schemeClr w14:val="tx1"/>
                  </w14:solidFill>
                </w14:textFill>
              </w:rPr>
              <w:t>全部由</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承担（依法由标的物所有人承担的税费也由</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承担）。</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在竞买前可向所涉相关政府部门进行咨询、了解，确认成交后应缴纳的税费标准。未明确缴费义务人的费用也由</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承担，具体费用请竞买人至相关单位自行咨询了解。因竞买人的原因产生的税款滞纳金，全部由竞买人承担。</w:t>
            </w:r>
          </w:p>
          <w:p w14:paraId="41DA4647">
            <w:pPr>
              <w:pStyle w:val="3"/>
              <w:widowControl/>
              <w:spacing w:beforeAutospacing="0" w:afterAutospacing="0" w:line="312" w:lineRule="atLeast"/>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在交付移交资产过程中，</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及为</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施工人员的人身安全由</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负责；如拿取标的资产以外的物品，</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应予以返还并承担相应法律责任，如造成损坏由</w:t>
            </w:r>
            <w:r>
              <w:rPr>
                <w:rFonts w:hint="eastAsia" w:ascii="仿宋" w:hAnsi="仿宋" w:eastAsia="仿宋" w:cs="仿宋"/>
                <w:color w:val="000000" w:themeColor="text1"/>
                <w:sz w:val="30"/>
                <w:szCs w:val="30"/>
                <w:shd w:val="clear" w:color="auto" w:fill="auto"/>
                <w:lang w:eastAsia="zh-CN"/>
                <w14:textFill>
                  <w14:solidFill>
                    <w14:schemeClr w14:val="tx1"/>
                  </w14:solidFill>
                </w14:textFill>
              </w:rPr>
              <w:t>竞买人</w:t>
            </w:r>
            <w:r>
              <w:rPr>
                <w:rFonts w:hint="eastAsia" w:ascii="仿宋" w:hAnsi="仿宋" w:eastAsia="仿宋" w:cs="仿宋"/>
                <w:color w:val="000000" w:themeColor="text1"/>
                <w:sz w:val="30"/>
                <w:szCs w:val="30"/>
                <w:shd w:val="clear" w:color="auto" w:fill="auto"/>
                <w14:textFill>
                  <w14:solidFill>
                    <w14:schemeClr w14:val="tx1"/>
                  </w14:solidFill>
                </w14:textFill>
              </w:rPr>
              <w:t>进行赔偿。</w:t>
            </w:r>
          </w:p>
        </w:tc>
      </w:tr>
      <w:tr w14:paraId="02790411">
        <w:trPr>
          <w:trHeight w:val="1104"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56AFE896">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瑕疵说明</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038FE9B">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b/>
                <w:bCs/>
                <w:color w:val="000000" w:themeColor="text1"/>
                <w:sz w:val="30"/>
                <w:szCs w:val="30"/>
                <w:shd w:val="clear" w:color="auto" w:fill="auto"/>
                <w14:textFill>
                  <w14:solidFill>
                    <w14:schemeClr w14:val="tx1"/>
                  </w14:solidFill>
                </w14:textFill>
              </w:rPr>
              <w:t>除拍卖文件披露外，竞买人应对拍卖标的的实际状况以及瑕疵（含显性、隐性瑕疵）等自行调查核实，并承担全部风险。</w:t>
            </w:r>
          </w:p>
        </w:tc>
      </w:tr>
      <w:tr w14:paraId="0F036C84">
        <w:trPr>
          <w:trHeight w:val="868" w:hRule="atLeast"/>
          <w:jc w:val="center"/>
        </w:trPr>
        <w:tc>
          <w:tcPr>
            <w:tcW w:w="1324"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750F48B0">
            <w:pPr>
              <w:pStyle w:val="3"/>
              <w:widowControl/>
              <w:spacing w:beforeAutospacing="0" w:afterAutospacing="0" w:line="312" w:lineRule="atLeast"/>
              <w:jc w:val="center"/>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特别提醒</w:t>
            </w:r>
          </w:p>
        </w:tc>
        <w:tc>
          <w:tcPr>
            <w:tcW w:w="7916" w:type="dxa"/>
            <w:gridSpan w:val="2"/>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2F313820">
            <w:pPr>
              <w:pStyle w:val="3"/>
              <w:widowControl/>
              <w:spacing w:beforeAutospacing="0" w:afterAutospacing="0" w:line="312" w:lineRule="atLeast"/>
              <w:jc w:val="center"/>
              <w:textAlignment w:val="center"/>
              <w:rPr>
                <w:rFonts w:hint="eastAsia"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在拍卖竞价前请务必再仔细阅读本管理人发布的《竞买公</w:t>
            </w:r>
          </w:p>
          <w:p w14:paraId="6802B3A3">
            <w:pPr>
              <w:pStyle w:val="3"/>
              <w:widowControl/>
              <w:spacing w:beforeAutospacing="0" w:afterAutospacing="0" w:line="312" w:lineRule="atLeast"/>
              <w:jc w:val="both"/>
              <w:textAlignment w:val="center"/>
              <w:rPr>
                <w:rFonts w:ascii="仿宋" w:hAnsi="仿宋" w:eastAsia="仿宋" w:cs="仿宋"/>
                <w:color w:val="000000" w:themeColor="text1"/>
                <w:sz w:val="30"/>
                <w:szCs w:val="30"/>
                <w:shd w:val="clear" w:color="auto" w:fill="auto"/>
                <w14:textFill>
                  <w14:solidFill>
                    <w14:schemeClr w14:val="tx1"/>
                  </w14:solidFill>
                </w14:textFill>
              </w:rPr>
            </w:pPr>
            <w:r>
              <w:rPr>
                <w:rFonts w:hint="eastAsia" w:ascii="仿宋" w:hAnsi="仿宋" w:eastAsia="仿宋" w:cs="仿宋"/>
                <w:color w:val="000000" w:themeColor="text1"/>
                <w:sz w:val="30"/>
                <w:szCs w:val="30"/>
                <w:shd w:val="clear" w:color="auto" w:fill="auto"/>
                <w14:textFill>
                  <w14:solidFill>
                    <w14:schemeClr w14:val="tx1"/>
                  </w14:solidFill>
                </w14:textFill>
              </w:rPr>
              <w:t>告》《竞买须知》《标的物调查表》（仅供参考）</w:t>
            </w:r>
          </w:p>
        </w:tc>
      </w:tr>
    </w:tbl>
    <w:p w14:paraId="71F57CD2">
      <w:pPr>
        <w:pStyle w:val="2"/>
        <w:rPr>
          <w:rFonts w:ascii="仿宋" w:hAnsi="仿宋" w:eastAsia="仿宋" w:cs="仿宋"/>
          <w:color w:val="000000" w:themeColor="text1"/>
          <w:sz w:val="30"/>
          <w:szCs w:val="30"/>
          <w14:textFill>
            <w14:solidFill>
              <w14:schemeClr w14:val="tx1"/>
            </w14:solidFill>
          </w14:textFill>
        </w:rPr>
      </w:pPr>
    </w:p>
    <w:p w14:paraId="218B0834">
      <w:pPr>
        <w:rPr>
          <w:color w:val="000000" w:themeColor="text1"/>
          <w14:textFill>
            <w14:solidFill>
              <w14:schemeClr w14:val="tx1"/>
            </w14:solidFill>
          </w14:textFill>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D9AD8"/>
    <w:rsid w:val="2B9570EA"/>
    <w:rsid w:val="2FDF9255"/>
    <w:rsid w:val="3CE7AE2D"/>
    <w:rsid w:val="4D28B948"/>
    <w:rsid w:val="4DCD123F"/>
    <w:rsid w:val="4EAF824C"/>
    <w:rsid w:val="5D7C9482"/>
    <w:rsid w:val="5DFE941E"/>
    <w:rsid w:val="67BFDA2E"/>
    <w:rsid w:val="6D3F5CCC"/>
    <w:rsid w:val="6F7D9AD8"/>
    <w:rsid w:val="6FF27D78"/>
    <w:rsid w:val="77B7AE6F"/>
    <w:rsid w:val="77DF7309"/>
    <w:rsid w:val="7E598F1E"/>
    <w:rsid w:val="BDFEF9B0"/>
    <w:rsid w:val="BEBFB0B3"/>
    <w:rsid w:val="BEDC6375"/>
    <w:rsid w:val="BF5F4525"/>
    <w:rsid w:val="BFDB92EF"/>
    <w:rsid w:val="DE7D17F5"/>
    <w:rsid w:val="DFBC6BCD"/>
    <w:rsid w:val="ECFF652D"/>
    <w:rsid w:val="EDBF00F0"/>
    <w:rsid w:val="F7A4ED95"/>
    <w:rsid w:val="FFB7BB40"/>
    <w:rsid w:val="FFBDB666"/>
    <w:rsid w:val="FFEFC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keepNext/>
      <w:keepLines/>
      <w:spacing w:line="372" w:lineRule="auto"/>
      <w:outlineLvl w:val="3"/>
    </w:pPr>
    <w:rPr>
      <w:rFonts w:ascii="Arial" w:hAnsi="Arial" w:eastAsia="黑体"/>
      <w:sz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font21"/>
    <w:basedOn w:val="5"/>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6</TotalTime>
  <ScaleCrop>false</ScaleCrop>
  <LinksUpToDate>false</LinksUpToDate>
  <CharactersWithSpaces>0</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2024-08-12T13:24:00Z</dcterms:created>
  <dc:creator>钟艳萍律师</dc:creator>
  <cp:lastModifiedBy>钟艳萍律师</cp:lastModifiedBy>
  <dcterms:modified xsi:type="dcterms:W3CDTF">2024-09-11T09:13:39Z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D6770FE2D1805909C3EEE0660192ED1B_43</vt:lpwstr>
  </property>
</Properties>
</file>