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BC0F5">
      <w:pPr>
        <w:spacing w:line="440" w:lineRule="exact"/>
        <w:ind w:firstLine="723" w:firstLineChars="200"/>
        <w:jc w:val="center"/>
        <w:rPr>
          <w:rFonts w:eastAsiaTheme="minorEastAsia"/>
          <w:b/>
          <w:sz w:val="36"/>
          <w:szCs w:val="36"/>
        </w:rPr>
      </w:pPr>
      <w:r>
        <w:rPr>
          <w:rFonts w:eastAsiaTheme="minorEastAsia"/>
          <w:b/>
          <w:sz w:val="36"/>
          <w:szCs w:val="36"/>
        </w:rPr>
        <w:t>债权申报须知</w:t>
      </w:r>
    </w:p>
    <w:p w14:paraId="04365C63">
      <w:pPr>
        <w:spacing w:line="440" w:lineRule="exact"/>
        <w:rPr>
          <w:rFonts w:eastAsiaTheme="minorEastAsia"/>
          <w:b/>
          <w:sz w:val="24"/>
          <w:szCs w:val="24"/>
        </w:rPr>
      </w:pPr>
    </w:p>
    <w:p w14:paraId="3482EC3A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lang w:eastAsia="zh-Hans"/>
        </w:rPr>
        <w:t>江苏省</w:t>
      </w:r>
      <w:r>
        <w:rPr>
          <w:rFonts w:eastAsia="仿宋"/>
          <w:sz w:val="28"/>
          <w:szCs w:val="28"/>
        </w:rPr>
        <w:t>无锡市</w:t>
      </w:r>
      <w:r>
        <w:rPr>
          <w:rFonts w:hint="eastAsia" w:eastAsia="仿宋"/>
          <w:sz w:val="28"/>
          <w:szCs w:val="28"/>
          <w:lang w:eastAsia="zh-CN"/>
        </w:rPr>
        <w:t>惠山区人民</w:t>
      </w:r>
      <w:r>
        <w:rPr>
          <w:rFonts w:eastAsia="仿宋"/>
          <w:sz w:val="28"/>
          <w:szCs w:val="28"/>
        </w:rPr>
        <w:t>法院于202</w:t>
      </w:r>
      <w:r>
        <w:rPr>
          <w:rFonts w:hint="eastAsia" w:eastAsia="仿宋"/>
          <w:sz w:val="28"/>
          <w:szCs w:val="28"/>
        </w:rPr>
        <w:t>4</w:t>
      </w:r>
      <w:r>
        <w:rPr>
          <w:rFonts w:eastAsia="仿宋"/>
          <w:sz w:val="28"/>
          <w:szCs w:val="28"/>
        </w:rPr>
        <w:t>年</w:t>
      </w:r>
      <w:r>
        <w:rPr>
          <w:rFonts w:hint="eastAsia" w:eastAsia="仿宋"/>
          <w:sz w:val="28"/>
          <w:szCs w:val="28"/>
          <w:lang w:val="en-US" w:eastAsia="zh-CN"/>
        </w:rPr>
        <w:t>8</w:t>
      </w:r>
      <w:r>
        <w:rPr>
          <w:rFonts w:eastAsia="仿宋"/>
          <w:sz w:val="28"/>
          <w:szCs w:val="28"/>
        </w:rPr>
        <w:t>月</w:t>
      </w:r>
      <w:r>
        <w:rPr>
          <w:rFonts w:hint="eastAsia" w:eastAsia="仿宋"/>
          <w:sz w:val="28"/>
          <w:szCs w:val="28"/>
          <w:lang w:val="en-US" w:eastAsia="zh-CN"/>
        </w:rPr>
        <w:t>21</w:t>
      </w:r>
      <w:r>
        <w:rPr>
          <w:rFonts w:eastAsia="仿宋"/>
          <w:sz w:val="28"/>
          <w:szCs w:val="28"/>
        </w:rPr>
        <w:t>日裁定受理</w:t>
      </w:r>
      <w:r>
        <w:rPr>
          <w:rFonts w:hint="eastAsia" w:eastAsia="仿宋"/>
          <w:sz w:val="28"/>
          <w:szCs w:val="28"/>
          <w:lang w:eastAsia="zh-CN"/>
        </w:rPr>
        <w:t>无锡恺信石墨烯应用科技有限公司</w:t>
      </w:r>
      <w:r>
        <w:rPr>
          <w:rFonts w:eastAsia="仿宋"/>
          <w:sz w:val="28"/>
          <w:szCs w:val="28"/>
        </w:rPr>
        <w:t>（下称“</w:t>
      </w:r>
      <w:r>
        <w:rPr>
          <w:rFonts w:hint="eastAsia" w:eastAsia="仿宋"/>
          <w:sz w:val="28"/>
          <w:szCs w:val="28"/>
          <w:lang w:eastAsia="zh-CN"/>
        </w:rPr>
        <w:t>恺信公司</w:t>
      </w:r>
      <w:r>
        <w:rPr>
          <w:rFonts w:eastAsia="仿宋"/>
          <w:sz w:val="28"/>
          <w:szCs w:val="28"/>
        </w:rPr>
        <w:t>”）破产清算案件，并指定江苏法德东恒（无锡）律师事务所为</w:t>
      </w:r>
      <w:r>
        <w:rPr>
          <w:rFonts w:hint="eastAsia" w:eastAsia="仿宋"/>
          <w:sz w:val="28"/>
          <w:szCs w:val="28"/>
          <w:lang w:eastAsia="zh-CN"/>
        </w:rPr>
        <w:t>恺信公司</w:t>
      </w:r>
      <w:r>
        <w:rPr>
          <w:rFonts w:eastAsia="仿宋"/>
          <w:sz w:val="28"/>
          <w:szCs w:val="28"/>
        </w:rPr>
        <w:t>管理人（下称“管理人”）。</w:t>
      </w:r>
    </w:p>
    <w:p w14:paraId="1DAD31A2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为保证债权申报工作的顺利进行，现就申报相关事宜说明如下：</w:t>
      </w:r>
    </w:p>
    <w:p w14:paraId="1855CF0C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一、根据《企业破产法》的规定，破产债权是指人民法院受理破产申请时对债务人享有的债权。债权人在申报债权时应注意以下几点：</w:t>
      </w:r>
    </w:p>
    <w:p w14:paraId="2EF4C5DE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1.未到期的债权，在破产申请受理时视为债权到期。</w:t>
      </w:r>
    </w:p>
    <w:p w14:paraId="7F57AC90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2.附利息的债权，自破产申请受理时起停止计息，即利息计算到202</w:t>
      </w:r>
      <w:r>
        <w:rPr>
          <w:rFonts w:hint="eastAsia" w:eastAsia="仿宋"/>
          <w:sz w:val="28"/>
          <w:szCs w:val="28"/>
        </w:rPr>
        <w:t>4</w:t>
      </w:r>
      <w:r>
        <w:rPr>
          <w:rFonts w:eastAsia="仿宋"/>
          <w:sz w:val="28"/>
          <w:szCs w:val="28"/>
        </w:rPr>
        <w:t>年</w:t>
      </w:r>
      <w:r>
        <w:rPr>
          <w:rFonts w:hint="eastAsia" w:eastAsia="仿宋"/>
          <w:sz w:val="28"/>
          <w:szCs w:val="28"/>
          <w:lang w:eastAsia="zh-CN"/>
        </w:rPr>
        <w:t>8月21日</w:t>
      </w:r>
      <w:r>
        <w:rPr>
          <w:rFonts w:eastAsia="仿宋"/>
          <w:sz w:val="28"/>
          <w:szCs w:val="28"/>
        </w:rPr>
        <w:t>。</w:t>
      </w:r>
    </w:p>
    <w:p w14:paraId="61840520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3.附条件/附期限或诉讼/仲裁未决的债权，债权人均可以申报。</w:t>
      </w:r>
    </w:p>
    <w:p w14:paraId="20C57D5C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4.债权人申报债权时，应当书面说明债权的数额和有无财产担保情况，并提交有关证据；申报的债权是连带债权的，应当说明。</w:t>
      </w:r>
    </w:p>
    <w:p w14:paraId="5366F901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5.连带债权人可以由其中一人代表全体连带债权人申报债权，也可以共同申报债权。</w:t>
      </w:r>
    </w:p>
    <w:p w14:paraId="306B7940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6.债务人的保证人或者其他连带债务人已经代替债务人清偿债务的，可就其对债务人的求偿权申报债权。</w:t>
      </w:r>
    </w:p>
    <w:p w14:paraId="26175695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7.债务人的保证人或者其他连带债务人尚未代替债务人清偿债务的，以其对债务人的将来求偿权申报债权，但债权人已经向管理人申报全部债权的除外。</w:t>
      </w:r>
    </w:p>
    <w:p w14:paraId="68614CCC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8.管理人或者债务人依照《企业破产法》规定解除合同的，对方当事人以因合同解除所产生的损害赔偿请求权申报债权。</w:t>
      </w:r>
    </w:p>
    <w:p w14:paraId="77CC1090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9.债务人是委托合同的委托人，被裁定适用《企业破产法》规定的程序，受托人不知该事实，继续处理委托事务的，受托人以由此产生的请求权申报债权。</w:t>
      </w:r>
    </w:p>
    <w:p w14:paraId="6AA45813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10.债务人是票据的出票人，被裁定适用《企业破产法》规定的程序，该票据的付款人继续付款或者承兑的，付款人以由此产生的请求权申报债权。</w:t>
      </w:r>
    </w:p>
    <w:p w14:paraId="3DD3C32B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11.法律规定其他可以申报的债权，债权人可以申报。</w:t>
      </w:r>
    </w:p>
    <w:p w14:paraId="7FF32288">
      <w:pPr>
        <w:spacing w:line="420" w:lineRule="exac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二、根据《企业破产法》规定，未申报/逾期申报债权的法律后果主要包括：</w:t>
      </w:r>
    </w:p>
    <w:p w14:paraId="2D80BA69">
      <w:pPr>
        <w:spacing w:line="420" w:lineRule="exac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1.债权人未依照《企业破产法》申报债权的，不得依照《企业破产法》规定的程序行使权利。</w:t>
      </w:r>
    </w:p>
    <w:p w14:paraId="3E7C237D">
      <w:pPr>
        <w:tabs>
          <w:tab w:val="left" w:pos="3990"/>
        </w:tabs>
        <w:spacing w:line="420" w:lineRule="exac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2.在人民法院确定的</w:t>
      </w:r>
      <w:r>
        <w:rPr>
          <w:rFonts w:eastAsia="仿宋"/>
          <w:b/>
          <w:bCs/>
          <w:sz w:val="28"/>
          <w:szCs w:val="28"/>
        </w:rPr>
        <w:t>债权申报期限</w:t>
      </w:r>
      <w:r>
        <w:rPr>
          <w:rFonts w:eastAsia="仿宋"/>
          <w:b/>
          <w:bCs/>
          <w:sz w:val="28"/>
          <w:szCs w:val="28"/>
          <w:highlight w:val="none"/>
        </w:rPr>
        <w:t>（202</w:t>
      </w:r>
      <w:r>
        <w:rPr>
          <w:rFonts w:hint="eastAsia" w:eastAsia="仿宋"/>
          <w:b/>
          <w:bCs/>
          <w:sz w:val="28"/>
          <w:szCs w:val="28"/>
          <w:highlight w:val="none"/>
        </w:rPr>
        <w:t>4</w:t>
      </w:r>
      <w:r>
        <w:rPr>
          <w:rFonts w:eastAsia="仿宋"/>
          <w:b/>
          <w:bCs/>
          <w:sz w:val="28"/>
          <w:szCs w:val="28"/>
          <w:highlight w:val="none"/>
        </w:rPr>
        <w:t>年</w:t>
      </w:r>
      <w:r>
        <w:rPr>
          <w:rFonts w:hint="eastAsia" w:eastAsia="仿宋"/>
          <w:b/>
          <w:bCs/>
          <w:sz w:val="28"/>
          <w:szCs w:val="28"/>
          <w:highlight w:val="none"/>
          <w:lang w:val="en-US" w:eastAsia="zh-CN"/>
        </w:rPr>
        <w:t>10</w:t>
      </w:r>
      <w:r>
        <w:rPr>
          <w:rFonts w:eastAsia="仿宋"/>
          <w:b/>
          <w:bCs/>
          <w:sz w:val="28"/>
          <w:szCs w:val="28"/>
          <w:highlight w:val="none"/>
        </w:rPr>
        <w:t>月</w:t>
      </w:r>
      <w:r>
        <w:rPr>
          <w:rFonts w:hint="eastAsia" w:eastAsia="仿宋"/>
          <w:b/>
          <w:bCs/>
          <w:sz w:val="28"/>
          <w:szCs w:val="28"/>
          <w:highlight w:val="none"/>
          <w:lang w:val="en-US" w:eastAsia="zh-CN"/>
        </w:rPr>
        <w:t>5</w:t>
      </w:r>
      <w:r>
        <w:rPr>
          <w:rFonts w:eastAsia="仿宋"/>
          <w:b/>
          <w:bCs/>
          <w:sz w:val="28"/>
          <w:szCs w:val="28"/>
          <w:highlight w:val="none"/>
        </w:rPr>
        <w:t>日）</w:t>
      </w:r>
      <w:r>
        <w:rPr>
          <w:rFonts w:hint="eastAsia" w:eastAsia="仿宋"/>
          <w:b/>
          <w:bCs/>
          <w:sz w:val="28"/>
          <w:szCs w:val="28"/>
          <w:highlight w:val="none"/>
        </w:rPr>
        <w:t>前</w:t>
      </w:r>
      <w:r>
        <w:rPr>
          <w:rFonts w:eastAsia="仿宋"/>
          <w:sz w:val="28"/>
          <w:szCs w:val="28"/>
          <w:highlight w:val="none"/>
        </w:rPr>
        <w:t>，</w:t>
      </w:r>
      <w:r>
        <w:rPr>
          <w:rFonts w:eastAsia="仿宋"/>
          <w:sz w:val="28"/>
          <w:szCs w:val="28"/>
        </w:rPr>
        <w:t>债权人未申报债权的，可以在破产财产最后分配前补充申报；但是，此前已进行的分配，不再对其补充分配。为审查和确认补充申报债权的费用，由补充申报人承担，</w:t>
      </w:r>
      <w:r>
        <w:rPr>
          <w:rFonts w:eastAsia="仿宋"/>
          <w:b/>
          <w:sz w:val="28"/>
          <w:szCs w:val="28"/>
          <w:u w:val="single"/>
        </w:rPr>
        <w:t>费用收取标准由管理人参照《诉讼费用交纳办法》规定的财产类案件诉讼费标准</w:t>
      </w:r>
      <w:r>
        <w:rPr>
          <w:rFonts w:eastAsia="仿宋"/>
          <w:sz w:val="28"/>
          <w:szCs w:val="28"/>
        </w:rPr>
        <w:t>，并综合审查确认难易程度、逾期时间、逾期申报对于破产工作的影响等因素加以确定。</w:t>
      </w:r>
    </w:p>
    <w:p w14:paraId="3B6A47FB">
      <w:pPr>
        <w:spacing w:line="420" w:lineRule="exact"/>
        <w:ind w:left="105" w:leftChars="50"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3.如债务人进入破产重整程序，债权人未按期申报债权，在重整计划执行期间债权人不得行使权利；在重整计划执行完毕后，债权人可以按照重整计划规定的同类债权的清偿条件行使权利。</w:t>
      </w:r>
    </w:p>
    <w:p w14:paraId="77582C4A">
      <w:pPr>
        <w:spacing w:line="420" w:lineRule="exact"/>
        <w:ind w:left="105" w:leftChars="50"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4.如债务人进入破产和解程序，债权人未按期申报债权，在和解协议执行期间债权人不得行使权利；债权人在和解协议执行完毕后，可以按照和解协议规定的清偿条件行使权利。</w:t>
      </w:r>
    </w:p>
    <w:p w14:paraId="0CA8175C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三、债权申报材料</w:t>
      </w:r>
    </w:p>
    <w:p w14:paraId="2794DD4B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申报人应当如实、详细填写《债权申报表》以及提供完整.真实有效的申报材料。申报债权应提供如下材料：</w:t>
      </w:r>
    </w:p>
    <w:p w14:paraId="14FA5AEB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1.本《债权申报须知》。</w:t>
      </w:r>
    </w:p>
    <w:p w14:paraId="637EA696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2.《债权申报表》。申报人可以另行附页向管理人提交申报内容的具体说明。</w:t>
      </w:r>
    </w:p>
    <w:p w14:paraId="0CC9B1B2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3.申报人的营业执照复印件（加盖公章）、法定代表人身份证明（原件，参见附件一）、法定代表人身份证复印件；申报人为自然人的，提供个人身份证明。由委托代理人申报的，除上述材料外，代理人还需提交授权委托书（原件，参见附件二）及代理人身份证明。</w:t>
      </w:r>
    </w:p>
    <w:p w14:paraId="30B2AE0A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4.证明债权事实的相关证据材料。申报人应当以与证据原件核对无误的影（复）印件申报，证据材料应当附证据清单提交。证据材料包括但不限于合同或协议、履行合同的证据、付款凭证、银行凭单、对账单、收货单、收据或发票、往来函件、权利登记证明文件、追收债权证明等；相关权利已经得到生效的裁判文书或仲裁裁决书确认的，还应当提交相关文书；申报人申报的债权还有其他债务人的，应当说明其他债务人的履行情况。</w:t>
      </w:r>
    </w:p>
    <w:p w14:paraId="51CB8E33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四、提交资料注意事项</w:t>
      </w:r>
    </w:p>
    <w:p w14:paraId="091B08D5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1.申报债权的金额：申报的债权金额必须确定。</w:t>
      </w:r>
    </w:p>
    <w:p w14:paraId="6D2E7FBC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2.利息债权：附利息的债权，利息计算到202</w:t>
      </w:r>
      <w:r>
        <w:rPr>
          <w:rFonts w:hint="eastAsia" w:eastAsia="仿宋"/>
          <w:sz w:val="28"/>
          <w:szCs w:val="28"/>
        </w:rPr>
        <w:t>4</w:t>
      </w:r>
      <w:r>
        <w:rPr>
          <w:rFonts w:eastAsia="仿宋"/>
          <w:sz w:val="28"/>
          <w:szCs w:val="28"/>
        </w:rPr>
        <w:t>年</w:t>
      </w:r>
      <w:r>
        <w:rPr>
          <w:rFonts w:hint="eastAsia" w:eastAsia="仿宋"/>
          <w:sz w:val="28"/>
          <w:szCs w:val="28"/>
          <w:lang w:eastAsia="zh-CN"/>
        </w:rPr>
        <w:t>8月21日</w:t>
      </w:r>
      <w:r>
        <w:rPr>
          <w:rFonts w:eastAsia="仿宋"/>
          <w:sz w:val="28"/>
          <w:szCs w:val="28"/>
        </w:rPr>
        <w:t>破产申请受理时，破产申请受理后停止计息。</w:t>
      </w:r>
    </w:p>
    <w:p w14:paraId="2BE73D85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3.基本事实项：简要陈述该债权的形成经过，另外对已开票金额和未开票金额应填写清楚；若涉及合同关系则该合同是否已经履行完毕要填写清楚。</w:t>
      </w:r>
    </w:p>
    <w:p w14:paraId="612FD249">
      <w:pPr>
        <w:spacing w:line="420" w:lineRule="exact"/>
        <w:ind w:firstLine="562" w:firstLineChars="200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t>4.《债权申报须知》和《债权申报表》的寄送不构成管理人对债权效力的确认，也不视为对已过诉讼时效债权的重新确认，也不导致债权诉讼时效中止、中断或延长等法律后果。</w:t>
      </w:r>
    </w:p>
    <w:p w14:paraId="02A3127D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5.申报材料必须符合规定要求，并直接递交管理人。</w:t>
      </w:r>
    </w:p>
    <w:p w14:paraId="45090254">
      <w:pPr>
        <w:spacing w:line="420" w:lineRule="exact"/>
        <w:ind w:firstLine="560" w:firstLineChars="200"/>
        <w:rPr>
          <w:rFonts w:eastAsia="仿宋"/>
          <w:sz w:val="28"/>
          <w:szCs w:val="28"/>
          <w:highlight w:val="none"/>
        </w:rPr>
      </w:pPr>
      <w:r>
        <w:rPr>
          <w:rFonts w:eastAsia="仿宋"/>
          <w:sz w:val="28"/>
          <w:szCs w:val="28"/>
        </w:rPr>
        <w:t>6.申报人如提供伪造、变造等虚假证据及相关材料，以及对重要事实拒绝陈述或作虚假陈述的，将承担相应的法律责任，情节严重构成</w:t>
      </w:r>
      <w:r>
        <w:rPr>
          <w:rFonts w:eastAsia="仿宋"/>
          <w:sz w:val="28"/>
          <w:szCs w:val="28"/>
          <w:highlight w:val="none"/>
        </w:rPr>
        <w:t>犯罪的，管理人将移交司法机关处理。</w:t>
      </w:r>
    </w:p>
    <w:p w14:paraId="05AB1DD9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highlight w:val="none"/>
        </w:rPr>
        <w:t>7.请于</w:t>
      </w:r>
      <w:r>
        <w:rPr>
          <w:rFonts w:eastAsia="仿宋"/>
          <w:b/>
          <w:sz w:val="28"/>
          <w:szCs w:val="28"/>
          <w:highlight w:val="none"/>
          <w:u w:val="single"/>
        </w:rPr>
        <w:t>202</w:t>
      </w:r>
      <w:r>
        <w:rPr>
          <w:rFonts w:hint="eastAsia" w:eastAsia="仿宋"/>
          <w:b/>
          <w:sz w:val="28"/>
          <w:szCs w:val="28"/>
          <w:highlight w:val="none"/>
          <w:u w:val="single"/>
        </w:rPr>
        <w:t>4</w:t>
      </w:r>
      <w:r>
        <w:rPr>
          <w:rFonts w:eastAsia="仿宋"/>
          <w:b/>
          <w:sz w:val="28"/>
          <w:szCs w:val="28"/>
          <w:highlight w:val="none"/>
          <w:u w:val="single"/>
        </w:rPr>
        <w:t>年</w:t>
      </w:r>
      <w:r>
        <w:rPr>
          <w:rFonts w:hint="eastAsia" w:eastAsia="仿宋"/>
          <w:b/>
          <w:sz w:val="28"/>
          <w:szCs w:val="28"/>
          <w:highlight w:val="none"/>
          <w:u w:val="single"/>
          <w:lang w:val="en-US" w:eastAsia="zh-CN"/>
        </w:rPr>
        <w:t>10</w:t>
      </w:r>
      <w:r>
        <w:rPr>
          <w:rFonts w:eastAsia="仿宋"/>
          <w:b/>
          <w:sz w:val="28"/>
          <w:szCs w:val="28"/>
          <w:highlight w:val="none"/>
          <w:u w:val="single"/>
        </w:rPr>
        <w:t>月</w:t>
      </w:r>
      <w:r>
        <w:rPr>
          <w:rFonts w:hint="eastAsia" w:eastAsia="仿宋"/>
          <w:b/>
          <w:sz w:val="28"/>
          <w:szCs w:val="28"/>
          <w:highlight w:val="none"/>
          <w:u w:val="single"/>
          <w:lang w:val="en-US" w:eastAsia="zh-CN"/>
        </w:rPr>
        <w:t>5</w:t>
      </w:r>
      <w:r>
        <w:rPr>
          <w:rFonts w:eastAsia="仿宋"/>
          <w:b/>
          <w:sz w:val="28"/>
          <w:szCs w:val="28"/>
          <w:highlight w:val="none"/>
          <w:u w:val="single"/>
        </w:rPr>
        <w:t>日</w:t>
      </w:r>
      <w:r>
        <w:rPr>
          <w:rFonts w:eastAsia="仿宋"/>
          <w:sz w:val="28"/>
          <w:szCs w:val="28"/>
          <w:highlight w:val="none"/>
        </w:rPr>
        <w:t>以前邮寄至管理人通讯地址。请在邮寄单注明“</w:t>
      </w:r>
      <w:r>
        <w:rPr>
          <w:rFonts w:hint="eastAsia" w:eastAsia="仿宋"/>
          <w:sz w:val="28"/>
          <w:szCs w:val="28"/>
          <w:highlight w:val="none"/>
          <w:lang w:eastAsia="zh-CN"/>
        </w:rPr>
        <w:t>无锡恺信石墨烯应用科技有限公司</w:t>
      </w:r>
      <w:r>
        <w:rPr>
          <w:rFonts w:eastAsia="仿宋"/>
          <w:sz w:val="28"/>
          <w:szCs w:val="28"/>
          <w:highlight w:val="none"/>
        </w:rPr>
        <w:t>债权申</w:t>
      </w:r>
      <w:r>
        <w:rPr>
          <w:rFonts w:eastAsia="仿宋"/>
          <w:sz w:val="28"/>
          <w:szCs w:val="28"/>
        </w:rPr>
        <w:t>报”字样，并保留邮件寄送底单（建议选择EMS方式邮寄），管理人将在收到申报材料之后通知债权人</w:t>
      </w:r>
      <w:r>
        <w:rPr>
          <w:rFonts w:eastAsia="仿宋"/>
          <w:b/>
          <w:sz w:val="28"/>
          <w:szCs w:val="28"/>
          <w:u w:val="single"/>
        </w:rPr>
        <w:t>在指定时间于指定场地</w:t>
      </w:r>
      <w:r>
        <w:rPr>
          <w:rFonts w:eastAsia="仿宋"/>
          <w:sz w:val="28"/>
          <w:szCs w:val="28"/>
        </w:rPr>
        <w:t>核实证据原件。债权人未能在管理人通知的时间内提供证据原件，导致管理人无法核实的，申报的债权管理人不予确认。</w:t>
      </w:r>
    </w:p>
    <w:p w14:paraId="10A4C356">
      <w:pPr>
        <w:spacing w:line="4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五、债权申报地址和联系方式：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2211"/>
        <w:gridCol w:w="1476"/>
        <w:gridCol w:w="2947"/>
      </w:tblGrid>
      <w:tr w14:paraId="41942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8" w:type="dxa"/>
            <w:vAlign w:val="center"/>
          </w:tcPr>
          <w:p w14:paraId="1BE661E2">
            <w:pPr>
              <w:spacing w:line="4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管理人</w:t>
            </w:r>
          </w:p>
        </w:tc>
        <w:tc>
          <w:tcPr>
            <w:tcW w:w="6634" w:type="dxa"/>
            <w:gridSpan w:val="3"/>
            <w:vAlign w:val="center"/>
          </w:tcPr>
          <w:p w14:paraId="7045D1F2">
            <w:pPr>
              <w:spacing w:line="4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hint="eastAsia" w:eastAsia="仿宋"/>
                <w:sz w:val="24"/>
                <w:szCs w:val="24"/>
                <w:lang w:eastAsia="zh-CN"/>
              </w:rPr>
              <w:t>无锡恺信石墨烯应用科技有限公司</w:t>
            </w:r>
            <w:r>
              <w:rPr>
                <w:rFonts w:eastAsia="仿宋"/>
                <w:sz w:val="24"/>
                <w:szCs w:val="24"/>
              </w:rPr>
              <w:t>管理人</w:t>
            </w:r>
          </w:p>
        </w:tc>
      </w:tr>
      <w:tr w14:paraId="4B94B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88" w:type="dxa"/>
            <w:vAlign w:val="center"/>
          </w:tcPr>
          <w:p w14:paraId="6CF3A03B">
            <w:pPr>
              <w:spacing w:line="4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通讯地址</w:t>
            </w:r>
          </w:p>
        </w:tc>
        <w:tc>
          <w:tcPr>
            <w:tcW w:w="6634" w:type="dxa"/>
            <w:gridSpan w:val="3"/>
            <w:vAlign w:val="center"/>
          </w:tcPr>
          <w:p w14:paraId="747BC72B">
            <w:pPr>
              <w:spacing w:line="420" w:lineRule="exact"/>
              <w:jc w:val="center"/>
              <w:rPr>
                <w:rFonts w:hint="eastAsia" w:eastAsia="仿宋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sz w:val="24"/>
                <w:szCs w:val="24"/>
                <w:lang w:eastAsia="zh-CN"/>
              </w:rPr>
              <w:t>江苏省无锡市滨湖区建筑西路777号A10栋19楼</w:t>
            </w:r>
          </w:p>
        </w:tc>
      </w:tr>
      <w:tr w14:paraId="200A3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888" w:type="dxa"/>
            <w:vAlign w:val="center"/>
          </w:tcPr>
          <w:p w14:paraId="2333E6F4">
            <w:pPr>
              <w:spacing w:line="4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联系人</w:t>
            </w:r>
          </w:p>
        </w:tc>
        <w:tc>
          <w:tcPr>
            <w:tcW w:w="2211" w:type="dxa"/>
            <w:vAlign w:val="center"/>
          </w:tcPr>
          <w:p w14:paraId="192FD424">
            <w:pPr>
              <w:spacing w:line="420" w:lineRule="exact"/>
              <w:jc w:val="center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张灵韵</w:t>
            </w:r>
          </w:p>
        </w:tc>
        <w:tc>
          <w:tcPr>
            <w:tcW w:w="1476" w:type="dxa"/>
            <w:vAlign w:val="center"/>
          </w:tcPr>
          <w:p w14:paraId="5AEA3714">
            <w:pPr>
              <w:spacing w:line="420" w:lineRule="exact"/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电话</w:t>
            </w:r>
          </w:p>
        </w:tc>
        <w:tc>
          <w:tcPr>
            <w:tcW w:w="2947" w:type="dxa"/>
            <w:vAlign w:val="center"/>
          </w:tcPr>
          <w:p w14:paraId="664FD779">
            <w:pPr>
              <w:spacing w:line="420" w:lineRule="exact"/>
              <w:jc w:val="center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sz w:val="24"/>
                <w:szCs w:val="24"/>
              </w:rPr>
              <w:t>1</w:t>
            </w:r>
            <w:r>
              <w:rPr>
                <w:rFonts w:hint="eastAsia" w:eastAsia="仿宋"/>
                <w:sz w:val="24"/>
                <w:szCs w:val="24"/>
                <w:lang w:val="en-US" w:eastAsia="zh-CN"/>
              </w:rPr>
              <w:t>5052279971</w:t>
            </w:r>
          </w:p>
        </w:tc>
      </w:tr>
    </w:tbl>
    <w:p w14:paraId="439FA227">
      <w:pPr>
        <w:spacing w:line="420" w:lineRule="exac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                               </w:t>
      </w:r>
    </w:p>
    <w:p w14:paraId="5E1C9140">
      <w:pPr>
        <w:spacing w:line="420" w:lineRule="exact"/>
        <w:ind w:firstLine="1400" w:firstLineChars="500"/>
        <w:jc w:val="center"/>
        <w:rPr>
          <w:rFonts w:eastAsia="仿宋"/>
          <w:sz w:val="28"/>
          <w:szCs w:val="28"/>
          <w:highlight w:val="none"/>
        </w:rPr>
      </w:pPr>
      <w:r>
        <w:rPr>
          <w:rFonts w:eastAsia="仿宋"/>
          <w:sz w:val="28"/>
          <w:szCs w:val="28"/>
        </w:rPr>
        <w:t xml:space="preserve">             </w:t>
      </w:r>
      <w:r>
        <w:rPr>
          <w:rFonts w:hint="eastAsia" w:eastAsia="仿宋"/>
          <w:sz w:val="28"/>
          <w:szCs w:val="28"/>
          <w:lang w:eastAsia="zh-CN"/>
        </w:rPr>
        <w:t>无锡恺信石墨烯应</w:t>
      </w:r>
      <w:bookmarkStart w:id="0" w:name="_GoBack"/>
      <w:r>
        <w:rPr>
          <w:rFonts w:hint="eastAsia" w:eastAsia="仿宋"/>
          <w:sz w:val="28"/>
          <w:szCs w:val="28"/>
          <w:highlight w:val="none"/>
          <w:lang w:eastAsia="zh-CN"/>
        </w:rPr>
        <w:t>用科技有限公司</w:t>
      </w:r>
      <w:r>
        <w:rPr>
          <w:rFonts w:eastAsia="仿宋"/>
          <w:sz w:val="28"/>
          <w:szCs w:val="28"/>
          <w:highlight w:val="none"/>
        </w:rPr>
        <w:t>管理人</w:t>
      </w:r>
    </w:p>
    <w:p w14:paraId="08FD3159">
      <w:pPr>
        <w:spacing w:line="420" w:lineRule="exact"/>
        <w:ind w:right="560" w:firstLine="560" w:firstLineChars="200"/>
        <w:jc w:val="right"/>
        <w:rPr>
          <w:rFonts w:eastAsia="仿宋"/>
          <w:sz w:val="28"/>
          <w:szCs w:val="28"/>
          <w:highlight w:val="none"/>
        </w:rPr>
      </w:pPr>
      <w:r>
        <w:rPr>
          <w:rFonts w:eastAsia="仿宋"/>
          <w:sz w:val="28"/>
          <w:szCs w:val="28"/>
          <w:highlight w:val="none"/>
        </w:rPr>
        <w:t xml:space="preserve">        202</w:t>
      </w:r>
      <w:r>
        <w:rPr>
          <w:rFonts w:hint="eastAsia" w:eastAsia="仿宋"/>
          <w:sz w:val="28"/>
          <w:szCs w:val="28"/>
          <w:highlight w:val="none"/>
        </w:rPr>
        <w:t>4</w:t>
      </w:r>
      <w:r>
        <w:rPr>
          <w:rFonts w:eastAsia="仿宋"/>
          <w:sz w:val="28"/>
          <w:szCs w:val="28"/>
          <w:highlight w:val="none"/>
        </w:rPr>
        <w:t>年</w:t>
      </w:r>
      <w:r>
        <w:rPr>
          <w:rFonts w:hint="eastAsia" w:eastAsia="仿宋"/>
          <w:sz w:val="28"/>
          <w:szCs w:val="28"/>
          <w:highlight w:val="none"/>
          <w:lang w:val="en-US" w:eastAsia="zh-CN"/>
        </w:rPr>
        <w:t>9</w:t>
      </w:r>
      <w:r>
        <w:rPr>
          <w:rFonts w:eastAsia="仿宋"/>
          <w:sz w:val="28"/>
          <w:szCs w:val="28"/>
          <w:highlight w:val="none"/>
        </w:rPr>
        <w:t>月</w:t>
      </w:r>
      <w:r>
        <w:rPr>
          <w:rFonts w:hint="eastAsia" w:eastAsia="仿宋"/>
          <w:sz w:val="28"/>
          <w:szCs w:val="28"/>
          <w:highlight w:val="none"/>
          <w:lang w:val="en-US" w:eastAsia="zh-CN"/>
        </w:rPr>
        <w:t>5</w:t>
      </w:r>
      <w:r>
        <w:rPr>
          <w:rFonts w:eastAsia="仿宋"/>
          <w:sz w:val="28"/>
          <w:szCs w:val="28"/>
          <w:highlight w:val="none"/>
        </w:rPr>
        <w:t>日</w:t>
      </w:r>
    </w:p>
    <w:p w14:paraId="745AE8CA">
      <w:pPr>
        <w:pBdr>
          <w:bottom w:val="double" w:color="auto" w:sz="4" w:space="0"/>
        </w:pBdr>
        <w:spacing w:line="420" w:lineRule="exact"/>
        <w:ind w:firstLine="562" w:firstLineChars="200"/>
        <w:rPr>
          <w:rFonts w:eastAsia="仿宋"/>
          <w:b/>
          <w:sz w:val="28"/>
          <w:szCs w:val="28"/>
          <w:highlight w:val="none"/>
        </w:rPr>
      </w:pPr>
    </w:p>
    <w:bookmarkEnd w:id="0"/>
    <w:p w14:paraId="5EA175D5">
      <w:pPr>
        <w:spacing w:line="420" w:lineRule="exact"/>
        <w:ind w:left="-283" w:leftChars="-135" w:right="-197" w:rightChars="-94"/>
        <w:jc w:val="center"/>
        <w:rPr>
          <w:rFonts w:eastAsia="仿宋"/>
          <w:b/>
          <w:sz w:val="28"/>
          <w:szCs w:val="28"/>
        </w:rPr>
      </w:pPr>
      <w:r>
        <w:rPr>
          <w:rFonts w:eastAsia="仿宋"/>
          <w:b/>
          <w:sz w:val="28"/>
          <w:szCs w:val="28"/>
        </w:rPr>
        <w:t>债权申报人对以上《债权申报须知》内容已经清楚知悉，并签章确认。</w:t>
      </w:r>
    </w:p>
    <w:p w14:paraId="73324E4F">
      <w:pPr>
        <w:spacing w:line="420" w:lineRule="exact"/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债权申报人（签章）：</w:t>
      </w:r>
    </w:p>
    <w:p w14:paraId="6BF3160C">
      <w:pPr>
        <w:spacing w:line="420" w:lineRule="exact"/>
        <w:ind w:right="480" w:firstLine="4900" w:firstLineChars="1750"/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月  日</w:t>
      </w:r>
    </w:p>
    <w:p w14:paraId="67A1B32F">
      <w:pPr>
        <w:spacing w:line="420" w:lineRule="exact"/>
        <w:ind w:right="480" w:firstLine="4900" w:firstLineChars="1750"/>
        <w:jc w:val="right"/>
        <w:rPr>
          <w:rFonts w:eastAsia="仿宋"/>
          <w:sz w:val="28"/>
          <w:szCs w:val="28"/>
        </w:rPr>
      </w:pPr>
    </w:p>
    <w:p w14:paraId="4163F069">
      <w:pPr>
        <w:widowControl/>
        <w:spacing w:line="420" w:lineRule="exact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附：1.法定代表人身份证明书；2.授权委托书</w:t>
      </w:r>
      <w:r>
        <w:rPr>
          <w:rFonts w:eastAsia="仿宋"/>
          <w:sz w:val="28"/>
          <w:szCs w:val="28"/>
        </w:rPr>
        <w:br w:type="page"/>
      </w:r>
    </w:p>
    <w:p w14:paraId="320AB9EC">
      <w:pPr>
        <w:widowControl/>
        <w:adjustRightInd w:val="0"/>
        <w:snapToGrid w:val="0"/>
        <w:spacing w:after="200" w:line="360" w:lineRule="auto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附件一：</w:t>
      </w:r>
    </w:p>
    <w:p w14:paraId="608B5B0A">
      <w:pPr>
        <w:widowControl/>
        <w:adjustRightInd w:val="0"/>
        <w:snapToGrid w:val="0"/>
        <w:spacing w:line="360" w:lineRule="auto"/>
        <w:jc w:val="center"/>
        <w:rPr>
          <w:rFonts w:eastAsia="仿宋"/>
          <w:color w:val="000000"/>
          <w:kern w:val="0"/>
          <w:sz w:val="28"/>
          <w:szCs w:val="28"/>
          <w:shd w:val="clear" w:color="auto" w:fill="FFFFFF"/>
        </w:rPr>
      </w:pPr>
      <w:r>
        <w:rPr>
          <w:b/>
          <w:bCs/>
          <w:color w:val="000000"/>
          <w:kern w:val="0"/>
          <w:sz w:val="36"/>
          <w:szCs w:val="36"/>
          <w:shd w:val="clear" w:color="auto" w:fill="FFFFFF"/>
        </w:rPr>
        <w:t>法定代表人身份证明书</w:t>
      </w:r>
    </w:p>
    <w:p w14:paraId="5D307356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eastAsia="仿宋"/>
          <w:color w:val="000000"/>
          <w:kern w:val="0"/>
          <w:sz w:val="28"/>
          <w:szCs w:val="28"/>
          <w:shd w:val="clear" w:color="auto" w:fill="FFFFFF"/>
        </w:rPr>
      </w:pPr>
    </w:p>
    <w:p w14:paraId="26C588E1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eastAsia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eastAsia="仿宋"/>
          <w:color w:val="000000"/>
          <w:kern w:val="0"/>
          <w:sz w:val="28"/>
          <w:szCs w:val="28"/>
          <w:shd w:val="clear" w:color="auto" w:fill="FFFFFF"/>
        </w:rPr>
        <w:t>兹证明</w:t>
      </w:r>
      <w:r>
        <w:rPr>
          <w:rFonts w:eastAsia="仿宋"/>
          <w:color w:val="000000"/>
          <w:kern w:val="0"/>
          <w:sz w:val="28"/>
          <w:szCs w:val="28"/>
          <w:u w:val="single"/>
          <w:shd w:val="clear" w:color="auto" w:fill="FFFFFF"/>
        </w:rPr>
        <w:t xml:space="preserve">           </w:t>
      </w:r>
      <w:r>
        <w:rPr>
          <w:rFonts w:eastAsia="仿宋"/>
          <w:color w:val="000000"/>
          <w:kern w:val="0"/>
          <w:sz w:val="28"/>
          <w:szCs w:val="28"/>
          <w:shd w:val="clear" w:color="auto" w:fill="FFFFFF"/>
        </w:rPr>
        <w:t>先生(女士)在本公司任</w:t>
      </w:r>
      <w:r>
        <w:rPr>
          <w:rFonts w:eastAsia="仿宋"/>
          <w:color w:val="000000"/>
          <w:kern w:val="0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Fonts w:eastAsia="仿宋"/>
          <w:color w:val="000000"/>
          <w:kern w:val="0"/>
          <w:sz w:val="28"/>
          <w:szCs w:val="28"/>
          <w:shd w:val="clear" w:color="auto" w:fill="FFFFFF"/>
        </w:rPr>
        <w:t xml:space="preserve"> 职务，系本公司法定代表人。</w:t>
      </w:r>
    </w:p>
    <w:p w14:paraId="0320E307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eastAsia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eastAsia="仿宋"/>
          <w:color w:val="000000"/>
          <w:kern w:val="0"/>
          <w:sz w:val="28"/>
          <w:szCs w:val="28"/>
          <w:shd w:val="clear" w:color="auto" w:fill="FFFFFF"/>
        </w:rPr>
        <w:t>特此证明。</w:t>
      </w:r>
    </w:p>
    <w:p w14:paraId="1FB23B5E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eastAsia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eastAsia="仿宋"/>
          <w:color w:val="000000"/>
          <w:kern w:val="0"/>
          <w:sz w:val="28"/>
          <w:szCs w:val="28"/>
          <w:shd w:val="clear" w:color="auto" w:fill="FFFFFF"/>
        </w:rPr>
        <w:t>                                                           </w:t>
      </w:r>
    </w:p>
    <w:p w14:paraId="139C44FE">
      <w:pPr>
        <w:widowControl/>
        <w:adjustRightInd w:val="0"/>
        <w:snapToGrid w:val="0"/>
        <w:spacing w:line="360" w:lineRule="auto"/>
        <w:ind w:firstLine="4393" w:firstLineChars="1569"/>
        <w:jc w:val="center"/>
        <w:rPr>
          <w:rFonts w:eastAsia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eastAsia="仿宋"/>
          <w:color w:val="000000"/>
          <w:kern w:val="0"/>
          <w:sz w:val="28"/>
          <w:szCs w:val="28"/>
          <w:shd w:val="clear" w:color="auto" w:fill="FFFFFF"/>
        </w:rPr>
        <w:t>证明单位（盖章）：    </w:t>
      </w:r>
    </w:p>
    <w:p w14:paraId="6D0F8575">
      <w:pPr>
        <w:widowControl/>
        <w:adjustRightInd w:val="0"/>
        <w:snapToGrid w:val="0"/>
        <w:spacing w:line="360" w:lineRule="auto"/>
        <w:ind w:firstLine="3920" w:firstLineChars="1400"/>
        <w:jc w:val="right"/>
        <w:rPr>
          <w:rFonts w:eastAsia="仿宋"/>
          <w:kern w:val="0"/>
          <w:sz w:val="28"/>
          <w:szCs w:val="28"/>
        </w:rPr>
      </w:pPr>
      <w:r>
        <w:rPr>
          <w:rFonts w:eastAsia="仿宋"/>
          <w:color w:val="000000"/>
          <w:kern w:val="0"/>
          <w:sz w:val="28"/>
          <w:szCs w:val="28"/>
          <w:shd w:val="clear" w:color="auto" w:fill="FFFFFF"/>
        </w:rPr>
        <w:t xml:space="preserve">         年     月     日</w:t>
      </w:r>
    </w:p>
    <w:p w14:paraId="077FDAC2">
      <w:pPr>
        <w:widowControl/>
        <w:adjustRightInd w:val="0"/>
        <w:snapToGrid w:val="0"/>
        <w:spacing w:line="360" w:lineRule="auto"/>
        <w:jc w:val="left"/>
        <w:rPr>
          <w:rFonts w:eastAsia="仿宋"/>
          <w:kern w:val="0"/>
          <w:sz w:val="28"/>
          <w:szCs w:val="28"/>
        </w:rPr>
      </w:pPr>
    </w:p>
    <w:p w14:paraId="4EF804B1">
      <w:pPr>
        <w:widowControl/>
        <w:adjustRightInd w:val="0"/>
        <w:snapToGrid w:val="0"/>
        <w:spacing w:line="360" w:lineRule="auto"/>
        <w:jc w:val="left"/>
        <w:rPr>
          <w:rFonts w:eastAsia="仿宋"/>
          <w:kern w:val="0"/>
          <w:sz w:val="28"/>
          <w:szCs w:val="28"/>
        </w:rPr>
      </w:pPr>
    </w:p>
    <w:p w14:paraId="1BD8C754">
      <w:pPr>
        <w:widowControl/>
        <w:adjustRightInd w:val="0"/>
        <w:snapToGrid w:val="0"/>
        <w:spacing w:after="200" w:line="360" w:lineRule="auto"/>
        <w:jc w:val="left"/>
        <w:rPr>
          <w:rFonts w:eastAsia="仿宋"/>
          <w:kern w:val="0"/>
          <w:sz w:val="28"/>
          <w:szCs w:val="28"/>
        </w:rPr>
      </w:pPr>
    </w:p>
    <w:p w14:paraId="6663B0DD">
      <w:pPr>
        <w:widowControl/>
        <w:adjustRightInd w:val="0"/>
        <w:snapToGrid w:val="0"/>
        <w:spacing w:after="200" w:line="360" w:lineRule="auto"/>
        <w:jc w:val="left"/>
        <w:rPr>
          <w:rFonts w:eastAsia="仿宋"/>
          <w:kern w:val="0"/>
          <w:sz w:val="28"/>
          <w:szCs w:val="28"/>
        </w:rPr>
      </w:pPr>
    </w:p>
    <w:p w14:paraId="1984F5D7">
      <w:pPr>
        <w:widowControl/>
        <w:adjustRightInd w:val="0"/>
        <w:snapToGrid w:val="0"/>
        <w:spacing w:after="200" w:line="360" w:lineRule="auto"/>
        <w:jc w:val="left"/>
        <w:rPr>
          <w:rFonts w:eastAsia="仿宋"/>
          <w:kern w:val="0"/>
          <w:sz w:val="28"/>
          <w:szCs w:val="28"/>
        </w:rPr>
      </w:pPr>
    </w:p>
    <w:p w14:paraId="1CD7EDA2">
      <w:pPr>
        <w:widowControl/>
        <w:adjustRightInd w:val="0"/>
        <w:snapToGrid w:val="0"/>
        <w:spacing w:after="200" w:line="360" w:lineRule="auto"/>
        <w:jc w:val="left"/>
        <w:rPr>
          <w:rFonts w:eastAsia="仿宋"/>
          <w:kern w:val="0"/>
          <w:sz w:val="28"/>
          <w:szCs w:val="28"/>
        </w:rPr>
      </w:pPr>
    </w:p>
    <w:p w14:paraId="22C41FFE">
      <w:pPr>
        <w:widowControl/>
        <w:adjustRightInd w:val="0"/>
        <w:snapToGrid w:val="0"/>
        <w:spacing w:after="200" w:line="360" w:lineRule="auto"/>
        <w:jc w:val="left"/>
        <w:rPr>
          <w:rFonts w:eastAsia="仿宋"/>
          <w:kern w:val="0"/>
          <w:sz w:val="28"/>
          <w:szCs w:val="28"/>
        </w:rPr>
      </w:pPr>
    </w:p>
    <w:p w14:paraId="590C1955">
      <w:pPr>
        <w:widowControl/>
        <w:adjustRightInd w:val="0"/>
        <w:snapToGrid w:val="0"/>
        <w:spacing w:after="200" w:line="360" w:lineRule="auto"/>
        <w:jc w:val="left"/>
        <w:rPr>
          <w:rFonts w:eastAsia="仿宋"/>
          <w:kern w:val="0"/>
          <w:sz w:val="28"/>
          <w:szCs w:val="28"/>
        </w:rPr>
      </w:pPr>
    </w:p>
    <w:p w14:paraId="4034A559">
      <w:pPr>
        <w:widowControl/>
        <w:adjustRightInd w:val="0"/>
        <w:snapToGrid w:val="0"/>
        <w:spacing w:after="200" w:line="360" w:lineRule="auto"/>
        <w:jc w:val="left"/>
        <w:rPr>
          <w:rFonts w:eastAsia="仿宋"/>
          <w:kern w:val="0"/>
          <w:sz w:val="28"/>
          <w:szCs w:val="28"/>
        </w:rPr>
      </w:pPr>
    </w:p>
    <w:p w14:paraId="3EB82E82">
      <w:pPr>
        <w:widowControl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br w:type="page"/>
      </w:r>
    </w:p>
    <w:p w14:paraId="3ADD0FA3">
      <w:pPr>
        <w:widowControl/>
        <w:adjustRightInd w:val="0"/>
        <w:snapToGrid w:val="0"/>
        <w:spacing w:after="200" w:line="360" w:lineRule="auto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附件二：</w:t>
      </w:r>
    </w:p>
    <w:p w14:paraId="4DADB4F5">
      <w:pPr>
        <w:widowControl/>
        <w:adjustRightInd w:val="0"/>
        <w:snapToGrid w:val="0"/>
        <w:spacing w:line="360" w:lineRule="auto"/>
        <w:jc w:val="center"/>
        <w:rPr>
          <w:b/>
          <w:bCs/>
          <w:color w:val="000000"/>
          <w:kern w:val="0"/>
          <w:sz w:val="36"/>
          <w:szCs w:val="36"/>
          <w:shd w:val="clear" w:color="auto" w:fill="FFFFFF"/>
        </w:rPr>
      </w:pPr>
      <w:r>
        <w:rPr>
          <w:b/>
          <w:bCs/>
          <w:color w:val="000000"/>
          <w:kern w:val="0"/>
          <w:sz w:val="36"/>
          <w:szCs w:val="36"/>
          <w:shd w:val="clear" w:color="auto" w:fill="FFFFFF"/>
        </w:rPr>
        <w:t>授权委托书</w:t>
      </w:r>
    </w:p>
    <w:p w14:paraId="1C04058E">
      <w:pPr>
        <w:widowControl/>
        <w:adjustRightInd w:val="0"/>
        <w:snapToGrid w:val="0"/>
        <w:spacing w:line="360" w:lineRule="auto"/>
        <w:jc w:val="left"/>
        <w:rPr>
          <w:rFonts w:eastAsia="仿宋"/>
          <w:kern w:val="0"/>
          <w:sz w:val="28"/>
          <w:szCs w:val="28"/>
        </w:rPr>
      </w:pPr>
    </w:p>
    <w:p w14:paraId="6155D74D">
      <w:pPr>
        <w:widowControl/>
        <w:adjustRightInd w:val="0"/>
        <w:snapToGrid w:val="0"/>
        <w:spacing w:line="360" w:lineRule="auto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 xml:space="preserve">委托人：           </w:t>
      </w:r>
    </w:p>
    <w:p w14:paraId="35318016">
      <w:pPr>
        <w:widowControl/>
        <w:adjustRightInd w:val="0"/>
        <w:snapToGrid w:val="0"/>
        <w:spacing w:line="360" w:lineRule="auto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受托人：</w:t>
      </w:r>
    </w:p>
    <w:p w14:paraId="470BA109">
      <w:pPr>
        <w:widowControl/>
        <w:adjustRightInd w:val="0"/>
        <w:snapToGrid w:val="0"/>
        <w:spacing w:line="360" w:lineRule="auto"/>
        <w:jc w:val="left"/>
        <w:rPr>
          <w:rFonts w:eastAsia="仿宋"/>
          <w:kern w:val="0"/>
          <w:sz w:val="28"/>
          <w:szCs w:val="28"/>
          <w:u w:val="single"/>
        </w:rPr>
      </w:pPr>
      <w:r>
        <w:rPr>
          <w:rFonts w:eastAsia="仿宋"/>
          <w:kern w:val="0"/>
          <w:sz w:val="28"/>
          <w:szCs w:val="28"/>
        </w:rPr>
        <w:t xml:space="preserve">联系地址：                   电话：                        </w:t>
      </w:r>
      <w:r>
        <w:rPr>
          <w:rFonts w:eastAsia="仿宋"/>
          <w:kern w:val="0"/>
          <w:sz w:val="28"/>
          <w:szCs w:val="28"/>
          <w:u w:val="single"/>
        </w:rPr>
        <w:t xml:space="preserve">       </w:t>
      </w:r>
    </w:p>
    <w:p w14:paraId="242DB654">
      <w:pPr>
        <w:widowControl/>
        <w:adjustRightInd w:val="0"/>
        <w:snapToGrid w:val="0"/>
        <w:spacing w:line="360" w:lineRule="auto"/>
        <w:ind w:firstLine="700" w:firstLineChars="250"/>
        <w:jc w:val="left"/>
        <w:rPr>
          <w:rFonts w:eastAsia="仿宋"/>
          <w:kern w:val="0"/>
          <w:sz w:val="28"/>
          <w:szCs w:val="28"/>
        </w:rPr>
      </w:pPr>
    </w:p>
    <w:p w14:paraId="08B8891D">
      <w:pPr>
        <w:widowControl/>
        <w:adjustRightInd w:val="0"/>
        <w:snapToGrid w:val="0"/>
        <w:spacing w:line="360" w:lineRule="auto"/>
        <w:ind w:firstLine="700" w:firstLineChars="250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在</w:t>
      </w:r>
      <w:r>
        <w:rPr>
          <w:rFonts w:hint="eastAsia" w:eastAsia="仿宋"/>
          <w:kern w:val="0"/>
          <w:sz w:val="28"/>
          <w:szCs w:val="28"/>
          <w:lang w:eastAsia="zh-CN"/>
        </w:rPr>
        <w:t>无锡恺信石墨烯应用科技有限公司</w:t>
      </w:r>
      <w:r>
        <w:rPr>
          <w:rFonts w:eastAsia="仿宋"/>
          <w:kern w:val="0"/>
          <w:sz w:val="28"/>
          <w:szCs w:val="28"/>
        </w:rPr>
        <w:t>破产案件中，兹委托</w:t>
      </w:r>
      <w:r>
        <w:rPr>
          <w:rFonts w:eastAsia="仿宋"/>
          <w:kern w:val="0"/>
          <w:sz w:val="28"/>
          <w:szCs w:val="28"/>
          <w:u w:val="single"/>
        </w:rPr>
        <w:t xml:space="preserve">        </w:t>
      </w:r>
      <w:r>
        <w:rPr>
          <w:rFonts w:eastAsia="仿宋"/>
          <w:kern w:val="0"/>
          <w:sz w:val="28"/>
          <w:szCs w:val="28"/>
        </w:rPr>
        <w:t>担任本公司（本个人）的委托代理人。</w:t>
      </w:r>
    </w:p>
    <w:p w14:paraId="2A70D3C9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代理权限如下：</w:t>
      </w:r>
    </w:p>
    <w:p w14:paraId="45798CFA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1.代为申报债权；</w:t>
      </w:r>
    </w:p>
    <w:p w14:paraId="63222D2F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2.代为与管理人核对债权（代为承认.变更.放弃债权）；</w:t>
      </w:r>
    </w:p>
    <w:p w14:paraId="312C402A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2.代为签署、签收各项文书；</w:t>
      </w:r>
    </w:p>
    <w:p w14:paraId="09A647CE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3.代为出席债权人会议，行使异议权和表决权；</w:t>
      </w:r>
    </w:p>
    <w:p w14:paraId="4B1D5452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4.代为受领本案中的各类款项；</w:t>
      </w:r>
    </w:p>
    <w:p w14:paraId="3F38A741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5.代为行使债权人的其他权利，代为履行债权人的其他义务；</w:t>
      </w:r>
    </w:p>
    <w:p w14:paraId="7B753DCE">
      <w:pPr>
        <w:widowControl/>
        <w:adjustRightInd w:val="0"/>
        <w:snapToGrid w:val="0"/>
        <w:spacing w:line="360" w:lineRule="auto"/>
        <w:ind w:firstLine="560" w:firstLineChars="200"/>
        <w:jc w:val="left"/>
        <w:rPr>
          <w:rFonts w:eastAsia="仿宋"/>
          <w:kern w:val="0"/>
          <w:sz w:val="28"/>
          <w:szCs w:val="28"/>
          <w:u w:val="single"/>
        </w:rPr>
      </w:pPr>
      <w:r>
        <w:rPr>
          <w:rFonts w:eastAsia="仿宋"/>
          <w:kern w:val="0"/>
          <w:sz w:val="28"/>
          <w:szCs w:val="28"/>
        </w:rPr>
        <w:t>6.其他：</w:t>
      </w:r>
      <w:r>
        <w:rPr>
          <w:rFonts w:eastAsia="仿宋"/>
          <w:kern w:val="0"/>
          <w:sz w:val="28"/>
          <w:szCs w:val="28"/>
          <w:u w:val="single"/>
        </w:rPr>
        <w:t xml:space="preserve">                                        </w:t>
      </w:r>
    </w:p>
    <w:p w14:paraId="5BD0F5D4">
      <w:pPr>
        <w:widowControl/>
        <w:adjustRightInd w:val="0"/>
        <w:snapToGrid w:val="0"/>
        <w:spacing w:line="360" w:lineRule="auto"/>
        <w:ind w:firstLine="420" w:firstLineChars="150"/>
        <w:jc w:val="lef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代理期限：委托日起至破产案件终结之日止。</w:t>
      </w:r>
    </w:p>
    <w:p w14:paraId="7A73B8BA">
      <w:pPr>
        <w:widowControl/>
        <w:adjustRightInd w:val="0"/>
        <w:snapToGrid w:val="0"/>
        <w:spacing w:line="360" w:lineRule="auto"/>
        <w:jc w:val="left"/>
        <w:rPr>
          <w:rFonts w:eastAsia="仿宋"/>
          <w:kern w:val="0"/>
          <w:sz w:val="28"/>
          <w:szCs w:val="28"/>
        </w:rPr>
      </w:pPr>
    </w:p>
    <w:p w14:paraId="4482BB4B">
      <w:pPr>
        <w:widowControl/>
        <w:adjustRightInd w:val="0"/>
        <w:snapToGrid w:val="0"/>
        <w:spacing w:line="360" w:lineRule="auto"/>
        <w:ind w:firstLine="4340" w:firstLineChars="1550"/>
        <w:jc w:val="righ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委托人（签字或盖章）：</w:t>
      </w:r>
    </w:p>
    <w:p w14:paraId="665812AC">
      <w:pPr>
        <w:widowControl/>
        <w:adjustRightInd w:val="0"/>
        <w:snapToGrid w:val="0"/>
        <w:spacing w:after="200" w:line="360" w:lineRule="auto"/>
        <w:ind w:firstLine="6440" w:firstLineChars="2300"/>
        <w:jc w:val="right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年   月   日</w:t>
      </w:r>
    </w:p>
    <w:p w14:paraId="5BD135F0">
      <w:pPr>
        <w:widowControl/>
        <w:spacing w:line="420" w:lineRule="exact"/>
        <w:jc w:val="left"/>
        <w:rPr>
          <w:rFonts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M4YmM3MWU1Mjc3NjRhNTgwYTgwYzFhYjNiMGM1YzAifQ=="/>
  </w:docVars>
  <w:rsids>
    <w:rsidRoot w:val="002C3012"/>
    <w:rsid w:val="000003BE"/>
    <w:rsid w:val="000028C5"/>
    <w:rsid w:val="00002AA5"/>
    <w:rsid w:val="00020008"/>
    <w:rsid w:val="000260FB"/>
    <w:rsid w:val="0002644E"/>
    <w:rsid w:val="00034A2E"/>
    <w:rsid w:val="00043C7A"/>
    <w:rsid w:val="00046F15"/>
    <w:rsid w:val="000500A2"/>
    <w:rsid w:val="00050DC4"/>
    <w:rsid w:val="00056204"/>
    <w:rsid w:val="0005734F"/>
    <w:rsid w:val="00077120"/>
    <w:rsid w:val="00090511"/>
    <w:rsid w:val="00096C8D"/>
    <w:rsid w:val="000A062D"/>
    <w:rsid w:val="000B2487"/>
    <w:rsid w:val="000C72CE"/>
    <w:rsid w:val="000C7D4C"/>
    <w:rsid w:val="000D5331"/>
    <w:rsid w:val="000D784B"/>
    <w:rsid w:val="000E18E3"/>
    <w:rsid w:val="000F61BF"/>
    <w:rsid w:val="0010133B"/>
    <w:rsid w:val="0011141C"/>
    <w:rsid w:val="0011701F"/>
    <w:rsid w:val="00120351"/>
    <w:rsid w:val="0012767E"/>
    <w:rsid w:val="001364A0"/>
    <w:rsid w:val="0013773C"/>
    <w:rsid w:val="00154ACE"/>
    <w:rsid w:val="00164C59"/>
    <w:rsid w:val="001838C7"/>
    <w:rsid w:val="001A25CC"/>
    <w:rsid w:val="001A6A20"/>
    <w:rsid w:val="001C2F3A"/>
    <w:rsid w:val="001C5290"/>
    <w:rsid w:val="001E0B55"/>
    <w:rsid w:val="001F01CA"/>
    <w:rsid w:val="00204D9B"/>
    <w:rsid w:val="00206D66"/>
    <w:rsid w:val="00210C89"/>
    <w:rsid w:val="00212886"/>
    <w:rsid w:val="002139CA"/>
    <w:rsid w:val="0024626E"/>
    <w:rsid w:val="00265BF6"/>
    <w:rsid w:val="00267296"/>
    <w:rsid w:val="002700C6"/>
    <w:rsid w:val="00273F86"/>
    <w:rsid w:val="00275A0B"/>
    <w:rsid w:val="00283D95"/>
    <w:rsid w:val="0029034F"/>
    <w:rsid w:val="002B34F1"/>
    <w:rsid w:val="002B3DE6"/>
    <w:rsid w:val="002C21AF"/>
    <w:rsid w:val="002C3012"/>
    <w:rsid w:val="002E31C7"/>
    <w:rsid w:val="002F428F"/>
    <w:rsid w:val="0031376F"/>
    <w:rsid w:val="00317BA7"/>
    <w:rsid w:val="00324E1B"/>
    <w:rsid w:val="0033326D"/>
    <w:rsid w:val="00350537"/>
    <w:rsid w:val="00354D0F"/>
    <w:rsid w:val="00354D73"/>
    <w:rsid w:val="0035596C"/>
    <w:rsid w:val="00371697"/>
    <w:rsid w:val="003757D6"/>
    <w:rsid w:val="00377F96"/>
    <w:rsid w:val="0038684E"/>
    <w:rsid w:val="003973BD"/>
    <w:rsid w:val="003B1A8A"/>
    <w:rsid w:val="003B2515"/>
    <w:rsid w:val="003B5329"/>
    <w:rsid w:val="003C64B8"/>
    <w:rsid w:val="003D00A3"/>
    <w:rsid w:val="003E293B"/>
    <w:rsid w:val="003F42EE"/>
    <w:rsid w:val="00401CA7"/>
    <w:rsid w:val="0040274C"/>
    <w:rsid w:val="0040575C"/>
    <w:rsid w:val="004416EE"/>
    <w:rsid w:val="00442684"/>
    <w:rsid w:val="00446352"/>
    <w:rsid w:val="0046222F"/>
    <w:rsid w:val="004901D4"/>
    <w:rsid w:val="00495641"/>
    <w:rsid w:val="0049591B"/>
    <w:rsid w:val="004B0C44"/>
    <w:rsid w:val="004C0F87"/>
    <w:rsid w:val="004C3636"/>
    <w:rsid w:val="004C42A2"/>
    <w:rsid w:val="004D078B"/>
    <w:rsid w:val="004D7C6C"/>
    <w:rsid w:val="004D7F8C"/>
    <w:rsid w:val="00521200"/>
    <w:rsid w:val="00530464"/>
    <w:rsid w:val="005379E5"/>
    <w:rsid w:val="00541844"/>
    <w:rsid w:val="00541A87"/>
    <w:rsid w:val="00544C72"/>
    <w:rsid w:val="0054787B"/>
    <w:rsid w:val="005659A8"/>
    <w:rsid w:val="00582EB6"/>
    <w:rsid w:val="005A0DB2"/>
    <w:rsid w:val="005A55A3"/>
    <w:rsid w:val="005C03E8"/>
    <w:rsid w:val="005C1DBF"/>
    <w:rsid w:val="005D1FA1"/>
    <w:rsid w:val="005F01A9"/>
    <w:rsid w:val="005F52CE"/>
    <w:rsid w:val="00606881"/>
    <w:rsid w:val="0061350A"/>
    <w:rsid w:val="00631427"/>
    <w:rsid w:val="0063632B"/>
    <w:rsid w:val="00645FE3"/>
    <w:rsid w:val="0065183F"/>
    <w:rsid w:val="00653BDD"/>
    <w:rsid w:val="00656315"/>
    <w:rsid w:val="006624C4"/>
    <w:rsid w:val="00673451"/>
    <w:rsid w:val="00673CE7"/>
    <w:rsid w:val="00680122"/>
    <w:rsid w:val="006829F9"/>
    <w:rsid w:val="006910B3"/>
    <w:rsid w:val="0069716C"/>
    <w:rsid w:val="0069793A"/>
    <w:rsid w:val="006A3E51"/>
    <w:rsid w:val="006A5E6D"/>
    <w:rsid w:val="006A6EF4"/>
    <w:rsid w:val="006C0A0B"/>
    <w:rsid w:val="006C21D7"/>
    <w:rsid w:val="006F303F"/>
    <w:rsid w:val="00705270"/>
    <w:rsid w:val="00706069"/>
    <w:rsid w:val="00710D24"/>
    <w:rsid w:val="00711446"/>
    <w:rsid w:val="00720A6F"/>
    <w:rsid w:val="0072435A"/>
    <w:rsid w:val="007250F1"/>
    <w:rsid w:val="00725955"/>
    <w:rsid w:val="0073069E"/>
    <w:rsid w:val="007316EC"/>
    <w:rsid w:val="00734B1D"/>
    <w:rsid w:val="00751E33"/>
    <w:rsid w:val="00756D95"/>
    <w:rsid w:val="0076019D"/>
    <w:rsid w:val="007627F3"/>
    <w:rsid w:val="0078044F"/>
    <w:rsid w:val="00797932"/>
    <w:rsid w:val="007A2034"/>
    <w:rsid w:val="007A3E14"/>
    <w:rsid w:val="007A60A9"/>
    <w:rsid w:val="007B784C"/>
    <w:rsid w:val="007D53F6"/>
    <w:rsid w:val="007D5E53"/>
    <w:rsid w:val="007D75FB"/>
    <w:rsid w:val="00801391"/>
    <w:rsid w:val="00804A9F"/>
    <w:rsid w:val="00810247"/>
    <w:rsid w:val="0082305E"/>
    <w:rsid w:val="008365A4"/>
    <w:rsid w:val="008439EB"/>
    <w:rsid w:val="00850CE9"/>
    <w:rsid w:val="008513C1"/>
    <w:rsid w:val="00852F17"/>
    <w:rsid w:val="008559B3"/>
    <w:rsid w:val="00867363"/>
    <w:rsid w:val="008848D3"/>
    <w:rsid w:val="008851B5"/>
    <w:rsid w:val="00892EE0"/>
    <w:rsid w:val="00893849"/>
    <w:rsid w:val="00893AE8"/>
    <w:rsid w:val="0089642D"/>
    <w:rsid w:val="00897027"/>
    <w:rsid w:val="008A798F"/>
    <w:rsid w:val="008C17EC"/>
    <w:rsid w:val="008C1D8C"/>
    <w:rsid w:val="008E1494"/>
    <w:rsid w:val="008E295A"/>
    <w:rsid w:val="008E420F"/>
    <w:rsid w:val="008E582F"/>
    <w:rsid w:val="008F2DDE"/>
    <w:rsid w:val="008F41E2"/>
    <w:rsid w:val="00904641"/>
    <w:rsid w:val="00911387"/>
    <w:rsid w:val="00921F38"/>
    <w:rsid w:val="00923380"/>
    <w:rsid w:val="0092596E"/>
    <w:rsid w:val="0092787E"/>
    <w:rsid w:val="00941746"/>
    <w:rsid w:val="00947D5F"/>
    <w:rsid w:val="0095511E"/>
    <w:rsid w:val="009619BC"/>
    <w:rsid w:val="009929BB"/>
    <w:rsid w:val="009951E3"/>
    <w:rsid w:val="009B2B5C"/>
    <w:rsid w:val="009C207D"/>
    <w:rsid w:val="009C25B3"/>
    <w:rsid w:val="009C3F3D"/>
    <w:rsid w:val="009C602E"/>
    <w:rsid w:val="009D7915"/>
    <w:rsid w:val="009E3F11"/>
    <w:rsid w:val="009E6BE7"/>
    <w:rsid w:val="009F6BA8"/>
    <w:rsid w:val="00A07343"/>
    <w:rsid w:val="00A3359A"/>
    <w:rsid w:val="00A34968"/>
    <w:rsid w:val="00A47A42"/>
    <w:rsid w:val="00A57FCA"/>
    <w:rsid w:val="00A67698"/>
    <w:rsid w:val="00A8115B"/>
    <w:rsid w:val="00A95E11"/>
    <w:rsid w:val="00AB013D"/>
    <w:rsid w:val="00AE313E"/>
    <w:rsid w:val="00AE3EF4"/>
    <w:rsid w:val="00AE58F3"/>
    <w:rsid w:val="00AF0B69"/>
    <w:rsid w:val="00AF270D"/>
    <w:rsid w:val="00B10F0B"/>
    <w:rsid w:val="00B1148B"/>
    <w:rsid w:val="00B31FED"/>
    <w:rsid w:val="00B326DD"/>
    <w:rsid w:val="00B34179"/>
    <w:rsid w:val="00B71980"/>
    <w:rsid w:val="00B72E31"/>
    <w:rsid w:val="00B806CE"/>
    <w:rsid w:val="00B814AA"/>
    <w:rsid w:val="00B86E0E"/>
    <w:rsid w:val="00B95165"/>
    <w:rsid w:val="00B964D2"/>
    <w:rsid w:val="00BC2A6E"/>
    <w:rsid w:val="00BD3244"/>
    <w:rsid w:val="00BD5C28"/>
    <w:rsid w:val="00BE1052"/>
    <w:rsid w:val="00BF27AC"/>
    <w:rsid w:val="00BF3BC8"/>
    <w:rsid w:val="00C24214"/>
    <w:rsid w:val="00C42ED1"/>
    <w:rsid w:val="00C64A7B"/>
    <w:rsid w:val="00C76A06"/>
    <w:rsid w:val="00CA4D37"/>
    <w:rsid w:val="00CB32F7"/>
    <w:rsid w:val="00CC4514"/>
    <w:rsid w:val="00CD463B"/>
    <w:rsid w:val="00CE4348"/>
    <w:rsid w:val="00D1306B"/>
    <w:rsid w:val="00D1562E"/>
    <w:rsid w:val="00D204FF"/>
    <w:rsid w:val="00D5200F"/>
    <w:rsid w:val="00D55D14"/>
    <w:rsid w:val="00D75745"/>
    <w:rsid w:val="00D83DEA"/>
    <w:rsid w:val="00D8667A"/>
    <w:rsid w:val="00D9678F"/>
    <w:rsid w:val="00DB0D1B"/>
    <w:rsid w:val="00DB5C91"/>
    <w:rsid w:val="00DC093B"/>
    <w:rsid w:val="00DC3333"/>
    <w:rsid w:val="00DC5BA0"/>
    <w:rsid w:val="00DE3D81"/>
    <w:rsid w:val="00DF13A9"/>
    <w:rsid w:val="00DF4C33"/>
    <w:rsid w:val="00DF5107"/>
    <w:rsid w:val="00E1050B"/>
    <w:rsid w:val="00E27931"/>
    <w:rsid w:val="00E34386"/>
    <w:rsid w:val="00EC03F0"/>
    <w:rsid w:val="00ED184F"/>
    <w:rsid w:val="00EE0F69"/>
    <w:rsid w:val="00EE237F"/>
    <w:rsid w:val="00EE2ECC"/>
    <w:rsid w:val="00EF34F2"/>
    <w:rsid w:val="00F06BD9"/>
    <w:rsid w:val="00F104C1"/>
    <w:rsid w:val="00F152D8"/>
    <w:rsid w:val="00F27926"/>
    <w:rsid w:val="00F31E81"/>
    <w:rsid w:val="00F64FC1"/>
    <w:rsid w:val="00F73CD7"/>
    <w:rsid w:val="00F74823"/>
    <w:rsid w:val="00F8760A"/>
    <w:rsid w:val="00F90E2D"/>
    <w:rsid w:val="00F93204"/>
    <w:rsid w:val="00FA33A0"/>
    <w:rsid w:val="00FB28F4"/>
    <w:rsid w:val="00FC002E"/>
    <w:rsid w:val="00FC421B"/>
    <w:rsid w:val="00FD05F6"/>
    <w:rsid w:val="00FE36EC"/>
    <w:rsid w:val="00FE65C3"/>
    <w:rsid w:val="00FF5440"/>
    <w:rsid w:val="04642403"/>
    <w:rsid w:val="05C66CB7"/>
    <w:rsid w:val="09F558AC"/>
    <w:rsid w:val="0E6829F1"/>
    <w:rsid w:val="12B411D4"/>
    <w:rsid w:val="13F07A51"/>
    <w:rsid w:val="15330D83"/>
    <w:rsid w:val="1C82420C"/>
    <w:rsid w:val="20217DE2"/>
    <w:rsid w:val="22B61D39"/>
    <w:rsid w:val="23DD0A5C"/>
    <w:rsid w:val="2F367E2E"/>
    <w:rsid w:val="2F4D1371"/>
    <w:rsid w:val="304915FC"/>
    <w:rsid w:val="31007F5A"/>
    <w:rsid w:val="32531935"/>
    <w:rsid w:val="337C0328"/>
    <w:rsid w:val="37220945"/>
    <w:rsid w:val="399A7DC1"/>
    <w:rsid w:val="3A894CBE"/>
    <w:rsid w:val="3F236277"/>
    <w:rsid w:val="3F73699D"/>
    <w:rsid w:val="40160951"/>
    <w:rsid w:val="453F928B"/>
    <w:rsid w:val="4D480C87"/>
    <w:rsid w:val="52DF23A5"/>
    <w:rsid w:val="544D38E7"/>
    <w:rsid w:val="552D47F0"/>
    <w:rsid w:val="559D264C"/>
    <w:rsid w:val="55FF56F9"/>
    <w:rsid w:val="5A131B4E"/>
    <w:rsid w:val="5BBB637E"/>
    <w:rsid w:val="5F67B53F"/>
    <w:rsid w:val="5FF71687"/>
    <w:rsid w:val="62DB3359"/>
    <w:rsid w:val="6C3B1ABD"/>
    <w:rsid w:val="6F764DE6"/>
    <w:rsid w:val="7733A935"/>
    <w:rsid w:val="782A3DBC"/>
    <w:rsid w:val="792360A6"/>
    <w:rsid w:val="7EBFBBCC"/>
    <w:rsid w:val="BF3B8610"/>
    <w:rsid w:val="FC3E8954"/>
    <w:rsid w:val="FDDE984D"/>
    <w:rsid w:val="FFA76575"/>
    <w:rsid w:val="FFF1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autoRedefine/>
    <w:qFormat/>
    <w:uiPriority w:val="0"/>
    <w:pPr>
      <w:jc w:val="left"/>
    </w:pPr>
  </w:style>
  <w:style w:type="paragraph" w:styleId="3">
    <w:name w:val="Date"/>
    <w:basedOn w:val="1"/>
    <w:next w:val="1"/>
    <w:link w:val="17"/>
    <w:qFormat/>
    <w:uiPriority w:val="0"/>
    <w:pPr>
      <w:ind w:left="100" w:leftChars="2500"/>
    </w:p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19"/>
    <w:autoRedefine/>
    <w:qFormat/>
    <w:uiPriority w:val="0"/>
    <w:rPr>
      <w:b/>
      <w:bCs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autoRedefine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1"/>
    <w:autoRedefine/>
    <w:qFormat/>
    <w:uiPriority w:val="0"/>
    <w:rPr>
      <w:sz w:val="21"/>
      <w:szCs w:val="21"/>
    </w:rPr>
  </w:style>
  <w:style w:type="character" w:customStyle="1" w:styleId="14">
    <w:name w:val="批注框文本 字符"/>
    <w:basedOn w:val="11"/>
    <w:link w:val="4"/>
    <w:autoRedefine/>
    <w:qFormat/>
    <w:uiPriority w:val="0"/>
    <w:rPr>
      <w:kern w:val="2"/>
      <w:sz w:val="18"/>
      <w:szCs w:val="18"/>
    </w:rPr>
  </w:style>
  <w:style w:type="character" w:customStyle="1" w:styleId="15">
    <w:name w:val="页眉 字符"/>
    <w:basedOn w:val="11"/>
    <w:link w:val="6"/>
    <w:autoRedefine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5"/>
    <w:autoRedefine/>
    <w:qFormat/>
    <w:uiPriority w:val="0"/>
    <w:rPr>
      <w:kern w:val="2"/>
      <w:sz w:val="18"/>
      <w:szCs w:val="18"/>
    </w:rPr>
  </w:style>
  <w:style w:type="character" w:customStyle="1" w:styleId="17">
    <w:name w:val="日期 字符"/>
    <w:basedOn w:val="11"/>
    <w:link w:val="3"/>
    <w:autoRedefine/>
    <w:qFormat/>
    <w:uiPriority w:val="0"/>
    <w:rPr>
      <w:kern w:val="2"/>
      <w:sz w:val="21"/>
    </w:rPr>
  </w:style>
  <w:style w:type="character" w:customStyle="1" w:styleId="18">
    <w:name w:val="批注文字 字符"/>
    <w:basedOn w:val="11"/>
    <w:link w:val="2"/>
    <w:autoRedefine/>
    <w:qFormat/>
    <w:uiPriority w:val="0"/>
    <w:rPr>
      <w:kern w:val="2"/>
      <w:sz w:val="21"/>
    </w:rPr>
  </w:style>
  <w:style w:type="character" w:customStyle="1" w:styleId="19">
    <w:name w:val="批注主题 字符"/>
    <w:basedOn w:val="18"/>
    <w:link w:val="8"/>
    <w:autoRedefine/>
    <w:qFormat/>
    <w:uiPriority w:val="0"/>
    <w:rPr>
      <w:b/>
      <w:bCs/>
      <w:kern w:val="2"/>
      <w:sz w:val="21"/>
    </w:rPr>
  </w:style>
  <w:style w:type="paragraph" w:customStyle="1" w:styleId="20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mdlaw</Company>
  <Pages>5</Pages>
  <Words>2407</Words>
  <Characters>2486</Characters>
  <Lines>20</Lines>
  <Paragraphs>5</Paragraphs>
  <TotalTime>131</TotalTime>
  <ScaleCrop>false</ScaleCrop>
  <LinksUpToDate>false</LinksUpToDate>
  <CharactersWithSpaces>2782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2022-02-12T14:33:00Z</dcterms:created>
  <dc:creator>K-Bright</dc:creator>
  <cp:lastModifiedBy>FDDH</cp:lastModifiedBy>
  <cp:lastPrinted>2023-06-13T06:12:00Z</cp:lastPrinted>
  <dcterms:modified xsi:type="dcterms:W3CDTF">2024-09-05T03:18:16Z</dcterms:modified>
  <dc:title>债权申报材料一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D4514B54AF844A33AE9B205DD311AB40_13</vt:lpwstr>
  </property>
</Properties>
</file>