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01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  <w:t>附件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5：</w:t>
      </w:r>
    </w:p>
    <w:p w14:paraId="588DE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/>
          <w:b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default" w:ascii="仿宋" w:hAnsi="仿宋" w:eastAsia="仿宋"/>
          <w:b/>
          <w:color w:val="auto"/>
          <w:sz w:val="32"/>
          <w:szCs w:val="32"/>
          <w:lang w:val="en-US" w:eastAsia="zh-CN"/>
        </w:rPr>
        <w:t>重整投资方案要素指引</w:t>
      </w:r>
      <w:bookmarkEnd w:id="0"/>
    </w:p>
    <w:p w14:paraId="2B7F96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/>
          <w:b/>
          <w:color w:val="auto"/>
          <w:sz w:val="32"/>
          <w:szCs w:val="32"/>
          <w:lang w:val="en-US" w:eastAsia="zh-CN"/>
        </w:rPr>
      </w:pPr>
    </w:p>
    <w:p w14:paraId="707EA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  <w:t>第一部分 投资主体基本信息</w:t>
      </w:r>
    </w:p>
    <w:p w14:paraId="365B6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一、主体资格</w:t>
      </w:r>
    </w:p>
    <w:p w14:paraId="59C8C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二、股权结构</w:t>
      </w:r>
    </w:p>
    <w:p w14:paraId="0F684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三、历史沿革</w:t>
      </w:r>
    </w:p>
    <w:p w14:paraId="04E9E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四、经营范围</w:t>
      </w:r>
    </w:p>
    <w:p w14:paraId="3C347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五、主要财务指标及业绩说明</w:t>
      </w:r>
    </w:p>
    <w:p w14:paraId="10B24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  <w:t>第二部分 投资优势及与协同性说明</w:t>
      </w:r>
    </w:p>
    <w:p w14:paraId="4D1EA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意向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投资人的投资优势</w:t>
      </w:r>
    </w:p>
    <w:p w14:paraId="49149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二、与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酒泉万象建材有限责任公司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的协同性说明</w:t>
      </w:r>
    </w:p>
    <w:p w14:paraId="19D87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  <w:t>第三部分 投资金额及构成</w:t>
      </w:r>
    </w:p>
    <w:p w14:paraId="44831C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将投入合计人民币【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 xml:space="preserve">       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】元资金用于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酒泉万象建材有限责任公司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重整，资金汇入的时间为重整计划获得法院批准之后【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】日内。</w:t>
      </w:r>
    </w:p>
    <w:p w14:paraId="7F845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意向投资人需要在本部分明确投资金额的确定依据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、用途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。</w:t>
      </w:r>
    </w:p>
    <w:p w14:paraId="0CACD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  <w:t>第四部分 偿债方案</w:t>
      </w:r>
    </w:p>
    <w:p w14:paraId="56772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有财产担保债权、职工债权、税款债权及普通债权的调整及清偿 方案。</w:t>
      </w:r>
    </w:p>
    <w:p w14:paraId="438881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如清偿方案有债转股安排，意向投资人需在本部分明确债权人持 股数量的依据及退出方式。</w:t>
      </w:r>
    </w:p>
    <w:p w14:paraId="5AF76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  <w:t>第五部分 未来股权架构</w:t>
      </w:r>
    </w:p>
    <w:p w14:paraId="63F2E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一、出资人权益调整方案</w:t>
      </w:r>
    </w:p>
    <w:p w14:paraId="55FB8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二、重整后股权架构</w:t>
      </w:r>
    </w:p>
    <w:p w14:paraId="13F54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  <w:t>第六部分 未来经营方案</w:t>
      </w:r>
    </w:p>
    <w:p w14:paraId="42900A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请意向投资人结合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酒泉万象建材有限责任公司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的情况以及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当地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产业发展规划制定未来经营及投资方案。</w:t>
      </w:r>
    </w:p>
    <w:p w14:paraId="3A32A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意向投资人需明确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酒泉万象建材有限责任公司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自202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5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年起未来三年的营业收入及利润水平预测。</w:t>
      </w:r>
    </w:p>
    <w:p w14:paraId="3295C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意向投资人需提交有针对性、可切实执行的经营方案。</w:t>
      </w:r>
    </w:p>
    <w:p w14:paraId="601E0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left"/>
        <w:textAlignment w:val="auto"/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  <w:t>第七部分 其他</w:t>
      </w:r>
    </w:p>
    <w:p w14:paraId="32E27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请意向投资人针对如何保证债权人利益做出说明。</w:t>
      </w:r>
    </w:p>
    <w:p w14:paraId="33A613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2D375E3B"/>
    <w:rsid w:val="2D375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2024-09-08T02:16:00Z</dcterms:created>
  <dc:creator>赵书艺</dc:creator>
  <cp:lastModifiedBy>赵书艺</cp:lastModifiedBy>
  <dcterms:modified xsi:type="dcterms:W3CDTF">2024-09-08T02:16:20Z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71B69EBB27DE4AB8B3C462A784293BC5_11</vt:lpwstr>
  </property>
</Properties>
</file>