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57FF5">
      <w:pPr>
        <w:pStyle w:val="13"/>
        <w:tabs>
          <w:tab w:val="left" w:pos="1661"/>
        </w:tabs>
        <w:spacing w:before="0" w:line="600" w:lineRule="exact"/>
        <w:ind w:left="0" w:firstLine="0"/>
        <w:jc w:val="both"/>
        <w:rPr>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rPr>
        <w:t>1</w:t>
      </w:r>
    </w:p>
    <w:p w14:paraId="38688097">
      <w:pPr>
        <w:pStyle w:val="13"/>
        <w:tabs>
          <w:tab w:val="left" w:pos="1661"/>
        </w:tabs>
        <w:spacing w:before="0" w:line="600" w:lineRule="exact"/>
        <w:ind w:left="0" w:firstLine="0"/>
        <w:jc w:val="center"/>
        <w:rPr>
          <w:rFonts w:hint="eastAsia" w:ascii="Arial Unicode MS" w:hAnsi="Arial Unicode MS" w:eastAsia="Arial Unicode MS" w:cs="Arial Unicode MS"/>
          <w:b w:val="0"/>
          <w:bCs w:val="0"/>
          <w:sz w:val="44"/>
          <w:szCs w:val="44"/>
          <w:lang w:val="en-US"/>
        </w:rPr>
      </w:pPr>
      <w:r>
        <w:rPr>
          <w:rFonts w:hint="eastAsia" w:ascii="Arial Unicode MS" w:hAnsi="Arial Unicode MS" w:eastAsia="Arial Unicode MS" w:cs="Arial Unicode MS"/>
          <w:b w:val="0"/>
          <w:bCs w:val="0"/>
          <w:sz w:val="44"/>
          <w:szCs w:val="44"/>
          <w:lang w:val="en-US"/>
        </w:rPr>
        <w:t>比选须知</w:t>
      </w:r>
    </w:p>
    <w:tbl>
      <w:tblPr>
        <w:tblStyle w:val="9"/>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818"/>
        <w:gridCol w:w="6438"/>
      </w:tblGrid>
      <w:tr w14:paraId="730A1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8" w:type="pct"/>
            <w:vAlign w:val="center"/>
          </w:tcPr>
          <w:p w14:paraId="377CB568">
            <w:pPr>
              <w:pStyle w:val="14"/>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序号</w:t>
            </w:r>
          </w:p>
        </w:tc>
        <w:tc>
          <w:tcPr>
            <w:tcW w:w="1004" w:type="pct"/>
            <w:vAlign w:val="center"/>
          </w:tcPr>
          <w:p w14:paraId="1CE6F0FF">
            <w:pPr>
              <w:pStyle w:val="14"/>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条</w:t>
            </w:r>
            <w:r>
              <w:rPr>
                <w:rFonts w:hint="eastAsia"/>
                <w:b/>
                <w:color w:val="auto"/>
                <w:w w:val="105"/>
                <w:sz w:val="22"/>
                <w:szCs w:val="22"/>
                <w:highlight w:val="none"/>
                <w:lang w:eastAsia="zh-CN"/>
              </w:rPr>
              <w:t>　</w:t>
            </w:r>
            <w:r>
              <w:rPr>
                <w:rFonts w:hint="eastAsia"/>
                <w:b/>
                <w:color w:val="auto"/>
                <w:w w:val="105"/>
                <w:sz w:val="22"/>
                <w:szCs w:val="22"/>
                <w:highlight w:val="none"/>
              </w:rPr>
              <w:t>款</w:t>
            </w:r>
          </w:p>
        </w:tc>
        <w:tc>
          <w:tcPr>
            <w:tcW w:w="3556" w:type="pct"/>
            <w:vAlign w:val="center"/>
          </w:tcPr>
          <w:p w14:paraId="048904CC">
            <w:pPr>
              <w:pStyle w:val="14"/>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内容规定</w:t>
            </w:r>
          </w:p>
        </w:tc>
      </w:tr>
      <w:tr w14:paraId="64E11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2B73EDFD">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lang w:val="en-US"/>
              </w:rPr>
              <w:t>1</w:t>
            </w:r>
          </w:p>
        </w:tc>
        <w:tc>
          <w:tcPr>
            <w:tcW w:w="1004" w:type="pct"/>
            <w:vAlign w:val="center"/>
          </w:tcPr>
          <w:p w14:paraId="0BDB9A3F">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项目情况</w:t>
            </w:r>
          </w:p>
        </w:tc>
        <w:tc>
          <w:tcPr>
            <w:tcW w:w="3556" w:type="pct"/>
            <w:vAlign w:val="center"/>
          </w:tcPr>
          <w:p w14:paraId="0F541CAB">
            <w:pPr>
              <w:pStyle w:val="14"/>
              <w:keepNext w:val="0"/>
              <w:pageBreakBefore w:val="0"/>
              <w:kinsoku/>
              <w:wordWrap/>
              <w:overflowPunct/>
              <w:topLinePunct w:val="0"/>
              <w:autoSpaceDE w:val="0"/>
              <w:autoSpaceDN w:val="0"/>
              <w:bidi w:val="0"/>
              <w:adjustRightInd/>
              <w:snapToGrid/>
              <w:spacing w:line="320" w:lineRule="exact"/>
              <w:ind w:left="0" w:leftChars="0"/>
              <w:jc w:val="both"/>
              <w:textAlignment w:val="auto"/>
              <w:rPr>
                <w:rFonts w:hint="default" w:eastAsia="仿宋"/>
                <w:color w:val="auto"/>
                <w:sz w:val="22"/>
                <w:szCs w:val="22"/>
                <w:highlight w:val="none"/>
                <w:lang w:val="en-US" w:eastAsia="zh-CN"/>
              </w:rPr>
            </w:pPr>
            <w:r>
              <w:rPr>
                <w:rFonts w:hint="eastAsia"/>
                <w:b/>
                <w:color w:val="auto"/>
                <w:sz w:val="22"/>
                <w:szCs w:val="22"/>
                <w:highlight w:val="none"/>
              </w:rPr>
              <w:t>项目名称：</w:t>
            </w:r>
            <w:r>
              <w:rPr>
                <w:rFonts w:hint="eastAsia"/>
                <w:b w:val="0"/>
                <w:bCs/>
                <w:color w:val="auto"/>
                <w:sz w:val="22"/>
                <w:szCs w:val="22"/>
                <w:highlight w:val="none"/>
                <w:lang w:eastAsia="zh-CN"/>
              </w:rPr>
              <w:t>崇州市悦禾房地产开发有限公司</w:t>
            </w:r>
            <w:r>
              <w:rPr>
                <w:rFonts w:hint="eastAsia"/>
                <w:b w:val="0"/>
                <w:bCs/>
                <w:color w:val="auto"/>
                <w:sz w:val="22"/>
                <w:szCs w:val="22"/>
                <w:highlight w:val="none"/>
                <w:lang w:val="en-US" w:eastAsia="zh-CN"/>
              </w:rPr>
              <w:t>预重整</w:t>
            </w:r>
            <w:r>
              <w:rPr>
                <w:rFonts w:hint="eastAsia"/>
                <w:color w:val="auto"/>
                <w:sz w:val="22"/>
                <w:szCs w:val="22"/>
                <w:highlight w:val="none"/>
              </w:rPr>
              <w:t>案</w:t>
            </w:r>
            <w:r>
              <w:rPr>
                <w:rFonts w:hint="eastAsia"/>
                <w:color w:val="auto"/>
                <w:sz w:val="22"/>
                <w:szCs w:val="22"/>
                <w:highlight w:val="none"/>
                <w:lang w:val="en-US" w:eastAsia="zh-CN"/>
              </w:rPr>
              <w:t>工程造价咨询项目</w:t>
            </w:r>
          </w:p>
          <w:p w14:paraId="5F01D270">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eastAsia="仿宋" w:asciiTheme="majorEastAsia" w:hAnsiTheme="majorEastAsia" w:cstheme="majorEastAsia"/>
                <w:b/>
                <w:bCs/>
                <w:color w:val="auto"/>
                <w:sz w:val="32"/>
                <w:szCs w:val="32"/>
                <w:highlight w:val="none"/>
                <w:lang w:val="en-US" w:eastAsia="zh-CN"/>
              </w:rPr>
            </w:pPr>
            <w:r>
              <w:rPr>
                <w:rFonts w:hint="eastAsia"/>
                <w:b/>
                <w:color w:val="auto"/>
                <w:sz w:val="22"/>
                <w:szCs w:val="22"/>
                <w:highlight w:val="none"/>
              </w:rPr>
              <w:t>项目地点：</w:t>
            </w:r>
            <w:r>
              <w:rPr>
                <w:rFonts w:hint="eastAsia"/>
                <w:b w:val="0"/>
                <w:bCs/>
                <w:color w:val="auto"/>
                <w:sz w:val="22"/>
                <w:szCs w:val="22"/>
                <w:highlight w:val="none"/>
                <w:lang w:val="en-US" w:eastAsia="zh-CN"/>
              </w:rPr>
              <w:t>四川省成都市</w:t>
            </w:r>
          </w:p>
        </w:tc>
      </w:tr>
      <w:tr w14:paraId="1A1B9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7FD579A9">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2</w:t>
            </w:r>
          </w:p>
        </w:tc>
        <w:tc>
          <w:tcPr>
            <w:tcW w:w="1004" w:type="pct"/>
            <w:vAlign w:val="center"/>
          </w:tcPr>
          <w:p w14:paraId="71943143">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lang w:val="en-US" w:eastAsia="zh-CN"/>
              </w:rPr>
              <w:t>工程造价咨询</w:t>
            </w:r>
            <w:r>
              <w:rPr>
                <w:rFonts w:hint="eastAsia"/>
                <w:b/>
                <w:color w:val="auto"/>
                <w:sz w:val="22"/>
                <w:szCs w:val="22"/>
                <w:highlight w:val="none"/>
              </w:rPr>
              <w:t>机构服务范围及内</w:t>
            </w:r>
            <w:r>
              <w:rPr>
                <w:rFonts w:hint="eastAsia"/>
                <w:b/>
                <w:color w:val="auto"/>
                <w:w w:val="105"/>
                <w:sz w:val="22"/>
                <w:szCs w:val="22"/>
                <w:highlight w:val="none"/>
              </w:rPr>
              <w:t>容</w:t>
            </w:r>
          </w:p>
        </w:tc>
        <w:tc>
          <w:tcPr>
            <w:tcW w:w="3556" w:type="pct"/>
            <w:vAlign w:val="center"/>
          </w:tcPr>
          <w:p w14:paraId="72011914">
            <w:pPr>
              <w:pStyle w:val="14"/>
              <w:keepNext w:val="0"/>
              <w:pageBreakBefore w:val="0"/>
              <w:numPr>
                <w:ilvl w:val="0"/>
                <w:numId w:val="1"/>
              </w:numPr>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对项目已建设部分工程款进行结算审核；</w:t>
            </w:r>
          </w:p>
          <w:p w14:paraId="019F69B7">
            <w:pPr>
              <w:pStyle w:val="14"/>
              <w:keepNext w:val="0"/>
              <w:pageBreakBefore w:val="0"/>
              <w:numPr>
                <w:ilvl w:val="0"/>
                <w:numId w:val="1"/>
              </w:numPr>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对项目续建工程做相应的预算，并出具报告；</w:t>
            </w:r>
          </w:p>
          <w:p w14:paraId="5481B6C2">
            <w:pPr>
              <w:pStyle w:val="14"/>
              <w:keepNext w:val="0"/>
              <w:pageBreakBefore w:val="0"/>
              <w:numPr>
                <w:ilvl w:val="0"/>
                <w:numId w:val="1"/>
              </w:numPr>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（三）对项目续建部分进行施工阶段全过程造价控制（包括但不限于招标、合同签订、过程认质认价、收方、产值审核、工程款支付等工作）以及结算审核；</w:t>
            </w:r>
          </w:p>
          <w:p w14:paraId="3C8C7A34">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（四）解答预重整管理人对工程造价提出的疑问；</w:t>
            </w:r>
          </w:p>
          <w:p w14:paraId="21DB3886">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（五）协助预重整管理人对工程款债权进行审核；</w:t>
            </w:r>
          </w:p>
          <w:p w14:paraId="7E024E9D">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eastAsia="仿宋_GB2312"/>
                <w:color w:val="auto"/>
                <w:sz w:val="22"/>
                <w:szCs w:val="22"/>
                <w:highlight w:val="none"/>
                <w:lang w:val="en-US" w:eastAsia="zh-CN"/>
              </w:rPr>
            </w:pPr>
            <w:r>
              <w:rPr>
                <w:rFonts w:hint="eastAsia"/>
                <w:color w:val="auto"/>
                <w:sz w:val="22"/>
                <w:szCs w:val="22"/>
                <w:highlight w:val="none"/>
                <w:lang w:val="en-US" w:eastAsia="zh-CN"/>
              </w:rPr>
              <w:t>（六）预重整管理人提出的其他有关工程款债权、工程造价过程控制、结算等事项。</w:t>
            </w:r>
          </w:p>
        </w:tc>
      </w:tr>
      <w:tr w14:paraId="195AD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38" w:type="pct"/>
            <w:vAlign w:val="center"/>
          </w:tcPr>
          <w:p w14:paraId="3ED0F897">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3</w:t>
            </w:r>
          </w:p>
        </w:tc>
        <w:tc>
          <w:tcPr>
            <w:tcW w:w="1004" w:type="pct"/>
            <w:vAlign w:val="center"/>
          </w:tcPr>
          <w:p w14:paraId="69AB3FE1">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比选保证金</w:t>
            </w:r>
          </w:p>
        </w:tc>
        <w:tc>
          <w:tcPr>
            <w:tcW w:w="3556" w:type="pct"/>
            <w:vAlign w:val="center"/>
          </w:tcPr>
          <w:p w14:paraId="4C991378">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eastAsia="仿宋" w:asciiTheme="majorEastAsia" w:hAnsiTheme="majorEastAsia" w:cstheme="majorEastAsia"/>
                <w:b/>
                <w:bCs/>
                <w:color w:val="auto"/>
                <w:sz w:val="32"/>
                <w:szCs w:val="32"/>
                <w:highlight w:val="none"/>
                <w:lang w:val="en-US" w:eastAsia="zh-CN"/>
              </w:rPr>
            </w:pPr>
            <w:r>
              <w:rPr>
                <w:rFonts w:hint="eastAsia"/>
                <w:color w:val="auto"/>
                <w:w w:val="99"/>
                <w:sz w:val="22"/>
                <w:szCs w:val="22"/>
                <w:highlight w:val="none"/>
              </w:rPr>
              <w:t>无</w:t>
            </w:r>
            <w:r>
              <w:rPr>
                <w:rFonts w:hint="eastAsia"/>
                <w:color w:val="auto"/>
                <w:w w:val="99"/>
                <w:sz w:val="22"/>
                <w:szCs w:val="22"/>
                <w:highlight w:val="none"/>
                <w:lang w:eastAsia="zh-CN"/>
              </w:rPr>
              <w:t>。</w:t>
            </w:r>
          </w:p>
        </w:tc>
      </w:tr>
      <w:tr w14:paraId="229A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2BB07A12">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4</w:t>
            </w:r>
          </w:p>
        </w:tc>
        <w:tc>
          <w:tcPr>
            <w:tcW w:w="1004" w:type="pct"/>
            <w:vAlign w:val="center"/>
          </w:tcPr>
          <w:p w14:paraId="19C86EF2">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仿宋" w:hAnsi="仿宋" w:eastAsia="仿宋" w:cs="仿宋"/>
                <w:b/>
                <w:color w:val="auto"/>
                <w:w w:val="105"/>
                <w:sz w:val="22"/>
                <w:szCs w:val="22"/>
                <w:highlight w:val="none"/>
                <w:lang w:val="en-US" w:eastAsia="zh-CN"/>
              </w:rPr>
              <w:t>报价要求</w:t>
            </w:r>
          </w:p>
        </w:tc>
        <w:tc>
          <w:tcPr>
            <w:tcW w:w="3556" w:type="pct"/>
            <w:vAlign w:val="center"/>
          </w:tcPr>
          <w:p w14:paraId="0E99CF2B">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1、</w:t>
            </w:r>
            <w:r>
              <w:rPr>
                <w:rFonts w:hint="default"/>
                <w:color w:val="auto"/>
                <w:sz w:val="22"/>
                <w:szCs w:val="22"/>
                <w:highlight w:val="none"/>
                <w:lang w:val="en-US" w:eastAsia="zh-CN"/>
              </w:rPr>
              <w:t>因</w:t>
            </w:r>
            <w:r>
              <w:rPr>
                <w:rFonts w:hint="eastAsia"/>
                <w:color w:val="auto"/>
                <w:sz w:val="22"/>
                <w:szCs w:val="22"/>
                <w:highlight w:val="none"/>
                <w:lang w:val="en-US" w:eastAsia="zh-CN"/>
              </w:rPr>
              <w:t>客观</w:t>
            </w:r>
            <w:r>
              <w:rPr>
                <w:rFonts w:hint="default"/>
                <w:color w:val="auto"/>
                <w:sz w:val="22"/>
                <w:szCs w:val="22"/>
                <w:highlight w:val="none"/>
                <w:lang w:val="en-US" w:eastAsia="zh-CN"/>
              </w:rPr>
              <w:t>等原因导致</w:t>
            </w:r>
            <w:r>
              <w:rPr>
                <w:rFonts w:hint="eastAsia"/>
                <w:color w:val="auto"/>
                <w:sz w:val="22"/>
                <w:szCs w:val="22"/>
                <w:highlight w:val="none"/>
                <w:lang w:val="en-US" w:eastAsia="zh-CN"/>
              </w:rPr>
              <w:t>工作</w:t>
            </w:r>
            <w:r>
              <w:rPr>
                <w:rFonts w:hint="default"/>
                <w:color w:val="auto"/>
                <w:sz w:val="22"/>
                <w:szCs w:val="22"/>
                <w:highlight w:val="none"/>
                <w:lang w:val="en-US" w:eastAsia="zh-CN"/>
              </w:rPr>
              <w:t>人员滞留的损失由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14:paraId="060A138A">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2、</w:t>
            </w:r>
            <w:r>
              <w:rPr>
                <w:rFonts w:hint="default"/>
                <w:color w:val="auto"/>
                <w:sz w:val="22"/>
                <w:szCs w:val="22"/>
                <w:highlight w:val="none"/>
                <w:lang w:val="en-US" w:eastAsia="zh-CN"/>
              </w:rPr>
              <w:t>必要时需到现场接受法院、债权人会议质询，产生的费用由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14:paraId="74319493">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3、</w:t>
            </w:r>
            <w:r>
              <w:rPr>
                <w:rFonts w:hint="default"/>
                <w:color w:val="auto"/>
                <w:sz w:val="22"/>
                <w:szCs w:val="22"/>
                <w:highlight w:val="none"/>
                <w:lang w:val="en-US" w:eastAsia="zh-CN"/>
              </w:rPr>
              <w:t>报价为</w:t>
            </w:r>
            <w:r>
              <w:rPr>
                <w:rFonts w:hint="eastAsia"/>
                <w:color w:val="auto"/>
                <w:sz w:val="22"/>
                <w:szCs w:val="22"/>
                <w:highlight w:val="none"/>
                <w:lang w:val="en-US" w:eastAsia="zh-CN"/>
              </w:rPr>
              <w:t>含税</w:t>
            </w:r>
            <w:r>
              <w:rPr>
                <w:rFonts w:hint="default"/>
                <w:color w:val="auto"/>
                <w:sz w:val="22"/>
                <w:szCs w:val="22"/>
                <w:highlight w:val="none"/>
                <w:lang w:val="en-US" w:eastAsia="zh-CN"/>
              </w:rPr>
              <w:t>包干价，</w:t>
            </w:r>
            <w:r>
              <w:rPr>
                <w:rFonts w:hint="eastAsia"/>
                <w:color w:val="auto"/>
                <w:sz w:val="22"/>
                <w:szCs w:val="22"/>
                <w:highlight w:val="none"/>
                <w:lang w:val="en-US" w:eastAsia="zh-CN"/>
              </w:rPr>
              <w:t>工作</w:t>
            </w:r>
            <w:r>
              <w:rPr>
                <w:rFonts w:hint="default"/>
                <w:color w:val="auto"/>
                <w:sz w:val="22"/>
                <w:szCs w:val="22"/>
                <w:highlight w:val="none"/>
                <w:lang w:val="en-US" w:eastAsia="zh-CN"/>
              </w:rPr>
              <w:t>人员差旅费自理</w:t>
            </w:r>
            <w:r>
              <w:rPr>
                <w:rFonts w:hint="eastAsia"/>
                <w:color w:val="auto"/>
                <w:sz w:val="22"/>
                <w:szCs w:val="22"/>
                <w:highlight w:val="none"/>
                <w:lang w:val="en-US" w:eastAsia="zh-CN"/>
              </w:rPr>
              <w:t>。</w:t>
            </w:r>
          </w:p>
          <w:p w14:paraId="16BD8C26">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bCs/>
                <w:color w:val="auto"/>
                <w:sz w:val="22"/>
                <w:szCs w:val="22"/>
                <w:highlight w:val="none"/>
                <w:lang w:val="en-US" w:eastAsia="zh-CN"/>
              </w:rPr>
            </w:pPr>
            <w:r>
              <w:rPr>
                <w:rFonts w:hint="eastAsia"/>
                <w:b/>
                <w:bCs/>
                <w:color w:val="auto"/>
                <w:sz w:val="22"/>
                <w:szCs w:val="22"/>
                <w:highlight w:val="none"/>
                <w:lang w:val="en-US" w:eastAsia="zh-CN"/>
              </w:rPr>
              <w:t>4、服务</w:t>
            </w:r>
            <w:r>
              <w:rPr>
                <w:rFonts w:hint="default"/>
                <w:b/>
                <w:bCs/>
                <w:color w:val="auto"/>
                <w:sz w:val="22"/>
                <w:szCs w:val="22"/>
                <w:highlight w:val="none"/>
                <w:lang w:val="en-US" w:eastAsia="zh-CN"/>
              </w:rPr>
              <w:t>费用在</w:t>
            </w:r>
            <w:r>
              <w:rPr>
                <w:rFonts w:hint="eastAsia"/>
                <w:b/>
                <w:bCs/>
                <w:color w:val="auto"/>
                <w:sz w:val="22"/>
                <w:szCs w:val="22"/>
                <w:highlight w:val="none"/>
                <w:lang w:val="en-US" w:eastAsia="zh-CN"/>
              </w:rPr>
              <w:t>法院受理</w:t>
            </w:r>
            <w:r>
              <w:rPr>
                <w:rFonts w:hint="eastAsia"/>
                <w:b/>
                <w:bCs/>
                <w:color w:val="auto"/>
                <w:sz w:val="22"/>
                <w:szCs w:val="22"/>
                <w:highlight w:val="none"/>
                <w:lang w:eastAsia="zh-CN"/>
              </w:rPr>
              <w:t>崇州市悦禾房地产开发有限公司</w:t>
            </w:r>
            <w:r>
              <w:rPr>
                <w:rFonts w:hint="eastAsia" w:cs="仿宋"/>
                <w:b/>
                <w:bCs/>
                <w:color w:val="auto"/>
                <w:sz w:val="22"/>
                <w:szCs w:val="22"/>
                <w:highlight w:val="none"/>
                <w:lang w:val="en-US" w:eastAsia="zh-CN"/>
              </w:rPr>
              <w:t>破产重整后，管理人视破产程序的进展情况报法院后安排支付时间。</w:t>
            </w:r>
          </w:p>
          <w:p w14:paraId="363EE8CF">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bCs/>
                <w:color w:val="auto"/>
                <w:sz w:val="22"/>
                <w:szCs w:val="22"/>
                <w:highlight w:val="none"/>
                <w:lang w:val="en-US" w:eastAsia="zh-CN"/>
              </w:rPr>
            </w:pPr>
            <w:r>
              <w:rPr>
                <w:rFonts w:hint="eastAsia" w:cs="仿宋"/>
                <w:b/>
                <w:bCs/>
                <w:color w:val="auto"/>
                <w:sz w:val="22"/>
                <w:szCs w:val="22"/>
                <w:highlight w:val="none"/>
                <w:lang w:val="en-US" w:eastAsia="zh-CN"/>
              </w:rPr>
              <w:t>5、服务期内要求指派2名以上固定人员（驻场人员应具备驻场项目及管理项目的经验）驻场办公，驻场人员费用涵盖在报价范围内。</w:t>
            </w:r>
          </w:p>
          <w:p w14:paraId="09B54BBF">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6、报价模式：基本费用和过控费用采用固定总价（含税），效益审核费按本报价要求报核减额的费率。</w:t>
            </w:r>
          </w:p>
          <w:p w14:paraId="6905563B">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7、报价最高限额：</w:t>
            </w:r>
          </w:p>
          <w:p w14:paraId="2F97AAB1">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基本费用+效益审核费+过控费用；</w:t>
            </w:r>
          </w:p>
          <w:p w14:paraId="6489688E">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1)基本费用：最高报价限额80万元（大写：捌拾万元）；</w:t>
            </w:r>
          </w:p>
          <w:p w14:paraId="7E033588">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2)效益审核费率最高报价限额：</w:t>
            </w:r>
          </w:p>
          <w:p w14:paraId="3B0FCAD1">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核减额占送审金额的5%以内部分（含5%），按送核减额的5</w:t>
            </w:r>
            <w:r>
              <w:rPr>
                <w:rFonts w:hint="default" w:ascii="Arial" w:hAnsi="Arial" w:cs="Arial"/>
                <w:b w:val="0"/>
                <w:bCs w:val="0"/>
                <w:color w:val="auto"/>
                <w:sz w:val="22"/>
                <w:szCs w:val="22"/>
                <w:highlight w:val="none"/>
                <w:lang w:val="en-US" w:eastAsia="zh-CN"/>
              </w:rPr>
              <w:t>‰</w:t>
            </w:r>
            <w:r>
              <w:rPr>
                <w:rFonts w:hint="eastAsia" w:cs="仿宋"/>
                <w:b w:val="0"/>
                <w:bCs w:val="0"/>
                <w:color w:val="auto"/>
                <w:sz w:val="22"/>
                <w:szCs w:val="22"/>
                <w:highlight w:val="none"/>
                <w:lang w:val="en-US" w:eastAsia="zh-CN"/>
              </w:rPr>
              <w:t>；</w:t>
            </w:r>
          </w:p>
          <w:p w14:paraId="3BCF59F6">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核减额占送审金额的5%-20%的部分（含20%），按送核减额的4</w:t>
            </w:r>
            <w:r>
              <w:rPr>
                <w:rFonts w:hint="default" w:ascii="Arial" w:hAnsi="Arial" w:cs="Arial"/>
                <w:b w:val="0"/>
                <w:bCs w:val="0"/>
                <w:color w:val="auto"/>
                <w:sz w:val="22"/>
                <w:szCs w:val="22"/>
                <w:highlight w:val="none"/>
                <w:lang w:val="en-US" w:eastAsia="zh-CN"/>
              </w:rPr>
              <w:t>‰</w:t>
            </w:r>
            <w:r>
              <w:rPr>
                <w:rFonts w:hint="eastAsia" w:cs="仿宋"/>
                <w:b w:val="0"/>
                <w:bCs w:val="0"/>
                <w:color w:val="auto"/>
                <w:sz w:val="22"/>
                <w:szCs w:val="22"/>
                <w:highlight w:val="none"/>
                <w:lang w:val="en-US" w:eastAsia="zh-CN"/>
              </w:rPr>
              <w:t>；</w:t>
            </w:r>
          </w:p>
          <w:p w14:paraId="4EBE2AC3">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核减额占送审金额的20%以上部分，按送核减额的3</w:t>
            </w:r>
            <w:r>
              <w:rPr>
                <w:rFonts w:hint="default" w:ascii="Arial" w:hAnsi="Arial" w:cs="Arial"/>
                <w:b w:val="0"/>
                <w:bCs w:val="0"/>
                <w:color w:val="auto"/>
                <w:sz w:val="22"/>
                <w:szCs w:val="22"/>
                <w:highlight w:val="none"/>
                <w:lang w:val="en-US" w:eastAsia="zh-CN"/>
              </w:rPr>
              <w:t>‰</w:t>
            </w:r>
            <w:r>
              <w:rPr>
                <w:rFonts w:hint="eastAsia" w:cs="仿宋"/>
                <w:b w:val="0"/>
                <w:bCs w:val="0"/>
                <w:color w:val="auto"/>
                <w:sz w:val="22"/>
                <w:szCs w:val="22"/>
                <w:highlight w:val="none"/>
                <w:lang w:val="en-US" w:eastAsia="zh-CN"/>
              </w:rPr>
              <w:t>。</w:t>
            </w:r>
          </w:p>
          <w:p w14:paraId="5A27638F">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注：核减金额=（报送金额-核对确认的金额）乘以核减费率。</w:t>
            </w:r>
          </w:p>
          <w:p w14:paraId="62D4B03D">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等于或低于限额报价为有效报价，否则视为无效报价。</w:t>
            </w:r>
          </w:p>
          <w:p w14:paraId="6330BBC7">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3）过控费用：固定驻场人员不低于2名，按照驻场服务期据实计费，最高报价限额60万元/年（大写陆拾万元整）。服务期不足一年的，按月折算，不足半月的按半月计费，超过半月的按整月计费。</w:t>
            </w:r>
          </w:p>
          <w:p w14:paraId="6084A8BD">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注：等于或低于限额报价为有效报价，否则视为无效报价。</w:t>
            </w:r>
          </w:p>
        </w:tc>
      </w:tr>
      <w:tr w14:paraId="2EC89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078A6846">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5</w:t>
            </w:r>
          </w:p>
        </w:tc>
        <w:tc>
          <w:tcPr>
            <w:tcW w:w="1004" w:type="pct"/>
            <w:vAlign w:val="center"/>
          </w:tcPr>
          <w:p w14:paraId="30A578A6">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比选答疑</w:t>
            </w:r>
          </w:p>
        </w:tc>
        <w:tc>
          <w:tcPr>
            <w:tcW w:w="3556" w:type="pct"/>
            <w:vAlign w:val="center"/>
          </w:tcPr>
          <w:p w14:paraId="64CD051A">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cstheme="majorEastAsia"/>
                <w:b/>
                <w:bCs/>
                <w:color w:val="auto"/>
                <w:sz w:val="32"/>
                <w:szCs w:val="32"/>
                <w:highlight w:val="none"/>
                <w:lang w:val="en-US"/>
              </w:rPr>
            </w:pPr>
            <w:r>
              <w:rPr>
                <w:rFonts w:hint="eastAsia"/>
                <w:color w:val="auto"/>
                <w:sz w:val="22"/>
                <w:szCs w:val="22"/>
                <w:highlight w:val="none"/>
              </w:rPr>
              <w:t>参选人应在比选截止日前</w:t>
            </w:r>
            <w:r>
              <w:rPr>
                <w:rFonts w:hint="eastAsia"/>
                <w:color w:val="auto"/>
                <w:sz w:val="22"/>
                <w:szCs w:val="22"/>
                <w:highlight w:val="none"/>
                <w:lang w:val="en-US"/>
              </w:rPr>
              <w:t>2日内</w:t>
            </w:r>
            <w:r>
              <w:rPr>
                <w:rFonts w:hint="eastAsia"/>
                <w:color w:val="auto"/>
                <w:sz w:val="22"/>
                <w:szCs w:val="22"/>
                <w:highlight w:val="none"/>
              </w:rPr>
              <w:t>，以邮件（须加盖公章</w:t>
            </w:r>
            <w:r>
              <w:rPr>
                <w:rFonts w:hint="eastAsia"/>
                <w:color w:val="auto"/>
                <w:spacing w:val="-75"/>
                <w:sz w:val="22"/>
                <w:szCs w:val="22"/>
                <w:highlight w:val="none"/>
              </w:rPr>
              <w:t>）</w:t>
            </w:r>
            <w:r>
              <w:rPr>
                <w:rFonts w:hint="eastAsia"/>
                <w:color w:val="auto"/>
                <w:sz w:val="22"/>
                <w:szCs w:val="22"/>
                <w:highlight w:val="none"/>
              </w:rPr>
              <w:t>向比选人提出需要答疑的问题。</w:t>
            </w:r>
          </w:p>
        </w:tc>
      </w:tr>
      <w:tr w14:paraId="2DF50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438" w:type="pct"/>
            <w:vAlign w:val="center"/>
          </w:tcPr>
          <w:p w14:paraId="4332A1F9">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6</w:t>
            </w:r>
          </w:p>
        </w:tc>
        <w:tc>
          <w:tcPr>
            <w:tcW w:w="1004" w:type="pct"/>
            <w:vAlign w:val="center"/>
          </w:tcPr>
          <w:p w14:paraId="4030A1D3">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比选有效期</w:t>
            </w:r>
          </w:p>
        </w:tc>
        <w:tc>
          <w:tcPr>
            <w:tcW w:w="3556" w:type="pct"/>
            <w:vAlign w:val="center"/>
          </w:tcPr>
          <w:p w14:paraId="63F3E899">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eastAsiaTheme="majorEastAsia" w:cstheme="majorEastAsia"/>
                <w:b/>
                <w:bCs/>
                <w:color w:val="auto"/>
                <w:sz w:val="32"/>
                <w:szCs w:val="32"/>
                <w:highlight w:val="none"/>
                <w:lang w:val="en-US"/>
              </w:rPr>
            </w:pPr>
            <w:r>
              <w:rPr>
                <w:rFonts w:hint="default"/>
                <w:color w:val="auto"/>
                <w:sz w:val="22"/>
                <w:szCs w:val="22"/>
                <w:highlight w:val="none"/>
              </w:rPr>
              <w:t>比选申请文件递交后60日</w:t>
            </w:r>
          </w:p>
        </w:tc>
      </w:tr>
      <w:tr w14:paraId="0081F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140D026D">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7</w:t>
            </w:r>
          </w:p>
        </w:tc>
        <w:tc>
          <w:tcPr>
            <w:tcW w:w="1004" w:type="pct"/>
            <w:vAlign w:val="center"/>
          </w:tcPr>
          <w:p w14:paraId="750F20FD">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b/>
                <w:color w:val="auto"/>
                <w:w w:val="105"/>
                <w:sz w:val="22"/>
                <w:szCs w:val="22"/>
                <w:highlight w:val="none"/>
              </w:rPr>
            </w:pPr>
            <w:r>
              <w:rPr>
                <w:rFonts w:hint="eastAsia"/>
                <w:b/>
                <w:color w:val="auto"/>
                <w:w w:val="105"/>
                <w:sz w:val="22"/>
                <w:szCs w:val="22"/>
                <w:highlight w:val="none"/>
              </w:rPr>
              <w:t>比选申请文件</w:t>
            </w:r>
          </w:p>
          <w:p w14:paraId="4DC59691">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份数</w:t>
            </w:r>
          </w:p>
        </w:tc>
        <w:tc>
          <w:tcPr>
            <w:tcW w:w="3556" w:type="pct"/>
            <w:vAlign w:val="center"/>
          </w:tcPr>
          <w:p w14:paraId="4AAA21B3">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val="0"/>
                <w:bCs w:val="0"/>
                <w:color w:val="auto"/>
                <w:sz w:val="22"/>
                <w:szCs w:val="22"/>
                <w:highlight w:val="none"/>
                <w:lang w:val="en-US"/>
              </w:rPr>
            </w:pPr>
            <w:r>
              <w:rPr>
                <w:rFonts w:hint="eastAsia"/>
                <w:color w:val="auto"/>
                <w:sz w:val="22"/>
                <w:szCs w:val="22"/>
                <w:highlight w:val="none"/>
                <w:lang w:val="en-US"/>
              </w:rPr>
              <w:t>一式三份，正本一份，副本一份，电子文档一份</w:t>
            </w:r>
          </w:p>
        </w:tc>
      </w:tr>
      <w:tr w14:paraId="33510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6EA4DEA8">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8</w:t>
            </w:r>
          </w:p>
        </w:tc>
        <w:tc>
          <w:tcPr>
            <w:tcW w:w="1004" w:type="pct"/>
            <w:vAlign w:val="center"/>
          </w:tcPr>
          <w:p w14:paraId="0F9B0B34">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rPr>
              <w:t>比选申请文件递交时间及地点</w:t>
            </w:r>
          </w:p>
        </w:tc>
        <w:tc>
          <w:tcPr>
            <w:tcW w:w="3556" w:type="pct"/>
            <w:vAlign w:val="center"/>
          </w:tcPr>
          <w:p w14:paraId="4191B4AE">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eastAsiaTheme="majorEastAsia" w:cstheme="majorEastAsia"/>
                <w:b/>
                <w:bCs/>
                <w:color w:val="auto"/>
                <w:sz w:val="32"/>
                <w:szCs w:val="32"/>
                <w:highlight w:val="none"/>
                <w:lang w:val="en-US"/>
              </w:rPr>
            </w:pPr>
            <w:r>
              <w:rPr>
                <w:rFonts w:hint="eastAsia"/>
                <w:color w:val="auto"/>
                <w:sz w:val="22"/>
                <w:szCs w:val="22"/>
                <w:highlight w:val="none"/>
              </w:rPr>
              <w:t>见比选公告</w:t>
            </w:r>
          </w:p>
        </w:tc>
      </w:tr>
      <w:tr w14:paraId="0D8CA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6E76D2D7">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9</w:t>
            </w:r>
          </w:p>
        </w:tc>
        <w:tc>
          <w:tcPr>
            <w:tcW w:w="1004" w:type="pct"/>
            <w:vAlign w:val="center"/>
          </w:tcPr>
          <w:p w14:paraId="2E51BDA3">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比选时间</w:t>
            </w:r>
          </w:p>
        </w:tc>
        <w:tc>
          <w:tcPr>
            <w:tcW w:w="3556" w:type="pct"/>
            <w:vAlign w:val="center"/>
          </w:tcPr>
          <w:p w14:paraId="71EDBDBD">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color w:val="auto"/>
                <w:sz w:val="22"/>
                <w:szCs w:val="22"/>
                <w:highlight w:val="none"/>
              </w:rPr>
            </w:pPr>
            <w:r>
              <w:rPr>
                <w:rFonts w:hint="eastAsia"/>
                <w:color w:val="auto"/>
                <w:sz w:val="22"/>
                <w:szCs w:val="22"/>
                <w:highlight w:val="none"/>
              </w:rPr>
              <w:t>见比选公告</w:t>
            </w:r>
          </w:p>
        </w:tc>
      </w:tr>
      <w:tr w14:paraId="08114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633BA279">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10</w:t>
            </w:r>
          </w:p>
        </w:tc>
        <w:tc>
          <w:tcPr>
            <w:tcW w:w="1004" w:type="pct"/>
            <w:vAlign w:val="center"/>
          </w:tcPr>
          <w:p w14:paraId="3769363B">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评选方法及</w:t>
            </w:r>
          </w:p>
          <w:p w14:paraId="3A641CF9">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标准</w:t>
            </w:r>
          </w:p>
        </w:tc>
        <w:tc>
          <w:tcPr>
            <w:tcW w:w="3556" w:type="pct"/>
            <w:vAlign w:val="center"/>
          </w:tcPr>
          <w:p w14:paraId="279DFC06">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color w:val="auto"/>
                <w:sz w:val="22"/>
                <w:szCs w:val="22"/>
                <w:highlight w:val="none"/>
              </w:rPr>
            </w:pPr>
            <w:r>
              <w:rPr>
                <w:rFonts w:hint="eastAsia"/>
                <w:color w:val="auto"/>
                <w:sz w:val="22"/>
                <w:szCs w:val="22"/>
                <w:highlight w:val="none"/>
              </w:rPr>
              <w:t>综合评选法（见比选文件），总分：满分10</w:t>
            </w:r>
            <w:r>
              <w:rPr>
                <w:rFonts w:hint="eastAsia"/>
                <w:color w:val="auto"/>
                <w:sz w:val="22"/>
                <w:szCs w:val="22"/>
                <w:highlight w:val="none"/>
                <w:lang w:val="en-US"/>
              </w:rPr>
              <w:t>0</w:t>
            </w:r>
            <w:r>
              <w:rPr>
                <w:rFonts w:hint="eastAsia"/>
                <w:color w:val="auto"/>
                <w:sz w:val="22"/>
                <w:szCs w:val="22"/>
                <w:highlight w:val="none"/>
              </w:rPr>
              <w:t>分</w:t>
            </w:r>
          </w:p>
        </w:tc>
      </w:tr>
      <w:tr w14:paraId="3B63E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438" w:type="pct"/>
            <w:vAlign w:val="center"/>
          </w:tcPr>
          <w:p w14:paraId="3BFFBA8B">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11</w:t>
            </w:r>
          </w:p>
        </w:tc>
        <w:tc>
          <w:tcPr>
            <w:tcW w:w="1004" w:type="pct"/>
            <w:vAlign w:val="center"/>
          </w:tcPr>
          <w:p w14:paraId="0E0D70CE">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其他约定</w:t>
            </w:r>
          </w:p>
        </w:tc>
        <w:tc>
          <w:tcPr>
            <w:tcW w:w="3556" w:type="pct"/>
            <w:vAlign w:val="center"/>
          </w:tcPr>
          <w:p w14:paraId="69AE1FFA">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rFonts w:hint="default"/>
                <w:color w:val="auto"/>
                <w:highlight w:val="none"/>
                <w:lang w:val="en-US" w:eastAsia="zh-CN"/>
              </w:rPr>
            </w:pPr>
            <w:r>
              <w:rPr>
                <w:rFonts w:hint="eastAsia"/>
                <w:color w:val="auto"/>
                <w:sz w:val="22"/>
                <w:szCs w:val="22"/>
                <w:highlight w:val="none"/>
              </w:rPr>
              <w:t>如</w:t>
            </w:r>
            <w:r>
              <w:rPr>
                <w:rFonts w:hint="eastAsia"/>
                <w:color w:val="auto"/>
                <w:sz w:val="22"/>
                <w:szCs w:val="22"/>
                <w:highlight w:val="none"/>
                <w:lang w:val="en-US" w:eastAsia="zh-CN"/>
              </w:rPr>
              <w:t>服务</w:t>
            </w:r>
            <w:r>
              <w:rPr>
                <w:rFonts w:hint="eastAsia"/>
                <w:color w:val="auto"/>
                <w:sz w:val="22"/>
                <w:szCs w:val="22"/>
                <w:highlight w:val="none"/>
              </w:rPr>
              <w:t>机构存在不当行为（包括但不限于逾期完成工作任务、拒不整改、虽整改后仍不符合要求、违反保密义务、违反职业准则等）， 法院、管理人有权终止其服务合同，重新更换机构，因更换机构而产生的费用和损失由原机构承担。</w:t>
            </w:r>
          </w:p>
        </w:tc>
      </w:tr>
    </w:tbl>
    <w:p w14:paraId="75E651FE">
      <w:pPr>
        <w:pStyle w:val="5"/>
        <w:ind w:left="0" w:leftChars="0" w:firstLine="0" w:firstLineChars="0"/>
        <w:rPr>
          <w:rFonts w:hint="default"/>
          <w:color w:val="auto"/>
          <w:lang w:val="en-US" w:eastAsia="zh-CN"/>
        </w:rPr>
      </w:pPr>
    </w:p>
    <w:p w14:paraId="5830A86B">
      <w:pPr>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br w:type="page"/>
      </w:r>
    </w:p>
    <w:p w14:paraId="20729FE8">
      <w:pPr>
        <w:pStyle w:val="13"/>
        <w:tabs>
          <w:tab w:val="left" w:pos="1661"/>
        </w:tabs>
        <w:spacing w:before="0" w:line="600" w:lineRule="exact"/>
        <w:ind w:left="0" w:firstLine="0"/>
        <w:jc w:val="both"/>
        <w:rPr>
          <w:rFonts w:hint="eastAsia" w:ascii="黑体" w:hAnsi="黑体" w:eastAsia="黑体" w:cs="黑体"/>
          <w:color w:val="auto"/>
          <w:sz w:val="32"/>
          <w:szCs w:val="32"/>
          <w:highlight w:val="none"/>
          <w:lang w:val="en-US"/>
        </w:rPr>
      </w:pPr>
      <w:bookmarkStart w:id="0" w:name="_GoBack"/>
      <w:bookmarkEnd w:id="0"/>
      <w:r>
        <w:rPr>
          <w:rFonts w:hint="eastAsia" w:ascii="黑体" w:hAnsi="黑体" w:eastAsia="黑体" w:cs="黑体"/>
          <w:color w:val="auto"/>
          <w:sz w:val="32"/>
          <w:szCs w:val="32"/>
          <w:highlight w:val="none"/>
          <w:lang w:val="en-US"/>
        </w:rPr>
        <w:t>附件2</w:t>
      </w:r>
    </w:p>
    <w:p w14:paraId="3C000DC8">
      <w:pPr>
        <w:pStyle w:val="13"/>
        <w:tabs>
          <w:tab w:val="left" w:pos="1661"/>
        </w:tabs>
        <w:spacing w:before="0" w:line="600" w:lineRule="exact"/>
        <w:ind w:left="0" w:firstLine="0"/>
        <w:jc w:val="center"/>
        <w:rPr>
          <w:rFonts w:ascii="华文中宋" w:hAnsi="华文中宋" w:eastAsia="华文中宋" w:cs="华文中宋"/>
          <w:b/>
          <w:bCs/>
          <w:color w:val="auto"/>
          <w:sz w:val="44"/>
          <w:szCs w:val="44"/>
          <w:highlight w:val="none"/>
          <w:lang w:val="en-US"/>
        </w:rPr>
      </w:pPr>
      <w:r>
        <w:rPr>
          <w:rFonts w:hint="eastAsia" w:ascii="华文中宋" w:hAnsi="华文中宋" w:eastAsia="华文中宋" w:cs="华文中宋"/>
          <w:b/>
          <w:bCs/>
          <w:color w:val="auto"/>
          <w:sz w:val="44"/>
          <w:szCs w:val="44"/>
          <w:highlight w:val="none"/>
          <w:lang w:val="en-US"/>
        </w:rPr>
        <w:t>比选规则</w:t>
      </w:r>
    </w:p>
    <w:p w14:paraId="5FC49FE3">
      <w:pPr>
        <w:pStyle w:val="13"/>
        <w:tabs>
          <w:tab w:val="left" w:pos="1661"/>
        </w:tabs>
        <w:spacing w:before="0" w:line="600" w:lineRule="exact"/>
        <w:ind w:left="0" w:firstLine="0"/>
        <w:jc w:val="both"/>
        <w:rPr>
          <w:b/>
          <w:bCs/>
          <w:color w:val="auto"/>
          <w:sz w:val="32"/>
          <w:szCs w:val="32"/>
          <w:highlight w:val="none"/>
          <w:lang w:val="en-US"/>
        </w:rPr>
      </w:pPr>
    </w:p>
    <w:p w14:paraId="2CC3F54C">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一、总则</w:t>
      </w:r>
    </w:p>
    <w:p w14:paraId="42A95D5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1、说明</w:t>
      </w:r>
    </w:p>
    <w:p w14:paraId="600F2B0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本项目的比选人为</w:t>
      </w:r>
      <w:r>
        <w:rPr>
          <w:rFonts w:hint="eastAsia" w:ascii="仿宋_GB2312" w:hAnsi="仿宋_GB2312" w:eastAsia="仿宋_GB2312" w:cs="仿宋_GB2312"/>
          <w:color w:val="auto"/>
          <w:sz w:val="32"/>
          <w:szCs w:val="32"/>
          <w:highlight w:val="none"/>
          <w:lang w:eastAsia="zh-CN"/>
        </w:rPr>
        <w:t>崇州市悦禾房地产开发有限公司（以下简称：悦禾公司）</w:t>
      </w:r>
      <w:r>
        <w:rPr>
          <w:rFonts w:hint="eastAsia" w:ascii="仿宋_GB2312" w:hAnsi="仿宋_GB2312" w:eastAsia="仿宋_GB2312" w:cs="仿宋_GB2312"/>
          <w:color w:val="auto"/>
          <w:sz w:val="32"/>
          <w:szCs w:val="32"/>
          <w:highlight w:val="none"/>
          <w:lang w:val="en-US" w:eastAsia="zh-CN"/>
        </w:rPr>
        <w:t>预重整</w:t>
      </w:r>
      <w:r>
        <w:rPr>
          <w:rFonts w:hint="eastAsia" w:ascii="仿宋_GB2312" w:hAnsi="仿宋_GB2312" w:eastAsia="仿宋_GB2312" w:cs="仿宋_GB2312"/>
          <w:color w:val="auto"/>
          <w:sz w:val="32"/>
          <w:szCs w:val="32"/>
          <w:highlight w:val="none"/>
          <w:lang w:val="en-US"/>
        </w:rPr>
        <w:t>管理人，比选人组建的评选小组负责评选工作，必要时可邀请债务人、债权人代表、法院工作人员</w:t>
      </w:r>
      <w:r>
        <w:rPr>
          <w:rFonts w:hint="eastAsia" w:ascii="仿宋_GB2312" w:hAnsi="仿宋_GB2312" w:eastAsia="仿宋_GB2312" w:cs="仿宋_GB2312"/>
          <w:color w:val="auto"/>
          <w:sz w:val="32"/>
          <w:szCs w:val="32"/>
          <w:highlight w:val="none"/>
          <w:lang w:val="en-US" w:eastAsia="zh-CN"/>
        </w:rPr>
        <w:t>、政府工作人员</w:t>
      </w:r>
      <w:r>
        <w:rPr>
          <w:rFonts w:hint="eastAsia" w:ascii="仿宋_GB2312" w:hAnsi="仿宋_GB2312" w:eastAsia="仿宋_GB2312" w:cs="仿宋_GB2312"/>
          <w:color w:val="auto"/>
          <w:sz w:val="32"/>
          <w:szCs w:val="32"/>
          <w:highlight w:val="none"/>
          <w:lang w:val="en-US"/>
        </w:rPr>
        <w:t>参与监督比选过程。</w:t>
      </w:r>
    </w:p>
    <w:p w14:paraId="2E5D0E63">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2、服务范围及工作要求</w:t>
      </w:r>
    </w:p>
    <w:p w14:paraId="6E939D72">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rPr>
        <w:t>中选机构为</w:t>
      </w:r>
      <w:r>
        <w:rPr>
          <w:rFonts w:hint="eastAsia" w:ascii="仿宋_GB2312" w:hAnsi="仿宋_GB2312" w:eastAsia="仿宋_GB2312" w:cs="仿宋_GB2312"/>
          <w:color w:val="auto"/>
          <w:sz w:val="32"/>
          <w:szCs w:val="32"/>
          <w:highlight w:val="none"/>
          <w:lang w:val="en-US" w:eastAsia="zh-CN"/>
        </w:rPr>
        <w:t>提供以下工程造价咨询服务：</w:t>
      </w:r>
    </w:p>
    <w:p w14:paraId="2F5F4A5C">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）对项目已建设部分工程款进行结算审</w:t>
      </w:r>
      <w:r>
        <w:rPr>
          <w:rFonts w:hint="eastAsia" w:ascii="仿宋_GB2312" w:hAnsi="仿宋_GB2312" w:eastAsia="仿宋_GB2312" w:cs="仿宋_GB2312"/>
          <w:color w:val="auto"/>
          <w:sz w:val="32"/>
          <w:szCs w:val="32"/>
          <w:highlight w:val="none"/>
          <w:lang w:val="en-US" w:eastAsia="zh-CN"/>
        </w:rPr>
        <w:t>核</w:t>
      </w:r>
      <w:r>
        <w:rPr>
          <w:rFonts w:hint="eastAsia" w:ascii="仿宋_GB2312" w:hAnsi="仿宋_GB2312" w:eastAsia="仿宋_GB2312" w:cs="仿宋_GB2312"/>
          <w:color w:val="auto"/>
          <w:sz w:val="32"/>
          <w:szCs w:val="32"/>
          <w:highlight w:val="none"/>
        </w:rPr>
        <w:t>；</w:t>
      </w:r>
    </w:p>
    <w:p w14:paraId="25AAA20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）对项目续建至竣工交付的</w:t>
      </w:r>
      <w:r>
        <w:rPr>
          <w:rFonts w:hint="eastAsia" w:ascii="仿宋_GB2312" w:hAnsi="仿宋_GB2312" w:eastAsia="仿宋_GB2312" w:cs="仿宋_GB2312"/>
          <w:color w:val="auto"/>
          <w:sz w:val="32"/>
          <w:szCs w:val="32"/>
          <w:highlight w:val="none"/>
          <w:lang w:val="en-US" w:eastAsia="zh-CN"/>
        </w:rPr>
        <w:t>项目预算价</w:t>
      </w:r>
      <w:r>
        <w:rPr>
          <w:rFonts w:hint="eastAsia" w:ascii="仿宋_GB2312" w:hAnsi="仿宋_GB2312" w:eastAsia="仿宋_GB2312" w:cs="仿宋_GB2312"/>
          <w:color w:val="auto"/>
          <w:sz w:val="32"/>
          <w:szCs w:val="32"/>
          <w:highlight w:val="none"/>
        </w:rPr>
        <w:t>，并出具报告；</w:t>
      </w:r>
    </w:p>
    <w:p w14:paraId="05CDBDB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）对项目续建部分进行施工阶段全过程造价控制以及结算审</w:t>
      </w:r>
      <w:r>
        <w:rPr>
          <w:rFonts w:hint="eastAsia" w:ascii="仿宋_GB2312" w:hAnsi="仿宋_GB2312" w:eastAsia="仿宋_GB2312" w:cs="仿宋_GB2312"/>
          <w:color w:val="auto"/>
          <w:sz w:val="32"/>
          <w:szCs w:val="32"/>
          <w:highlight w:val="none"/>
          <w:lang w:val="en-US" w:eastAsia="zh-CN"/>
        </w:rPr>
        <w:t>核</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Hans"/>
        </w:rPr>
        <w:t>工程进度款支付审核</w:t>
      </w:r>
      <w:r>
        <w:rPr>
          <w:rFonts w:hint="eastAsia" w:ascii="仿宋_GB2312" w:hAnsi="仿宋_GB2312" w:eastAsia="仿宋_GB2312" w:cs="仿宋_GB2312"/>
          <w:color w:val="auto"/>
          <w:sz w:val="32"/>
          <w:szCs w:val="32"/>
          <w:highlight w:val="none"/>
        </w:rPr>
        <w:t>；</w:t>
      </w:r>
    </w:p>
    <w:p w14:paraId="5B03638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）解答预重整管理人对工程造价提出的疑问；</w:t>
      </w:r>
    </w:p>
    <w:p w14:paraId="716A3D4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）协助预重整管理人对工程款债权进行审核；</w:t>
      </w:r>
    </w:p>
    <w:p w14:paraId="11D25DF4">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）预重整管理人提出的其他有关工程款债权、工程造价过程控制、结算等事项。</w:t>
      </w:r>
    </w:p>
    <w:p w14:paraId="0C03461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中选机构为上述</w:t>
      </w:r>
      <w:r>
        <w:rPr>
          <w:rFonts w:hint="eastAsia" w:ascii="仿宋_GB2312" w:hAnsi="仿宋_GB2312" w:eastAsia="仿宋_GB2312" w:cs="仿宋_GB2312"/>
          <w:color w:val="auto"/>
          <w:sz w:val="32"/>
          <w:szCs w:val="32"/>
          <w:highlight w:val="none"/>
          <w:lang w:val="en-US" w:eastAsia="zh-CN"/>
        </w:rPr>
        <w:t>项目</w:t>
      </w:r>
      <w:r>
        <w:rPr>
          <w:rFonts w:hint="eastAsia" w:ascii="仿宋_GB2312" w:hAnsi="仿宋_GB2312" w:eastAsia="仿宋_GB2312" w:cs="仿宋_GB2312"/>
          <w:color w:val="auto"/>
          <w:sz w:val="32"/>
          <w:szCs w:val="32"/>
          <w:highlight w:val="none"/>
        </w:rPr>
        <w:t>提供</w:t>
      </w:r>
      <w:r>
        <w:rPr>
          <w:rFonts w:hint="eastAsia" w:ascii="仿宋_GB2312" w:hAnsi="仿宋_GB2312" w:eastAsia="仿宋_GB2312" w:cs="仿宋_GB2312"/>
          <w:color w:val="auto"/>
          <w:sz w:val="32"/>
          <w:szCs w:val="32"/>
          <w:highlight w:val="none"/>
          <w:lang w:val="en-US" w:eastAsia="zh-CN"/>
        </w:rPr>
        <w:t>造价咨询</w:t>
      </w:r>
      <w:r>
        <w:rPr>
          <w:rFonts w:hint="eastAsia" w:ascii="仿宋_GB2312" w:hAnsi="仿宋_GB2312" w:eastAsia="仿宋_GB2312" w:cs="仿宋_GB2312"/>
          <w:color w:val="auto"/>
          <w:sz w:val="32"/>
          <w:szCs w:val="32"/>
          <w:highlight w:val="none"/>
        </w:rPr>
        <w:t>服务按照中选价格收取服务费用，不得再另行主张其他费用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w:t>
      </w:r>
      <w:r>
        <w:rPr>
          <w:rFonts w:hint="eastAsia" w:ascii="仿宋_GB2312" w:hAnsi="仿宋_GB2312" w:eastAsia="仿宋_GB2312" w:cs="仿宋_GB2312"/>
          <w:color w:val="auto"/>
          <w:sz w:val="32"/>
          <w:szCs w:val="32"/>
          <w:highlight w:val="none"/>
        </w:rPr>
        <w:t>在法院受理</w:t>
      </w:r>
      <w:r>
        <w:rPr>
          <w:rFonts w:hint="eastAsia" w:ascii="仿宋_GB2312" w:hAnsi="仿宋_GB2312" w:eastAsia="仿宋_GB2312" w:cs="仿宋_GB2312"/>
          <w:color w:val="auto"/>
          <w:sz w:val="32"/>
          <w:szCs w:val="32"/>
          <w:highlight w:val="none"/>
          <w:lang w:eastAsia="zh-CN"/>
        </w:rPr>
        <w:t>崇州市悦禾房地产开发有限公司</w:t>
      </w:r>
      <w:r>
        <w:rPr>
          <w:rFonts w:hint="eastAsia" w:ascii="仿宋_GB2312" w:hAnsi="仿宋_GB2312" w:eastAsia="仿宋_GB2312" w:cs="仿宋_GB2312"/>
          <w:color w:val="auto"/>
          <w:sz w:val="32"/>
          <w:szCs w:val="32"/>
          <w:highlight w:val="none"/>
        </w:rPr>
        <w:t>破产重整后，管理人视破产程序的进展情况报法院后安排支付时间。</w:t>
      </w:r>
    </w:p>
    <w:p w14:paraId="1480AB12">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3.申请人资格要求</w:t>
      </w:r>
    </w:p>
    <w:p w14:paraId="77E6FD7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）参选机构在中华人民共和国境内依法注册，能够独立承担民事责任，具有提供工程结算审计、施工阶段全过程工程造价控制所需的从业资质和服务能力。</w:t>
      </w:r>
    </w:p>
    <w:p w14:paraId="57B781FF">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rPr>
        <w:t>）参选机构已入选四川省高级人民法院或者成都市中级人民法院认可的工程造价鉴定机构备选名册。</w:t>
      </w:r>
    </w:p>
    <w:p w14:paraId="5150B8D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）参选机构与本案债务人、债权人、预重整管理人及人员无利益关系或其他影响独立公正</w:t>
      </w:r>
      <w:r>
        <w:rPr>
          <w:rFonts w:hint="eastAsia" w:ascii="仿宋_GB2312" w:hAnsi="仿宋_GB2312" w:eastAsia="仿宋_GB2312" w:cs="仿宋_GB2312"/>
          <w:color w:val="auto"/>
          <w:sz w:val="32"/>
          <w:szCs w:val="32"/>
          <w:highlight w:val="none"/>
          <w:lang w:val="en-US" w:eastAsia="zh-CN"/>
        </w:rPr>
        <w:t>咨询</w:t>
      </w:r>
      <w:r>
        <w:rPr>
          <w:rFonts w:hint="eastAsia" w:ascii="仿宋_GB2312" w:hAnsi="仿宋_GB2312" w:eastAsia="仿宋_GB2312" w:cs="仿宋_GB2312"/>
          <w:color w:val="auto"/>
          <w:sz w:val="32"/>
          <w:szCs w:val="32"/>
          <w:highlight w:val="none"/>
          <w:lang w:val="en-US"/>
        </w:rPr>
        <w:t>的利害关系，无其他依规定应当予以回避的情形。</w:t>
      </w:r>
    </w:p>
    <w:p w14:paraId="50EE1FAF">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）参选机构及其从业人员在三年内未因执业、经营中断或重大过失等受到行政机关、监管机构、人民法院或行业自律组织的处罚或处分，且不得进入国家信用信息公示的失信人名单。</w:t>
      </w:r>
    </w:p>
    <w:p w14:paraId="0B306780">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rPr>
        <w:t>）能够根据管理人的要求及时开展</w:t>
      </w:r>
      <w:r>
        <w:rPr>
          <w:rFonts w:hint="eastAsia" w:ascii="仿宋_GB2312" w:hAnsi="仿宋_GB2312" w:eastAsia="仿宋_GB2312" w:cs="仿宋_GB2312"/>
          <w:color w:val="auto"/>
          <w:sz w:val="32"/>
          <w:szCs w:val="32"/>
          <w:highlight w:val="none"/>
          <w:lang w:val="en-US" w:eastAsia="zh-CN"/>
        </w:rPr>
        <w:t>咨询</w:t>
      </w:r>
      <w:r>
        <w:rPr>
          <w:rFonts w:hint="eastAsia" w:ascii="仿宋_GB2312" w:hAnsi="仿宋_GB2312" w:eastAsia="仿宋_GB2312" w:cs="仿宋_GB2312"/>
          <w:color w:val="auto"/>
          <w:sz w:val="32"/>
          <w:szCs w:val="32"/>
          <w:highlight w:val="none"/>
          <w:lang w:val="en-US"/>
        </w:rPr>
        <w:t>工作，按时出具</w:t>
      </w:r>
      <w:r>
        <w:rPr>
          <w:rFonts w:hint="eastAsia" w:ascii="仿宋_GB2312" w:hAnsi="仿宋_GB2312" w:eastAsia="仿宋_GB2312" w:cs="仿宋_GB2312"/>
          <w:color w:val="auto"/>
          <w:sz w:val="32"/>
          <w:szCs w:val="32"/>
          <w:highlight w:val="none"/>
          <w:lang w:val="en-US" w:eastAsia="zh-CN"/>
        </w:rPr>
        <w:t>咨询</w:t>
      </w:r>
      <w:r>
        <w:rPr>
          <w:rFonts w:hint="eastAsia" w:ascii="仿宋_GB2312" w:hAnsi="仿宋_GB2312" w:eastAsia="仿宋_GB2312" w:cs="仿宋_GB2312"/>
          <w:color w:val="auto"/>
          <w:sz w:val="32"/>
          <w:szCs w:val="32"/>
          <w:highlight w:val="none"/>
          <w:lang w:val="en-US"/>
        </w:rPr>
        <w:t>结果。</w:t>
      </w:r>
    </w:p>
    <w:p w14:paraId="545C1E8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val="en-US"/>
        </w:rPr>
        <w:t>）有破产案件经验者优先考虑。</w:t>
      </w:r>
    </w:p>
    <w:p w14:paraId="56125F9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lang w:val="en-US"/>
        </w:rPr>
        <w:t>）中小微企业优先考虑。</w:t>
      </w:r>
    </w:p>
    <w:p w14:paraId="5391F0B5">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4、比选费用</w:t>
      </w:r>
    </w:p>
    <w:p w14:paraId="1B955E7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本次比选，比选人不收取任何费用。但参选人应自行承担其编制比选申请文件及递交比选申请文件所涉及的一切费用。无论比选结果如何，比选人对上述费用不负任何责任。</w:t>
      </w:r>
    </w:p>
    <w:p w14:paraId="2E9A2C55">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5、备选机构接替条件</w:t>
      </w:r>
    </w:p>
    <w:p w14:paraId="3599012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（1）中选机构在比选截止日期后，在比选有效期内撤回比选或中选机构在收到中选通知书后，由于自身原因未能在约定的时间内与比选人进行合同谈判，其中选资格将被取消，并由备选机构接替。</w:t>
      </w:r>
    </w:p>
    <w:p w14:paraId="108A485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（2）中选机构如存在不当行为（包括但不限于逾期完成工作任务、拒不整改、虽整改后仍不符合要求、违反保密义务、违反职业准则等），法院、管理人有权终止与其的服务合同，并由备选机构接替。</w:t>
      </w:r>
    </w:p>
    <w:p w14:paraId="3420521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二、比选文件</w:t>
      </w:r>
    </w:p>
    <w:p w14:paraId="68977012">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1、比选文件的组成</w:t>
      </w:r>
    </w:p>
    <w:p w14:paraId="1790CC4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（1）比选文件包括：比选公告、比选须知、比选规则、比选申请文件格式。</w:t>
      </w:r>
    </w:p>
    <w:p w14:paraId="394DB32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（2）除（1）条列明的内容外，参选人在提交比选申请文件前，比选人以书面形式发出的对比选文件的澄清或修改内容，均视为比选文件的组成部分。</w:t>
      </w:r>
    </w:p>
    <w:p w14:paraId="4E7D778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参选人收到比选文件时，应检查页数。参选人发现任何页数的遗缺、任何数字或词汇模糊不清、任何词义含混或意义不清，应通知比选人补全或澄清。参选人应认真审阅比选文件中所有的比选须知及比选规则，如果参选人编制的比选申请文件不符合规定的要求，其比选申请文件将被视为不合格的比选申请文件。</w:t>
      </w:r>
    </w:p>
    <w:p w14:paraId="70D944C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（4）比选文件及补充资料前后有矛盾的，以时间在后的为准。</w:t>
      </w:r>
    </w:p>
    <w:p w14:paraId="5EA4DF4E">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2、比选文件的澄清</w:t>
      </w:r>
    </w:p>
    <w:p w14:paraId="759284C5">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（1）任何要求对比选文件提出澄清的参选人，应以书面或传真形式（须加盖公章）提出。</w:t>
      </w:r>
    </w:p>
    <w:p w14:paraId="46F12E2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（2）本比选文件由比选人负责解释。</w:t>
      </w:r>
    </w:p>
    <w:p w14:paraId="139182B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三、比选申请文件的编制</w:t>
      </w:r>
    </w:p>
    <w:p w14:paraId="5CEC141A">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firstLine="663" w:firstLineChars="200"/>
        <w:jc w:val="left"/>
        <w:textAlignment w:val="auto"/>
        <w:rPr>
          <w:rStyle w:val="11"/>
          <w:rFonts w:hint="eastAsia" w:ascii="仿宋" w:hAnsi="仿宋" w:eastAsia="仿宋" w:cs="仿宋"/>
          <w:spacing w:val="5"/>
          <w:kern w:val="0"/>
          <w:sz w:val="32"/>
          <w:szCs w:val="32"/>
          <w:lang w:val="en-US" w:eastAsia="zh-CN" w:bidi="ar"/>
        </w:rPr>
      </w:pPr>
      <w:r>
        <w:rPr>
          <w:rStyle w:val="11"/>
          <w:rFonts w:hint="eastAsia" w:cs="仿宋"/>
          <w:spacing w:val="5"/>
          <w:kern w:val="0"/>
          <w:sz w:val="32"/>
          <w:szCs w:val="32"/>
          <w:lang w:val="en-US" w:eastAsia="zh-CN" w:bidi="ar"/>
        </w:rPr>
        <w:t>1、</w:t>
      </w:r>
      <w:r>
        <w:rPr>
          <w:rStyle w:val="11"/>
          <w:rFonts w:hint="eastAsia" w:ascii="仿宋" w:hAnsi="仿宋" w:eastAsia="仿宋" w:cs="仿宋"/>
          <w:spacing w:val="5"/>
          <w:kern w:val="0"/>
          <w:sz w:val="32"/>
          <w:szCs w:val="32"/>
          <w:lang w:val="en-US" w:eastAsia="zh-CN" w:bidi="ar"/>
        </w:rPr>
        <w:t>比选申请文件编写</w:t>
      </w:r>
    </w:p>
    <w:p w14:paraId="42F8EE68">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cs="仿宋"/>
          <w:spacing w:val="5"/>
          <w:kern w:val="0"/>
          <w:sz w:val="32"/>
          <w:szCs w:val="32"/>
          <w:lang w:val="en-US" w:eastAsia="zh-CN" w:bidi="ar"/>
        </w:rPr>
        <w:t>（1）</w:t>
      </w:r>
      <w:r>
        <w:rPr>
          <w:rFonts w:hint="eastAsia" w:ascii="仿宋" w:hAnsi="仿宋" w:eastAsia="仿宋" w:cs="仿宋"/>
          <w:spacing w:val="5"/>
          <w:kern w:val="0"/>
          <w:sz w:val="32"/>
          <w:szCs w:val="32"/>
          <w:lang w:val="en-US" w:eastAsia="zh-CN" w:bidi="ar"/>
        </w:rPr>
        <w:t>参选机构主体资质材料，包括营业执照、法定代表人证明书及身份证复印件、经办人委托书及经办人身份证复印件；</w:t>
      </w:r>
    </w:p>
    <w:p w14:paraId="587BB6D9">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cs="仿宋"/>
          <w:spacing w:val="5"/>
          <w:kern w:val="0"/>
          <w:sz w:val="32"/>
          <w:szCs w:val="32"/>
          <w:lang w:val="en-US" w:eastAsia="zh-CN" w:bidi="ar"/>
        </w:rPr>
        <w:t>（2）</w:t>
      </w:r>
      <w:r>
        <w:rPr>
          <w:rFonts w:hint="eastAsia" w:ascii="仿宋" w:hAnsi="仿宋" w:eastAsia="仿宋" w:cs="仿宋"/>
          <w:spacing w:val="5"/>
          <w:kern w:val="0"/>
          <w:sz w:val="32"/>
          <w:szCs w:val="32"/>
          <w:lang w:val="en-US" w:eastAsia="zh-CN" w:bidi="ar"/>
        </w:rPr>
        <w:t>相关</w:t>
      </w:r>
      <w:r>
        <w:rPr>
          <w:rFonts w:hint="eastAsia" w:ascii="仿宋_GB2312" w:hAnsi="仿宋_GB2312" w:eastAsia="仿宋_GB2312" w:cs="仿宋_GB2312"/>
          <w:color w:val="auto"/>
          <w:sz w:val="32"/>
          <w:szCs w:val="32"/>
          <w:highlight w:val="none"/>
          <w:lang w:val="en-US"/>
        </w:rPr>
        <w:t>破产案件</w:t>
      </w:r>
      <w:r>
        <w:rPr>
          <w:rFonts w:hint="eastAsia" w:ascii="仿宋_GB2312" w:hAnsi="仿宋_GB2312" w:eastAsia="仿宋_GB2312" w:cs="仿宋_GB2312"/>
          <w:color w:val="auto"/>
          <w:sz w:val="32"/>
          <w:szCs w:val="32"/>
          <w:highlight w:val="none"/>
          <w:lang w:val="en-US" w:eastAsia="zh-CN"/>
        </w:rPr>
        <w:t>工程造价咨询服务</w:t>
      </w:r>
      <w:r>
        <w:rPr>
          <w:rFonts w:hint="eastAsia" w:ascii="仿宋" w:hAnsi="仿宋" w:eastAsia="仿宋" w:cs="仿宋"/>
          <w:spacing w:val="5"/>
          <w:kern w:val="0"/>
          <w:sz w:val="32"/>
          <w:szCs w:val="32"/>
          <w:lang w:val="en-US" w:eastAsia="zh-CN" w:bidi="ar"/>
        </w:rPr>
        <w:t>经验和能力的证明材料，符合要求的成功业绩（需提供工作成果证明材料，包含经办房地产领域破产案件</w:t>
      </w:r>
      <w:r>
        <w:rPr>
          <w:rFonts w:hint="eastAsia" w:ascii="仿宋_GB2312" w:hAnsi="仿宋_GB2312" w:eastAsia="仿宋_GB2312" w:cs="仿宋_GB2312"/>
          <w:color w:val="auto"/>
          <w:sz w:val="32"/>
          <w:szCs w:val="32"/>
          <w:highlight w:val="none"/>
          <w:lang w:val="en-US" w:eastAsia="zh-CN"/>
        </w:rPr>
        <w:t>工程造价咨询</w:t>
      </w:r>
      <w:r>
        <w:rPr>
          <w:rFonts w:hint="eastAsia" w:ascii="仿宋" w:hAnsi="仿宋" w:eastAsia="仿宋" w:cs="仿宋"/>
          <w:spacing w:val="5"/>
          <w:kern w:val="0"/>
          <w:sz w:val="32"/>
          <w:szCs w:val="32"/>
          <w:lang w:val="en-US" w:eastAsia="zh-CN" w:bidi="ar"/>
        </w:rPr>
        <w:t>服务的证明文件等）；</w:t>
      </w:r>
    </w:p>
    <w:p w14:paraId="3A16FCD4">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cs="仿宋"/>
          <w:spacing w:val="5"/>
          <w:kern w:val="0"/>
          <w:sz w:val="32"/>
          <w:szCs w:val="32"/>
          <w:lang w:val="en-US" w:eastAsia="zh-CN" w:bidi="ar"/>
        </w:rPr>
        <w:t>（3）</w:t>
      </w:r>
      <w:r>
        <w:rPr>
          <w:rFonts w:hint="eastAsia" w:ascii="仿宋" w:hAnsi="仿宋" w:eastAsia="仿宋" w:cs="仿宋"/>
          <w:spacing w:val="5"/>
          <w:kern w:val="0"/>
          <w:sz w:val="32"/>
          <w:szCs w:val="32"/>
          <w:lang w:val="en-US" w:eastAsia="zh-CN" w:bidi="ar"/>
        </w:rPr>
        <w:t>对本项目的</w:t>
      </w:r>
      <w:r>
        <w:rPr>
          <w:rFonts w:hint="eastAsia" w:ascii="仿宋_GB2312" w:hAnsi="仿宋_GB2312" w:eastAsia="仿宋_GB2312" w:cs="仿宋_GB2312"/>
          <w:color w:val="auto"/>
          <w:sz w:val="32"/>
          <w:szCs w:val="32"/>
          <w:highlight w:val="none"/>
          <w:lang w:val="en-US" w:eastAsia="zh-CN"/>
        </w:rPr>
        <w:t>工程造价咨询</w:t>
      </w:r>
      <w:r>
        <w:rPr>
          <w:rFonts w:hint="eastAsia" w:ascii="仿宋" w:hAnsi="仿宋" w:eastAsia="仿宋" w:cs="仿宋"/>
          <w:spacing w:val="5"/>
          <w:kern w:val="0"/>
          <w:sz w:val="32"/>
          <w:szCs w:val="32"/>
          <w:lang w:val="en-US" w:eastAsia="zh-CN" w:bidi="ar"/>
        </w:rPr>
        <w:t>服务工作方案，包括工作思路、团队配置、服务计划、工作步骤以及其他值得关注的问题；</w:t>
      </w:r>
    </w:p>
    <w:p w14:paraId="60AA3A0C">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cs="仿宋"/>
          <w:spacing w:val="5"/>
          <w:kern w:val="0"/>
          <w:sz w:val="32"/>
          <w:szCs w:val="32"/>
          <w:lang w:val="en-US" w:eastAsia="zh-CN" w:bidi="ar"/>
        </w:rPr>
        <w:t>（4）</w:t>
      </w:r>
      <w:r>
        <w:rPr>
          <w:rFonts w:hint="eastAsia" w:ascii="仿宋" w:hAnsi="仿宋" w:eastAsia="仿宋" w:cs="仿宋"/>
          <w:spacing w:val="5"/>
          <w:kern w:val="0"/>
          <w:sz w:val="32"/>
          <w:szCs w:val="32"/>
          <w:lang w:val="en-US" w:eastAsia="zh-CN" w:bidi="ar"/>
        </w:rPr>
        <w:t>报价函。参选人报价必须符</w:t>
      </w:r>
      <w:r>
        <w:rPr>
          <w:rFonts w:hint="eastAsia" w:ascii="仿宋" w:hAnsi="仿宋" w:eastAsia="仿宋" w:cs="仿宋"/>
          <w:spacing w:val="5"/>
          <w:kern w:val="0"/>
          <w:sz w:val="32"/>
          <w:szCs w:val="32"/>
          <w:highlight w:val="none"/>
          <w:lang w:val="en-US" w:eastAsia="zh-CN" w:bidi="ar"/>
        </w:rPr>
        <w:t>合附件1《比选须知》的“报</w:t>
      </w:r>
      <w:r>
        <w:rPr>
          <w:rFonts w:hint="eastAsia" w:ascii="仿宋" w:hAnsi="仿宋" w:eastAsia="仿宋" w:cs="仿宋"/>
          <w:spacing w:val="5"/>
          <w:kern w:val="0"/>
          <w:sz w:val="32"/>
          <w:szCs w:val="32"/>
          <w:lang w:val="en-US" w:eastAsia="zh-CN" w:bidi="ar"/>
        </w:rPr>
        <w:t>价要求”，否则视为无效报价。参选人的比选报价应是比选文件所确定的服务范围内的全部工作内容的价格体现。参选人的报价应是完成所有工作的费用，包括但不限于人工费、差旅费、税费；</w:t>
      </w:r>
    </w:p>
    <w:p w14:paraId="6FD36E05">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cs="仿宋"/>
          <w:spacing w:val="5"/>
          <w:kern w:val="0"/>
          <w:sz w:val="32"/>
          <w:szCs w:val="32"/>
          <w:lang w:val="en-US" w:eastAsia="zh-CN" w:bidi="ar"/>
        </w:rPr>
        <w:t>（5）</w:t>
      </w:r>
      <w:r>
        <w:rPr>
          <w:rFonts w:hint="eastAsia" w:ascii="仿宋" w:hAnsi="仿宋" w:eastAsia="仿宋" w:cs="仿宋"/>
          <w:spacing w:val="5"/>
          <w:kern w:val="0"/>
          <w:sz w:val="32"/>
          <w:szCs w:val="32"/>
          <w:lang w:val="en-US" w:eastAsia="zh-CN" w:bidi="ar"/>
        </w:rPr>
        <w:t>书面承诺。承诺内容包含：认可本公告内容、不存在利益冲突等应当回避事由、所提交文件真实、合法、有效等。</w:t>
      </w:r>
    </w:p>
    <w:p w14:paraId="3015CAC2">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lang w:val="en-US"/>
        </w:rPr>
      </w:pPr>
      <w:r>
        <w:rPr>
          <w:rFonts w:hint="eastAsia" w:cs="仿宋"/>
          <w:spacing w:val="5"/>
          <w:kern w:val="0"/>
          <w:sz w:val="32"/>
          <w:szCs w:val="32"/>
          <w:lang w:val="en-US" w:eastAsia="zh-CN" w:bidi="ar"/>
        </w:rPr>
        <w:t>（6）</w:t>
      </w:r>
      <w:r>
        <w:rPr>
          <w:rFonts w:hint="eastAsia" w:ascii="仿宋" w:hAnsi="仿宋" w:eastAsia="仿宋" w:cs="仿宋"/>
          <w:spacing w:val="5"/>
          <w:kern w:val="0"/>
          <w:sz w:val="32"/>
          <w:szCs w:val="32"/>
          <w:lang w:val="en-US" w:eastAsia="zh-CN" w:bidi="ar"/>
        </w:rPr>
        <w:t>附件3</w:t>
      </w:r>
      <w:r>
        <w:rPr>
          <w:rFonts w:hint="eastAsia" w:ascii="仿宋" w:hAnsi="仿宋" w:eastAsia="仿宋" w:cs="仿宋"/>
          <w:sz w:val="32"/>
          <w:szCs w:val="32"/>
          <w:highlight w:val="none"/>
          <w:lang w:val="en-US"/>
        </w:rPr>
        <w:t>《</w:t>
      </w:r>
      <w:r>
        <w:rPr>
          <w:rFonts w:hint="eastAsia" w:ascii="仿宋" w:hAnsi="仿宋" w:eastAsia="仿宋" w:cs="仿宋"/>
          <w:sz w:val="32"/>
          <w:szCs w:val="32"/>
          <w:highlight w:val="none"/>
          <w:lang w:val="en-US" w:eastAsia="zh-CN"/>
        </w:rPr>
        <w:t>比选申请文件</w:t>
      </w:r>
      <w:r>
        <w:rPr>
          <w:rFonts w:hint="eastAsia" w:ascii="仿宋" w:hAnsi="仿宋" w:eastAsia="仿宋" w:cs="仿宋"/>
          <w:sz w:val="32"/>
          <w:szCs w:val="32"/>
          <w:highlight w:val="none"/>
          <w:lang w:val="en-US"/>
        </w:rPr>
        <w:t>格式》</w:t>
      </w:r>
      <w:r>
        <w:rPr>
          <w:rFonts w:hint="eastAsia" w:ascii="仿宋" w:hAnsi="仿宋" w:eastAsia="仿宋" w:cs="仿宋"/>
          <w:spacing w:val="5"/>
          <w:kern w:val="0"/>
          <w:sz w:val="32"/>
          <w:szCs w:val="32"/>
          <w:lang w:val="en-US" w:eastAsia="zh-CN" w:bidi="ar"/>
        </w:rPr>
        <w:t>中要求的其他文件。</w:t>
      </w:r>
    </w:p>
    <w:p w14:paraId="1D2D3F7C">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lang w:val="en-US"/>
        </w:rPr>
        <w:t>比选申请文件的语言</w:t>
      </w:r>
    </w:p>
    <w:p w14:paraId="6DCFA9A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比选申请文件及比选人与参选人之间与比选有关的函件和文件均应使用汉语言文字。</w:t>
      </w:r>
    </w:p>
    <w:p w14:paraId="346C36BC">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lang w:val="en-US"/>
        </w:rPr>
        <w:t>比选申请文件的组成及填制要求</w:t>
      </w:r>
    </w:p>
    <w:p w14:paraId="26116A38">
      <w:pPr>
        <w:pStyle w:val="17"/>
        <w:keepNext w:val="0"/>
        <w:keepLines w:val="0"/>
        <w:widowControl/>
        <w:suppressLineNumbers w:val="0"/>
        <w:ind w:firstLine="640" w:firstLineChars="200"/>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（1）比选申请文件一式三份，正本一份，副本一份，电子文档一份；在每一份比选申请文件上要明确注明“正本”或“副本”字样，一旦正本和副本有差异，以正本为准；同时电子文档需发送至指定邮箱</w:t>
      </w:r>
      <w:r>
        <w:rPr>
          <w:rFonts w:hint="eastAsia" w:ascii="仿宋_GB2312" w:hAnsi="仿宋_GB2312" w:eastAsia="仿宋_GB2312" w:cs="仿宋_GB2312"/>
          <w:color w:val="auto"/>
          <w:sz w:val="32"/>
          <w:szCs w:val="32"/>
          <w:highlight w:val="none"/>
          <w:lang w:val="en-US" w:eastAsia="zh-CN"/>
        </w:rPr>
        <w:t>，邮箱号：</w:t>
      </w:r>
      <w:r>
        <w:rPr>
          <w:rFonts w:hint="eastAsia" w:ascii="仿宋_GB2312" w:hAnsi="仿宋_GB2312" w:eastAsia="仿宋_GB2312" w:cs="仿宋_GB2312"/>
          <w:color w:val="auto"/>
          <w:sz w:val="32"/>
          <w:szCs w:val="32"/>
          <w:highlight w:val="none"/>
          <w:lang w:val="en-US"/>
        </w:rPr>
        <w:fldChar w:fldCharType="begin"/>
      </w:r>
      <w:r>
        <w:rPr>
          <w:rFonts w:hint="eastAsia" w:ascii="仿宋_GB2312" w:hAnsi="仿宋_GB2312" w:eastAsia="仿宋_GB2312" w:cs="仿宋_GB2312"/>
          <w:color w:val="auto"/>
          <w:sz w:val="32"/>
          <w:szCs w:val="32"/>
          <w:highlight w:val="none"/>
          <w:lang w:val="en-US"/>
        </w:rPr>
        <w:instrText xml:space="preserve"> HYPERLINK "mailto:yingtexin@vip.163.com" </w:instrText>
      </w:r>
      <w:r>
        <w:rPr>
          <w:rFonts w:hint="eastAsia" w:ascii="仿宋_GB2312" w:hAnsi="仿宋_GB2312" w:eastAsia="仿宋_GB2312" w:cs="仿宋_GB2312"/>
          <w:color w:val="auto"/>
          <w:sz w:val="32"/>
          <w:szCs w:val="32"/>
          <w:highlight w:val="none"/>
          <w:lang w:val="en-US"/>
        </w:rPr>
        <w:fldChar w:fldCharType="separate"/>
      </w:r>
      <w:r>
        <w:rPr>
          <w:rFonts w:hint="eastAsia" w:ascii="仿宋_GB2312" w:hAnsi="仿宋_GB2312" w:eastAsia="仿宋_GB2312" w:cs="仿宋_GB2312"/>
          <w:color w:val="auto"/>
          <w:sz w:val="32"/>
          <w:szCs w:val="32"/>
          <w:highlight w:val="none"/>
          <w:lang w:val="en-US"/>
        </w:rPr>
        <w:t>yingtexin@vip.163.com</w:t>
      </w:r>
      <w:r>
        <w:rPr>
          <w:rFonts w:hint="eastAsia" w:ascii="仿宋_GB2312" w:hAnsi="仿宋_GB2312" w:eastAsia="仿宋_GB2312" w:cs="仿宋_GB2312"/>
          <w:color w:val="auto"/>
          <w:sz w:val="32"/>
          <w:szCs w:val="32"/>
          <w:highlight w:val="none"/>
          <w:lang w:val="en-US"/>
        </w:rPr>
        <w:fldChar w:fldCharType="end"/>
      </w:r>
      <w:r>
        <w:rPr>
          <w:rFonts w:hint="eastAsia" w:ascii="仿宋_GB2312" w:hAnsi="仿宋_GB2312" w:eastAsia="仿宋_GB2312" w:cs="仿宋_GB2312"/>
          <w:color w:val="auto"/>
          <w:sz w:val="32"/>
          <w:szCs w:val="32"/>
          <w:highlight w:val="none"/>
          <w:lang w:val="en-US"/>
        </w:rPr>
        <w:t>。</w:t>
      </w:r>
    </w:p>
    <w:p w14:paraId="5579F2E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rPr>
        <w:t xml:space="preserve">）比选人的比选申请文件主要清单见附件 </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《比选申请文件格式》</w:t>
      </w:r>
      <w:r>
        <w:rPr>
          <w:rFonts w:hint="eastAsia" w:ascii="仿宋_GB2312" w:hAnsi="仿宋_GB2312" w:eastAsia="仿宋_GB2312" w:cs="仿宋_GB2312"/>
          <w:color w:val="auto"/>
          <w:sz w:val="32"/>
          <w:szCs w:val="32"/>
          <w:highlight w:val="none"/>
          <w:lang w:val="en-US" w:eastAsia="zh-CN"/>
        </w:rPr>
        <w:t>。</w:t>
      </w:r>
    </w:p>
    <w:p w14:paraId="5B035C37">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）比选申请文件的正、副本应用不褪色的墨水（墨粉）书写或打印、复印，并按比选文件要求，由法定代表人或委托代理人做相应的签字、加盖机构公章。</w:t>
      </w:r>
    </w:p>
    <w:p w14:paraId="37F1E1FF">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）除比选申请人对错处作必要修改外，比选申请文件中不许有加行、涂抹或改写。</w:t>
      </w:r>
    </w:p>
    <w:p w14:paraId="2957EC0D">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rPr>
        <w:t>）无论比选结果如何，参选人的比选申请文件均不退回。</w:t>
      </w:r>
    </w:p>
    <w:p w14:paraId="676DBC30">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比选申请文件格式</w:t>
      </w:r>
    </w:p>
    <w:p w14:paraId="6E74D0D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参选人提交的比选申请文件应当使用比选文件所提供的比选申请文件全部格式和顺序。</w:t>
      </w:r>
    </w:p>
    <w:p w14:paraId="598A164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四、有关比选的特别说明</w:t>
      </w:r>
    </w:p>
    <w:p w14:paraId="10858659">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1、</w:t>
      </w:r>
      <w:r>
        <w:rPr>
          <w:rFonts w:hint="eastAsia" w:ascii="仿宋_GB2312" w:hAnsi="仿宋_GB2312" w:eastAsia="仿宋_GB2312" w:cs="仿宋_GB2312"/>
          <w:b/>
          <w:bCs/>
          <w:color w:val="auto"/>
          <w:sz w:val="32"/>
          <w:szCs w:val="32"/>
          <w:highlight w:val="none"/>
        </w:rPr>
        <w:t>比选申请报价</w:t>
      </w:r>
    </w:p>
    <w:p w14:paraId="7283F5A4">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（1）参选人报价</w:t>
      </w:r>
      <w:r>
        <w:rPr>
          <w:rFonts w:hint="eastAsia" w:ascii="仿宋_GB2312" w:hAnsi="仿宋_GB2312" w:eastAsia="仿宋_GB2312" w:cs="仿宋_GB2312"/>
          <w:color w:val="auto"/>
          <w:sz w:val="32"/>
          <w:szCs w:val="32"/>
          <w:highlight w:val="none"/>
          <w:lang w:val="en-US" w:eastAsia="zh-CN"/>
        </w:rPr>
        <w:t>不超过最高限额</w:t>
      </w:r>
      <w:r>
        <w:rPr>
          <w:rFonts w:hint="eastAsia" w:ascii="仿宋_GB2312" w:hAnsi="仿宋_GB2312" w:eastAsia="仿宋_GB2312" w:cs="仿宋_GB2312"/>
          <w:color w:val="auto"/>
          <w:sz w:val="32"/>
          <w:szCs w:val="32"/>
          <w:highlight w:val="none"/>
        </w:rPr>
        <w:t>，超过</w:t>
      </w:r>
      <w:r>
        <w:rPr>
          <w:rFonts w:hint="eastAsia" w:ascii="仿宋_GB2312" w:hAnsi="仿宋_GB2312" w:eastAsia="仿宋_GB2312" w:cs="仿宋_GB2312"/>
          <w:color w:val="auto"/>
          <w:sz w:val="32"/>
          <w:szCs w:val="32"/>
          <w:highlight w:val="none"/>
          <w:lang w:val="en-US" w:eastAsia="zh-CN"/>
        </w:rPr>
        <w:t>最高限额</w:t>
      </w:r>
      <w:r>
        <w:rPr>
          <w:rFonts w:hint="eastAsia" w:ascii="仿宋_GB2312" w:hAnsi="仿宋_GB2312" w:eastAsia="仿宋_GB2312" w:cs="仿宋_GB2312"/>
          <w:color w:val="auto"/>
          <w:sz w:val="32"/>
          <w:szCs w:val="32"/>
          <w:highlight w:val="none"/>
        </w:rPr>
        <w:t>的报价为无效标价。</w:t>
      </w:r>
      <w:r>
        <w:rPr>
          <w:rFonts w:hint="eastAsia" w:ascii="仿宋_GB2312" w:hAnsi="仿宋_GB2312" w:eastAsia="仿宋_GB2312" w:cs="仿宋_GB2312"/>
          <w:color w:val="auto"/>
          <w:sz w:val="32"/>
          <w:szCs w:val="32"/>
          <w:highlight w:val="none"/>
          <w:lang w:val="en-US"/>
        </w:rPr>
        <w:t>参</w:t>
      </w:r>
      <w:r>
        <w:rPr>
          <w:rFonts w:hint="eastAsia" w:ascii="仿宋_GB2312" w:hAnsi="仿宋_GB2312" w:eastAsia="仿宋_GB2312" w:cs="仿宋_GB2312"/>
          <w:color w:val="auto"/>
          <w:sz w:val="32"/>
          <w:szCs w:val="32"/>
          <w:highlight w:val="none"/>
        </w:rPr>
        <w:t>选人应充分考虑服务期间各种情况和风险。</w:t>
      </w:r>
    </w:p>
    <w:p w14:paraId="60E4B6D2">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（2）参选人的比选报价应是比选文件所确定的服务范围内的全部工作内容的价格体现。</w:t>
      </w:r>
    </w:p>
    <w:p w14:paraId="5800371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（3）参选人的报价应是完成所有工作的费用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包括但不限于人工费、差旅费、税费</w:t>
      </w:r>
      <w:r>
        <w:rPr>
          <w:rFonts w:hint="eastAsia" w:ascii="仿宋_GB2312" w:hAnsi="仿宋_GB2312" w:eastAsia="仿宋_GB2312" w:cs="仿宋_GB2312"/>
          <w:color w:val="auto"/>
          <w:sz w:val="32"/>
          <w:szCs w:val="32"/>
          <w:highlight w:val="none"/>
        </w:rPr>
        <w:t>。</w:t>
      </w:r>
    </w:p>
    <w:p w14:paraId="305028A6">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2、比选货币</w:t>
      </w:r>
    </w:p>
    <w:p w14:paraId="6B980BB7">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比选报价采用的币种为人民币。</w:t>
      </w:r>
    </w:p>
    <w:p w14:paraId="58E7E71D">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3、</w:t>
      </w:r>
      <w:r>
        <w:rPr>
          <w:rFonts w:hint="eastAsia" w:ascii="仿宋_GB2312" w:hAnsi="仿宋_GB2312" w:eastAsia="仿宋_GB2312" w:cs="仿宋_GB2312"/>
          <w:b/>
          <w:bCs/>
          <w:color w:val="auto"/>
          <w:sz w:val="32"/>
          <w:szCs w:val="32"/>
          <w:highlight w:val="none"/>
        </w:rPr>
        <w:t>比选有效期</w:t>
      </w:r>
    </w:p>
    <w:p w14:paraId="60CAADF4">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比选文件在比选申请文件递交后60日内有效。</w:t>
      </w:r>
    </w:p>
    <w:p w14:paraId="6E5A709D">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4、</w:t>
      </w:r>
      <w:r>
        <w:rPr>
          <w:rFonts w:hint="eastAsia" w:ascii="仿宋_GB2312" w:hAnsi="仿宋_GB2312" w:eastAsia="仿宋_GB2312" w:cs="仿宋_GB2312"/>
          <w:b/>
          <w:bCs/>
          <w:color w:val="auto"/>
          <w:sz w:val="32"/>
          <w:szCs w:val="32"/>
          <w:highlight w:val="none"/>
        </w:rPr>
        <w:t>比选保证金</w:t>
      </w:r>
    </w:p>
    <w:p w14:paraId="42E5E75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无</w:t>
      </w:r>
    </w:p>
    <w:p w14:paraId="4DC322E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五、比选申请文件的提交</w:t>
      </w:r>
    </w:p>
    <w:p w14:paraId="261A8C04">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1、</w:t>
      </w:r>
      <w:r>
        <w:rPr>
          <w:rFonts w:hint="eastAsia" w:ascii="仿宋_GB2312" w:hAnsi="仿宋_GB2312" w:eastAsia="仿宋_GB2312" w:cs="仿宋_GB2312"/>
          <w:b/>
          <w:bCs/>
          <w:color w:val="auto"/>
          <w:sz w:val="32"/>
          <w:szCs w:val="32"/>
          <w:highlight w:val="none"/>
        </w:rPr>
        <w:t>比选申请文件的密封</w:t>
      </w:r>
    </w:p>
    <w:p w14:paraId="54C0B49D">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参选人应按“参选机构名称</w:t>
      </w:r>
      <w:r>
        <w:rPr>
          <w:rFonts w:hint="eastAsia" w:ascii="仿宋_GB2312" w:hAnsi="仿宋_GB2312" w:eastAsia="仿宋_GB2312" w:cs="仿宋_GB2312"/>
          <w:color w:val="auto"/>
          <w:sz w:val="32"/>
          <w:szCs w:val="32"/>
          <w:highlight w:val="none"/>
          <w:lang w:val="en-US"/>
        </w:rPr>
        <w:t>-参选文件-日期</w:t>
      </w:r>
      <w:r>
        <w:rPr>
          <w:rFonts w:hint="eastAsia" w:ascii="仿宋_GB2312" w:hAnsi="仿宋_GB2312" w:eastAsia="仿宋_GB2312" w:cs="仿宋_GB2312"/>
          <w:color w:val="auto"/>
          <w:sz w:val="32"/>
          <w:szCs w:val="32"/>
          <w:highlight w:val="none"/>
        </w:rPr>
        <w:t>”命名。</w:t>
      </w:r>
    </w:p>
    <w:p w14:paraId="5A617AEF">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2、比选申请文件的递交和截止时间</w:t>
      </w:r>
    </w:p>
    <w:p w14:paraId="06044D7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（1）比选申请文件递交的截止时间见比选公告的规定。</w:t>
      </w:r>
    </w:p>
    <w:p w14:paraId="0F39CE2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（2）比选人可按照本规则的规定以补充通知的方式，酌情延长递交比选文件的截止时间。</w:t>
      </w:r>
    </w:p>
    <w:p w14:paraId="5FE7F17A">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（3）比选人将拒绝接受任何晚于递交比选申请文件截止时间递交的比选申请文件。</w:t>
      </w:r>
    </w:p>
    <w:p w14:paraId="105E9C9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（4）比选人以收到比选申请文件邮件的时间为参选人提交比选申请文件的时间。</w:t>
      </w:r>
    </w:p>
    <w:p w14:paraId="63F8D45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六、评选</w:t>
      </w:r>
    </w:p>
    <w:p w14:paraId="6E563225">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1、评选小组与评选</w:t>
      </w:r>
    </w:p>
    <w:p w14:paraId="7E465F28">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（1）评选小组由比选人自行组建，负责评选活动，必要时可邀请债务人、债权人代表、法院工作人员</w:t>
      </w:r>
      <w:r>
        <w:rPr>
          <w:rFonts w:hint="eastAsia" w:ascii="仿宋_GB2312" w:hAnsi="仿宋_GB2312" w:eastAsia="仿宋_GB2312" w:cs="仿宋_GB2312"/>
          <w:color w:val="auto"/>
          <w:sz w:val="32"/>
          <w:szCs w:val="32"/>
          <w:highlight w:val="none"/>
          <w:lang w:val="en-US" w:eastAsia="zh-CN"/>
        </w:rPr>
        <w:t>、政府工作人员</w:t>
      </w:r>
      <w:r>
        <w:rPr>
          <w:rFonts w:hint="eastAsia" w:ascii="仿宋_GB2312" w:hAnsi="仿宋_GB2312" w:eastAsia="仿宋_GB2312" w:cs="仿宋_GB2312"/>
          <w:color w:val="auto"/>
          <w:sz w:val="32"/>
          <w:szCs w:val="32"/>
          <w:highlight w:val="none"/>
          <w:lang w:val="en-US"/>
        </w:rPr>
        <w:t>参与监督。</w:t>
      </w:r>
    </w:p>
    <w:p w14:paraId="5D1DC782">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（2）整个评选过程采用保密方式进行。</w:t>
      </w:r>
    </w:p>
    <w:p w14:paraId="1CDDC7CB">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2、评选过程的注意事项</w:t>
      </w:r>
    </w:p>
    <w:p w14:paraId="7C00F764">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（1）开选后，直至授予中选人合同为止，凡涉及对比选申请文件的审查、澄清、评价和比较的有关资料，以及其他与评选有关的任何情况均应严格保密。</w:t>
      </w:r>
    </w:p>
    <w:p w14:paraId="599EDC27">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（2）在比选申请文件的评审和比较以及授予合同的过程中，任何人向比选人和评选小组施加影响的任何行为，都将会导致其比选被拒绝。</w:t>
      </w:r>
    </w:p>
    <w:p w14:paraId="64658AE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（3）中选机构及备选机构确定后，比选人不对未中选人就评选过程以及未能中选原因作出任何解释。未中选人不得向评选小组组成人员或其它有关人员询问评选过程的情况和索取资料。</w:t>
      </w:r>
    </w:p>
    <w:p w14:paraId="03186417">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3、比选申请文件的澄清</w:t>
      </w:r>
    </w:p>
    <w:p w14:paraId="0C1655F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为了有助于比选申请文件的审查、评价和比较，评选小组有权要求参选人对比选申请文件中含义不明确的内容等问题作出澄清。澄清问题的答复将作为比选申请文件的组成部分。</w:t>
      </w:r>
    </w:p>
    <w:p w14:paraId="5E89E9F7">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4、比选申请文件的初步审查</w:t>
      </w:r>
    </w:p>
    <w:p w14:paraId="0020868B">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初评主要是对比选申请文件的形式审查，注重评审是否满足比选条件、材料是否齐备等程序性要件，只有通过形式审查的比选申请文件，才能进入下一阶段的评审。</w:t>
      </w:r>
    </w:p>
    <w:p w14:paraId="5A381837">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5、评选方法和标准</w:t>
      </w:r>
    </w:p>
    <w:p w14:paraId="341E3069">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（1）本项目采用综合评审法进行评选</w:t>
      </w:r>
    </w:p>
    <w:p w14:paraId="49A7C663">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评选分为形式审查、详细评审两部分。只有通过形式审查的参选人才能进入详细评审的综合评审。</w:t>
      </w:r>
    </w:p>
    <w:p w14:paraId="70093CC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项目评选以百分制计分，评选人员对各项目逐项评定计分，满分100分。评选工作由比选人组织进行。本次评选小组成员人数由3人以上（含3人）组成，评选小组组长由评选小组成员推举产生，主持整个评选工作，与评选小组其他成员有同等的表决权。</w:t>
      </w:r>
    </w:p>
    <w:p w14:paraId="72CEBD26">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（2）本项目评选结果的确定</w:t>
      </w:r>
    </w:p>
    <w:p w14:paraId="44B8048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根据评选组的评审结果，综合得分第一名的为中选机构，第二名为备选机构。</w:t>
      </w:r>
    </w:p>
    <w:p w14:paraId="5F9DC091">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A.</w:t>
      </w:r>
      <w:r>
        <w:rPr>
          <w:rFonts w:hint="eastAsia" w:ascii="仿宋_GB2312" w:hAnsi="仿宋_GB2312" w:eastAsia="仿宋_GB2312" w:cs="仿宋_GB2312"/>
          <w:color w:val="auto"/>
          <w:sz w:val="32"/>
          <w:szCs w:val="32"/>
          <w:highlight w:val="none"/>
        </w:rPr>
        <w:t>形式审查标准</w:t>
      </w:r>
    </w:p>
    <w:tbl>
      <w:tblPr>
        <w:tblStyle w:val="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1"/>
        <w:gridCol w:w="5583"/>
        <w:gridCol w:w="2307"/>
      </w:tblGrid>
      <w:tr w14:paraId="1734A7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5A4562D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序号</w:t>
            </w:r>
          </w:p>
        </w:tc>
        <w:tc>
          <w:tcPr>
            <w:tcW w:w="3153" w:type="pct"/>
            <w:vAlign w:val="center"/>
          </w:tcPr>
          <w:p w14:paraId="6302FC2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审查内容</w:t>
            </w:r>
          </w:p>
        </w:tc>
        <w:tc>
          <w:tcPr>
            <w:tcW w:w="1303" w:type="pct"/>
            <w:vAlign w:val="center"/>
          </w:tcPr>
          <w:p w14:paraId="43CE432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是否满足要求</w:t>
            </w:r>
          </w:p>
        </w:tc>
      </w:tr>
      <w:tr w14:paraId="38588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43" w:type="pct"/>
            <w:vAlign w:val="center"/>
          </w:tcPr>
          <w:p w14:paraId="4E8A04B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3153" w:type="pct"/>
            <w:vAlign w:val="center"/>
          </w:tcPr>
          <w:p w14:paraId="43EFA366">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营业执照合法有效</w:t>
            </w:r>
          </w:p>
        </w:tc>
        <w:tc>
          <w:tcPr>
            <w:tcW w:w="1303" w:type="pct"/>
            <w:vAlign w:val="center"/>
          </w:tcPr>
          <w:p w14:paraId="0AF0FC6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50ABC1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4D5EDDB4">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3153" w:type="pct"/>
            <w:vAlign w:val="center"/>
          </w:tcPr>
          <w:p w14:paraId="40C2FBD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参选人资质是否满足要求</w:t>
            </w:r>
          </w:p>
        </w:tc>
        <w:tc>
          <w:tcPr>
            <w:tcW w:w="1303" w:type="pct"/>
            <w:vAlign w:val="center"/>
          </w:tcPr>
          <w:p w14:paraId="6EB27B7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46CE6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543" w:type="pct"/>
            <w:vAlign w:val="center"/>
          </w:tcPr>
          <w:p w14:paraId="3534A0B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3153" w:type="pct"/>
            <w:vAlign w:val="center"/>
          </w:tcPr>
          <w:p w14:paraId="0E3E59A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项目负责人</w:t>
            </w:r>
          </w:p>
        </w:tc>
        <w:tc>
          <w:tcPr>
            <w:tcW w:w="1303" w:type="pct"/>
            <w:vAlign w:val="center"/>
          </w:tcPr>
          <w:p w14:paraId="64C3B285">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0670C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0E59752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3153" w:type="pct"/>
            <w:vAlign w:val="center"/>
          </w:tcPr>
          <w:p w14:paraId="4D76254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比选申请文件盖章及签字的情况</w:t>
            </w:r>
          </w:p>
        </w:tc>
        <w:tc>
          <w:tcPr>
            <w:tcW w:w="1303" w:type="pct"/>
            <w:vAlign w:val="center"/>
          </w:tcPr>
          <w:p w14:paraId="41183495">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072F9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76D9393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p>
        </w:tc>
        <w:tc>
          <w:tcPr>
            <w:tcW w:w="3153" w:type="pct"/>
            <w:vAlign w:val="center"/>
          </w:tcPr>
          <w:p w14:paraId="7A23674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授权书是否有效</w:t>
            </w:r>
          </w:p>
        </w:tc>
        <w:tc>
          <w:tcPr>
            <w:tcW w:w="1303" w:type="pct"/>
            <w:vAlign w:val="center"/>
          </w:tcPr>
          <w:p w14:paraId="6E89DC1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3DF08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2E82216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3153" w:type="pct"/>
            <w:vAlign w:val="center"/>
          </w:tcPr>
          <w:p w14:paraId="0A8AC626">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是否实质性响应比选文件</w:t>
            </w:r>
          </w:p>
        </w:tc>
        <w:tc>
          <w:tcPr>
            <w:tcW w:w="1303" w:type="pct"/>
            <w:vAlign w:val="center"/>
          </w:tcPr>
          <w:p w14:paraId="3BF130C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14:paraId="75A5B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4B97ADA3">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w:t>
            </w:r>
          </w:p>
        </w:tc>
        <w:tc>
          <w:tcPr>
            <w:tcW w:w="3153" w:type="pct"/>
            <w:vAlign w:val="center"/>
          </w:tcPr>
          <w:p w14:paraId="7D31EC9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结论</w:t>
            </w:r>
          </w:p>
        </w:tc>
        <w:tc>
          <w:tcPr>
            <w:tcW w:w="1303" w:type="pct"/>
            <w:vAlign w:val="center"/>
          </w:tcPr>
          <w:p w14:paraId="06F0F61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bl>
    <w:p w14:paraId="67CC2FEE">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注：</w:t>
      </w:r>
      <w:r>
        <w:rPr>
          <w:rFonts w:hint="eastAsia" w:ascii="仿宋_GB2312" w:hAnsi="仿宋_GB2312" w:eastAsia="仿宋_GB2312" w:cs="仿宋_GB2312"/>
          <w:color w:val="auto"/>
          <w:sz w:val="28"/>
          <w:szCs w:val="28"/>
          <w:highlight w:val="none"/>
        </w:rPr>
        <w:t>1、表格中打“√”表示满足，“×”表示不满足，结论填“通过”和“不通过”；２、有任意一个“×”，则结论“不通过”。</w:t>
      </w:r>
    </w:p>
    <w:p w14:paraId="34F94ACA">
      <w:pPr>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14:paraId="471BD30F">
      <w:pPr>
        <w:keepNext w:val="0"/>
        <w:keepLines w:val="0"/>
        <w:pageBreakBefore w:val="0"/>
        <w:widowControl w:val="0"/>
        <w:numPr>
          <w:ilvl w:val="0"/>
          <w:numId w:val="2"/>
        </w:numPr>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评审标准、评分依据</w:t>
      </w:r>
    </w:p>
    <w:tbl>
      <w:tblPr>
        <w:tblStyle w:val="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8"/>
        <w:gridCol w:w="1484"/>
        <w:gridCol w:w="4983"/>
        <w:gridCol w:w="883"/>
      </w:tblGrid>
      <w:tr w14:paraId="2525CA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92" w:type="dxa"/>
            <w:gridSpan w:val="2"/>
          </w:tcPr>
          <w:p w14:paraId="7585D823">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xml:space="preserve"> 评审因素</w:t>
            </w:r>
          </w:p>
        </w:tc>
        <w:tc>
          <w:tcPr>
            <w:tcW w:w="5866" w:type="dxa"/>
            <w:gridSpan w:val="2"/>
          </w:tcPr>
          <w:p w14:paraId="793C0C01">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xml:space="preserve"> 评审标准</w:t>
            </w:r>
          </w:p>
        </w:tc>
      </w:tr>
      <w:tr w14:paraId="33B81E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92" w:type="dxa"/>
            <w:gridSpan w:val="2"/>
            <w:vAlign w:val="center"/>
          </w:tcPr>
          <w:p w14:paraId="6A6EDF56">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分值构成</w:t>
            </w:r>
          </w:p>
        </w:tc>
        <w:tc>
          <w:tcPr>
            <w:tcW w:w="5866" w:type="dxa"/>
            <w:gridSpan w:val="2"/>
          </w:tcPr>
          <w:p w14:paraId="37426724">
            <w:pPr>
              <w:pStyle w:val="18"/>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详细评审</w:t>
            </w:r>
            <w:r>
              <w:rPr>
                <w:rFonts w:hint="eastAsia" w:asciiTheme="minorEastAsia" w:hAnsiTheme="minorEastAsia" w:eastAsiaTheme="minorEastAsia" w:cstheme="minorEastAsia"/>
                <w:sz w:val="22"/>
                <w:szCs w:val="22"/>
                <w:lang w:eastAsia="zh-CN"/>
              </w:rPr>
              <w:t>：</w:t>
            </w:r>
            <w:r>
              <w:rPr>
                <w:rFonts w:hint="eastAsia" w:asciiTheme="minorEastAsia" w:hAnsiTheme="minorEastAsia" w:cstheme="minorEastAsia"/>
                <w:sz w:val="22"/>
                <w:szCs w:val="22"/>
                <w:lang w:val="en-US" w:eastAsia="zh-CN"/>
              </w:rPr>
              <w:t>90</w:t>
            </w:r>
            <w:r>
              <w:rPr>
                <w:rFonts w:hint="eastAsia" w:asciiTheme="minorEastAsia" w:hAnsiTheme="minorEastAsia" w:eastAsiaTheme="minorEastAsia" w:cstheme="minorEastAsia"/>
                <w:sz w:val="22"/>
                <w:szCs w:val="22"/>
                <w:lang w:val="en-US" w:eastAsia="zh-CN"/>
              </w:rPr>
              <w:t>.00</w:t>
            </w:r>
            <w:r>
              <w:rPr>
                <w:rFonts w:hint="eastAsia" w:asciiTheme="minorEastAsia" w:hAnsiTheme="minorEastAsia" w:eastAsiaTheme="minorEastAsia" w:cstheme="minorEastAsia"/>
                <w:sz w:val="22"/>
                <w:szCs w:val="22"/>
              </w:rPr>
              <w:t>分</w:t>
            </w:r>
          </w:p>
          <w:p w14:paraId="634DAB79">
            <w:pPr>
              <w:pStyle w:val="18"/>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比选申请报价：10.00分</w:t>
            </w:r>
          </w:p>
        </w:tc>
      </w:tr>
      <w:tr w14:paraId="2054D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92" w:type="dxa"/>
            <w:gridSpan w:val="2"/>
            <w:vAlign w:val="center"/>
          </w:tcPr>
          <w:p w14:paraId="0378D1EB">
            <w:pPr>
              <w:pStyle w:val="18"/>
              <w:jc w:val="center"/>
              <w:rPr>
                <w:rFonts w:hint="eastAsia" w:asciiTheme="minorEastAsia" w:hAnsiTheme="minorEastAsia" w:eastAsiaTheme="minorEastAsia" w:cstheme="minorEastAsia"/>
                <w:spacing w:val="-1"/>
                <w:sz w:val="22"/>
                <w:szCs w:val="22"/>
              </w:rPr>
            </w:pPr>
            <w:r>
              <w:rPr>
                <w:rFonts w:hint="eastAsia" w:asciiTheme="minorEastAsia" w:hAnsiTheme="minorEastAsia" w:eastAsiaTheme="minorEastAsia" w:cstheme="minorEastAsia"/>
                <w:spacing w:val="-3"/>
                <w:sz w:val="22"/>
                <w:szCs w:val="22"/>
              </w:rPr>
              <w:t>比选申请报价的偏差率计算公式</w:t>
            </w:r>
          </w:p>
        </w:tc>
        <w:tc>
          <w:tcPr>
            <w:tcW w:w="5866" w:type="dxa"/>
            <w:gridSpan w:val="2"/>
          </w:tcPr>
          <w:p w14:paraId="47C6A3EA">
            <w:pPr>
              <w:pStyle w:val="19"/>
              <w:spacing w:before="50" w:line="260" w:lineRule="auto"/>
              <w:ind w:right="103"/>
              <w:jc w:val="both"/>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pacing w:val="3"/>
                <w:sz w:val="24"/>
                <w:szCs w:val="24"/>
              </w:rPr>
              <w:t>偏差率=100%×（有效比选申请报价的评审</w:t>
            </w:r>
            <w:r>
              <w:rPr>
                <w:rFonts w:hint="eastAsia" w:asciiTheme="minorEastAsia" w:hAnsiTheme="minorEastAsia" w:eastAsiaTheme="minorEastAsia" w:cstheme="minorEastAsia"/>
                <w:spacing w:val="2"/>
                <w:sz w:val="24"/>
                <w:szCs w:val="24"/>
              </w:rPr>
              <w:t>价-评审基准价）/</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pacing w:val="-1"/>
                <w:sz w:val="24"/>
                <w:szCs w:val="24"/>
              </w:rPr>
              <w:t>评审基准价</w:t>
            </w:r>
          </w:p>
        </w:tc>
      </w:tr>
      <w:tr w14:paraId="3A82CC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92" w:type="dxa"/>
            <w:gridSpan w:val="2"/>
            <w:vAlign w:val="center"/>
          </w:tcPr>
          <w:p w14:paraId="0FFA9955">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pacing w:val="-1"/>
                <w:sz w:val="22"/>
                <w:szCs w:val="22"/>
              </w:rPr>
              <w:t>评审基准价</w:t>
            </w:r>
          </w:p>
        </w:tc>
        <w:tc>
          <w:tcPr>
            <w:tcW w:w="5866" w:type="dxa"/>
            <w:gridSpan w:val="2"/>
          </w:tcPr>
          <w:p w14:paraId="6D294555">
            <w:pPr>
              <w:pStyle w:val="19"/>
              <w:spacing w:before="30" w:line="265" w:lineRule="auto"/>
              <w:ind w:right="104"/>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采用有效报价（经初步评审合格且不低于成本的比选申</w:t>
            </w:r>
            <w:r>
              <w:rPr>
                <w:rFonts w:hint="eastAsia" w:asciiTheme="minorEastAsia" w:hAnsiTheme="minorEastAsia" w:eastAsiaTheme="minorEastAsia" w:cstheme="minorEastAsia"/>
                <w:spacing w:val="-3"/>
                <w:sz w:val="24"/>
                <w:szCs w:val="24"/>
              </w:rPr>
              <w:t>请报价；报价有修正的，以修正后的价格为准）中</w:t>
            </w:r>
            <w:r>
              <w:rPr>
                <w:rFonts w:hint="eastAsia" w:asciiTheme="minorEastAsia" w:hAnsiTheme="minorEastAsia" w:eastAsiaTheme="minorEastAsia" w:cstheme="minorEastAsia"/>
                <w:spacing w:val="-4"/>
                <w:sz w:val="24"/>
                <w:szCs w:val="24"/>
              </w:rPr>
              <w:t>的</w:t>
            </w:r>
            <w:r>
              <w:rPr>
                <w:rFonts w:hint="eastAsia" w:asciiTheme="minorEastAsia" w:hAnsiTheme="minorEastAsia" w:eastAsiaTheme="minorEastAsia" w:cstheme="minorEastAsia"/>
                <w:spacing w:val="-2"/>
                <w:sz w:val="24"/>
                <w:szCs w:val="24"/>
              </w:rPr>
              <w:t>算术平均值为评审基准价，计算公式为：</w:t>
            </w:r>
          </w:p>
          <w:p w14:paraId="626555CB">
            <w:pPr>
              <w:pStyle w:val="18"/>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
                <w:bCs/>
                <w:spacing w:val="-3"/>
                <w:sz w:val="22"/>
                <w:szCs w:val="22"/>
              </w:rPr>
              <w:t>S（评审基准价）=</w:t>
            </w:r>
            <w:r>
              <w:rPr>
                <w:rFonts w:hint="eastAsia" w:asciiTheme="minorEastAsia" w:hAnsiTheme="minorEastAsia" w:eastAsiaTheme="minorEastAsia" w:cstheme="minorEastAsia"/>
                <w:spacing w:val="-3"/>
                <w:sz w:val="22"/>
                <w:szCs w:val="22"/>
              </w:rPr>
              <w:t xml:space="preserve"> </w:t>
            </w:r>
            <w:r>
              <w:rPr>
                <w:rFonts w:hint="eastAsia" w:asciiTheme="minorEastAsia" w:hAnsiTheme="minorEastAsia" w:eastAsiaTheme="minorEastAsia" w:cstheme="minorEastAsia"/>
                <w:b/>
                <w:bCs/>
                <w:spacing w:val="-3"/>
                <w:sz w:val="22"/>
                <w:szCs w:val="22"/>
              </w:rPr>
              <w:t>（a</w:t>
            </w:r>
            <w:r>
              <w:rPr>
                <w:rFonts w:hint="eastAsia" w:asciiTheme="minorEastAsia" w:hAnsiTheme="minorEastAsia" w:eastAsiaTheme="minorEastAsia" w:cstheme="minorEastAsia"/>
                <w:b/>
                <w:bCs/>
                <w:spacing w:val="-3"/>
                <w:sz w:val="15"/>
                <w:szCs w:val="15"/>
              </w:rPr>
              <w:t>1</w:t>
            </w:r>
            <w:r>
              <w:rPr>
                <w:rFonts w:hint="eastAsia" w:asciiTheme="minorEastAsia" w:hAnsiTheme="minorEastAsia" w:eastAsiaTheme="minorEastAsia" w:cstheme="minorEastAsia"/>
                <w:spacing w:val="-3"/>
                <w:sz w:val="15"/>
                <w:szCs w:val="15"/>
              </w:rPr>
              <w:t xml:space="preserve">  </w:t>
            </w:r>
            <w:r>
              <w:rPr>
                <w:rFonts w:hint="eastAsia" w:asciiTheme="minorEastAsia" w:hAnsiTheme="minorEastAsia" w:eastAsiaTheme="minorEastAsia" w:cstheme="minorEastAsia"/>
                <w:b/>
                <w:bCs/>
                <w:spacing w:val="-3"/>
                <w:sz w:val="22"/>
                <w:szCs w:val="22"/>
              </w:rPr>
              <w:t>+……+a</w:t>
            </w:r>
            <w:r>
              <w:rPr>
                <w:rFonts w:hint="eastAsia" w:asciiTheme="minorEastAsia" w:hAnsiTheme="minorEastAsia" w:eastAsiaTheme="minorEastAsia" w:cstheme="minorEastAsia"/>
                <w:b/>
                <w:bCs/>
                <w:spacing w:val="-3"/>
                <w:sz w:val="15"/>
                <w:szCs w:val="15"/>
              </w:rPr>
              <w:t>n</w:t>
            </w:r>
            <w:r>
              <w:rPr>
                <w:rFonts w:hint="eastAsia" w:asciiTheme="minorEastAsia" w:hAnsiTheme="minorEastAsia" w:eastAsiaTheme="minorEastAsia" w:cstheme="minorEastAsia"/>
                <w:spacing w:val="-15"/>
                <w:sz w:val="15"/>
                <w:szCs w:val="15"/>
              </w:rPr>
              <w:t xml:space="preserve"> </w:t>
            </w:r>
            <w:r>
              <w:rPr>
                <w:rFonts w:hint="eastAsia" w:asciiTheme="minorEastAsia" w:hAnsiTheme="minorEastAsia" w:eastAsiaTheme="minorEastAsia" w:cstheme="minorEastAsia"/>
                <w:b/>
                <w:bCs/>
                <w:spacing w:val="-3"/>
                <w:sz w:val="22"/>
                <w:szCs w:val="22"/>
              </w:rPr>
              <w:t>）/n</w:t>
            </w:r>
            <w:r>
              <w:rPr>
                <w:rFonts w:hint="eastAsia" w:asciiTheme="minorEastAsia" w:hAnsiTheme="minorEastAsia" w:eastAsiaTheme="minorEastAsia" w:cstheme="minorEastAsia"/>
                <w:spacing w:val="-3"/>
                <w:sz w:val="22"/>
                <w:szCs w:val="22"/>
              </w:rPr>
              <w:t>，</w:t>
            </w:r>
            <w:r>
              <w:rPr>
                <w:rFonts w:hint="eastAsia" w:asciiTheme="minorEastAsia" w:hAnsiTheme="minorEastAsia" w:eastAsiaTheme="minorEastAsia" w:cstheme="minorEastAsia"/>
                <w:b/>
                <w:bCs/>
                <w:spacing w:val="-3"/>
                <w:sz w:val="22"/>
                <w:szCs w:val="22"/>
              </w:rPr>
              <w:t>a</w:t>
            </w:r>
            <w:r>
              <w:rPr>
                <w:rFonts w:hint="eastAsia" w:asciiTheme="minorEastAsia" w:hAnsiTheme="minorEastAsia" w:eastAsiaTheme="minorEastAsia" w:cstheme="minorEastAsia"/>
                <w:spacing w:val="-42"/>
                <w:sz w:val="22"/>
                <w:szCs w:val="22"/>
              </w:rPr>
              <w:t xml:space="preserve"> </w:t>
            </w:r>
            <w:r>
              <w:rPr>
                <w:rFonts w:hint="eastAsia" w:asciiTheme="minorEastAsia" w:hAnsiTheme="minorEastAsia" w:eastAsiaTheme="minorEastAsia" w:cstheme="minorEastAsia"/>
                <w:b/>
                <w:bCs/>
                <w:spacing w:val="-3"/>
                <w:sz w:val="22"/>
                <w:szCs w:val="22"/>
              </w:rPr>
              <w:t>为有效的比选申请报</w:t>
            </w:r>
            <w:r>
              <w:rPr>
                <w:rFonts w:hint="eastAsia" w:asciiTheme="minorEastAsia" w:hAnsiTheme="minorEastAsia" w:eastAsiaTheme="minorEastAsia" w:cstheme="minorEastAsia"/>
                <w:b/>
                <w:bCs/>
                <w:spacing w:val="-6"/>
                <w:sz w:val="22"/>
                <w:szCs w:val="22"/>
              </w:rPr>
              <w:t>价。</w:t>
            </w:r>
          </w:p>
        </w:tc>
      </w:tr>
      <w:tr w14:paraId="15DC5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8" w:type="dxa"/>
            <w:vAlign w:val="center"/>
          </w:tcPr>
          <w:p w14:paraId="532FD937">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评审因素分类</w:t>
            </w:r>
          </w:p>
        </w:tc>
        <w:tc>
          <w:tcPr>
            <w:tcW w:w="1484" w:type="dxa"/>
            <w:vAlign w:val="center"/>
          </w:tcPr>
          <w:p w14:paraId="613271CA">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评审项</w:t>
            </w:r>
          </w:p>
        </w:tc>
        <w:tc>
          <w:tcPr>
            <w:tcW w:w="4983" w:type="dxa"/>
            <w:vAlign w:val="center"/>
          </w:tcPr>
          <w:p w14:paraId="455F433D">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详细描述</w:t>
            </w:r>
          </w:p>
        </w:tc>
        <w:tc>
          <w:tcPr>
            <w:tcW w:w="883" w:type="dxa"/>
            <w:vAlign w:val="center"/>
          </w:tcPr>
          <w:p w14:paraId="1B280562">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分值</w:t>
            </w:r>
          </w:p>
        </w:tc>
      </w:tr>
      <w:tr w14:paraId="1678D2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8" w:type="dxa"/>
            <w:vAlign w:val="center"/>
          </w:tcPr>
          <w:p w14:paraId="69610330">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pacing w:val="-6"/>
                <w:sz w:val="22"/>
                <w:szCs w:val="22"/>
              </w:rPr>
              <w:t>比选申请报</w:t>
            </w:r>
            <w:r>
              <w:rPr>
                <w:rFonts w:hint="eastAsia" w:asciiTheme="minorEastAsia" w:hAnsiTheme="minorEastAsia" w:eastAsiaTheme="minorEastAsia" w:cstheme="minorEastAsia"/>
                <w:sz w:val="22"/>
                <w:szCs w:val="22"/>
              </w:rPr>
              <w:t>价</w:t>
            </w:r>
          </w:p>
        </w:tc>
        <w:tc>
          <w:tcPr>
            <w:tcW w:w="1484" w:type="dxa"/>
            <w:vAlign w:val="center"/>
          </w:tcPr>
          <w:p w14:paraId="75D40268">
            <w:pPr>
              <w:pStyle w:val="18"/>
              <w:jc w:val="center"/>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pacing w:val="-6"/>
                <w:sz w:val="22"/>
                <w:szCs w:val="22"/>
                <w:lang w:val="en-US" w:eastAsia="zh-CN"/>
              </w:rPr>
              <w:t>报价分</w:t>
            </w:r>
          </w:p>
        </w:tc>
        <w:tc>
          <w:tcPr>
            <w:tcW w:w="4983" w:type="dxa"/>
          </w:tcPr>
          <w:p w14:paraId="224AE558">
            <w:pPr>
              <w:pStyle w:val="19"/>
              <w:spacing w:before="49" w:line="268" w:lineRule="auto"/>
              <w:ind w:right="104"/>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4"/>
                <w:sz w:val="24"/>
                <w:szCs w:val="24"/>
              </w:rPr>
              <w:t>以基准价为准，有效比选申请价等于基准价</w:t>
            </w:r>
            <w:r>
              <w:rPr>
                <w:rFonts w:hint="eastAsia" w:asciiTheme="minorEastAsia" w:hAnsiTheme="minorEastAsia" w:eastAsiaTheme="minorEastAsia" w:cstheme="minorEastAsia"/>
                <w:spacing w:val="-5"/>
                <w:sz w:val="24"/>
                <w:szCs w:val="24"/>
              </w:rPr>
              <w:t>的得满分，有效比</w:t>
            </w:r>
            <w:r>
              <w:rPr>
                <w:rFonts w:hint="eastAsia" w:asciiTheme="minorEastAsia" w:hAnsiTheme="minorEastAsia" w:eastAsiaTheme="minorEastAsia" w:cstheme="minorEastAsia"/>
                <w:spacing w:val="-3"/>
                <w:sz w:val="24"/>
                <w:szCs w:val="24"/>
              </w:rPr>
              <w:t>选申请价低于基准价的，每低</w:t>
            </w:r>
            <w:r>
              <w:rPr>
                <w:rFonts w:hint="eastAsia" w:asciiTheme="minorEastAsia" w:hAnsiTheme="minorEastAsia" w:eastAsiaTheme="minorEastAsia" w:cstheme="minorEastAsia"/>
                <w:spacing w:val="-22"/>
                <w:sz w:val="24"/>
                <w:szCs w:val="24"/>
              </w:rPr>
              <w:t xml:space="preserve"> </w:t>
            </w:r>
            <w:r>
              <w:rPr>
                <w:rFonts w:hint="eastAsia" w:asciiTheme="minorEastAsia" w:hAnsiTheme="minorEastAsia" w:eastAsiaTheme="minorEastAsia" w:cstheme="minorEastAsia"/>
                <w:spacing w:val="-3"/>
                <w:sz w:val="24"/>
                <w:szCs w:val="24"/>
              </w:rPr>
              <w:t>1%扣</w:t>
            </w:r>
            <w:r>
              <w:rPr>
                <w:rFonts w:hint="eastAsia" w:asciiTheme="minorEastAsia" w:hAnsiTheme="minorEastAsia" w:eastAsiaTheme="minorEastAsia" w:cstheme="minorEastAsia"/>
                <w:spacing w:val="-42"/>
                <w:sz w:val="24"/>
                <w:szCs w:val="24"/>
              </w:rPr>
              <w:t xml:space="preserve"> </w:t>
            </w:r>
            <w:r>
              <w:rPr>
                <w:rFonts w:hint="eastAsia" w:asciiTheme="minorEastAsia" w:hAnsiTheme="minorEastAsia" w:eastAsiaTheme="minorEastAsia" w:cstheme="minorEastAsia"/>
                <w:spacing w:val="-3"/>
                <w:sz w:val="24"/>
                <w:szCs w:val="24"/>
              </w:rPr>
              <w:t>0.</w:t>
            </w:r>
            <w:r>
              <w:rPr>
                <w:rFonts w:hint="eastAsia" w:asciiTheme="minorEastAsia" w:hAnsiTheme="minorEastAsia" w:eastAsiaTheme="minorEastAsia" w:cstheme="minorEastAsia"/>
                <w:spacing w:val="-3"/>
                <w:sz w:val="24"/>
                <w:szCs w:val="24"/>
                <w:lang w:val="en-US" w:eastAsia="zh-CN"/>
              </w:rPr>
              <w:t>1</w:t>
            </w:r>
            <w:r>
              <w:rPr>
                <w:rFonts w:hint="eastAsia" w:asciiTheme="minorEastAsia" w:hAnsiTheme="minorEastAsia" w:eastAsiaTheme="minorEastAsia" w:cstheme="minorEastAsia"/>
                <w:spacing w:val="-3"/>
                <w:sz w:val="24"/>
                <w:szCs w:val="24"/>
              </w:rPr>
              <w:t>5</w:t>
            </w:r>
            <w:r>
              <w:rPr>
                <w:rFonts w:hint="eastAsia" w:asciiTheme="minorEastAsia" w:hAnsiTheme="minorEastAsia" w:eastAsiaTheme="minorEastAsia" w:cstheme="minorEastAsia"/>
                <w:spacing w:val="-42"/>
                <w:sz w:val="24"/>
                <w:szCs w:val="24"/>
              </w:rPr>
              <w:t xml:space="preserve"> </w:t>
            </w:r>
            <w:r>
              <w:rPr>
                <w:rFonts w:hint="eastAsia" w:asciiTheme="minorEastAsia" w:hAnsiTheme="minorEastAsia" w:eastAsiaTheme="minorEastAsia" w:cstheme="minorEastAsia"/>
                <w:spacing w:val="-3"/>
                <w:sz w:val="24"/>
                <w:szCs w:val="24"/>
              </w:rPr>
              <w:t>分，有效比选申请价高</w:t>
            </w:r>
            <w:r>
              <w:rPr>
                <w:rFonts w:hint="eastAsia" w:asciiTheme="minorEastAsia" w:hAnsiTheme="minorEastAsia" w:eastAsiaTheme="minorEastAsia" w:cstheme="minorEastAsia"/>
                <w:spacing w:val="-4"/>
                <w:sz w:val="24"/>
                <w:szCs w:val="24"/>
              </w:rPr>
              <w:t>于基准价的，每高1%扣</w:t>
            </w:r>
            <w:r>
              <w:rPr>
                <w:rFonts w:hint="eastAsia" w:asciiTheme="minorEastAsia" w:hAnsiTheme="minorEastAsia" w:eastAsiaTheme="minorEastAsia" w:cstheme="minorEastAsia"/>
                <w:spacing w:val="-28"/>
                <w:sz w:val="24"/>
                <w:szCs w:val="24"/>
              </w:rPr>
              <w:t xml:space="preserve"> </w:t>
            </w:r>
            <w:r>
              <w:rPr>
                <w:rFonts w:hint="eastAsia" w:asciiTheme="minorEastAsia" w:hAnsiTheme="minorEastAsia" w:eastAsiaTheme="minorEastAsia" w:cstheme="minorEastAsia"/>
                <w:spacing w:val="-4"/>
                <w:sz w:val="24"/>
                <w:szCs w:val="24"/>
              </w:rPr>
              <w:t>0.</w:t>
            </w:r>
            <w:r>
              <w:rPr>
                <w:rFonts w:hint="eastAsia" w:asciiTheme="minorEastAsia" w:hAnsiTheme="minorEastAsia" w:eastAsiaTheme="minorEastAsia" w:cstheme="minorEastAsia"/>
                <w:spacing w:val="-4"/>
                <w:sz w:val="24"/>
                <w:szCs w:val="24"/>
                <w:lang w:val="en-US" w:eastAsia="zh-CN"/>
              </w:rPr>
              <w:t>1</w:t>
            </w:r>
            <w:r>
              <w:rPr>
                <w:rFonts w:hint="eastAsia" w:asciiTheme="minorEastAsia" w:hAnsiTheme="minorEastAsia" w:eastAsiaTheme="minorEastAsia" w:cstheme="minorEastAsia"/>
                <w:spacing w:val="-4"/>
                <w:sz w:val="24"/>
                <w:szCs w:val="24"/>
              </w:rPr>
              <w:t>5</w:t>
            </w:r>
            <w:r>
              <w:rPr>
                <w:rFonts w:hint="eastAsia" w:asciiTheme="minorEastAsia" w:hAnsiTheme="minorEastAsia" w:eastAsiaTheme="minorEastAsia" w:cstheme="minorEastAsia"/>
                <w:spacing w:val="-27"/>
                <w:sz w:val="24"/>
                <w:szCs w:val="24"/>
              </w:rPr>
              <w:t xml:space="preserve"> </w:t>
            </w:r>
            <w:r>
              <w:rPr>
                <w:rFonts w:hint="eastAsia" w:asciiTheme="minorEastAsia" w:hAnsiTheme="minorEastAsia" w:eastAsiaTheme="minorEastAsia" w:cstheme="minorEastAsia"/>
                <w:spacing w:val="-4"/>
                <w:sz w:val="24"/>
                <w:szCs w:val="24"/>
              </w:rPr>
              <w:t>分，不足1%的按 1%计</w:t>
            </w:r>
            <w:r>
              <w:rPr>
                <w:rFonts w:hint="eastAsia" w:asciiTheme="minorEastAsia" w:hAnsiTheme="minorEastAsia" w:eastAsiaTheme="minorEastAsia" w:cstheme="minorEastAsia"/>
                <w:spacing w:val="-5"/>
                <w:sz w:val="24"/>
                <w:szCs w:val="24"/>
              </w:rPr>
              <w:t>算，小数点</w:t>
            </w:r>
            <w:r>
              <w:rPr>
                <w:rFonts w:hint="eastAsia" w:asciiTheme="minorEastAsia" w:hAnsiTheme="minorEastAsia" w:eastAsiaTheme="minorEastAsia" w:cstheme="minorEastAsia"/>
                <w:spacing w:val="-1"/>
                <w:sz w:val="24"/>
                <w:szCs w:val="24"/>
              </w:rPr>
              <w:t>后保留两位。</w:t>
            </w:r>
          </w:p>
          <w:p w14:paraId="090DF753">
            <w:pPr>
              <w:pStyle w:val="18"/>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
                <w:bCs/>
                <w:spacing w:val="-2"/>
                <w:sz w:val="22"/>
                <w:szCs w:val="22"/>
              </w:rPr>
              <w:t>注：比选申请报价的评审价即比选申请报价</w:t>
            </w:r>
            <w:r>
              <w:rPr>
                <w:rFonts w:hint="eastAsia" w:asciiTheme="minorEastAsia" w:hAnsiTheme="minorEastAsia" w:eastAsiaTheme="minorEastAsia" w:cstheme="minorEastAsia"/>
                <w:b/>
                <w:bCs/>
                <w:spacing w:val="-3"/>
                <w:sz w:val="22"/>
                <w:szCs w:val="22"/>
              </w:rPr>
              <w:t>中的基本审核费。</w:t>
            </w:r>
          </w:p>
        </w:tc>
        <w:tc>
          <w:tcPr>
            <w:tcW w:w="883" w:type="dxa"/>
            <w:vAlign w:val="center"/>
          </w:tcPr>
          <w:p w14:paraId="59846D6A">
            <w:pPr>
              <w:pStyle w:val="18"/>
              <w:jc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10</w:t>
            </w:r>
          </w:p>
        </w:tc>
      </w:tr>
      <w:tr w14:paraId="7CDF9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8" w:type="dxa"/>
            <w:vMerge w:val="restart"/>
            <w:vAlign w:val="center"/>
          </w:tcPr>
          <w:p w14:paraId="56813617">
            <w:pPr>
              <w:pStyle w:val="18"/>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详细评审</w:t>
            </w:r>
          </w:p>
        </w:tc>
        <w:tc>
          <w:tcPr>
            <w:tcW w:w="1484" w:type="dxa"/>
            <w:vAlign w:val="center"/>
          </w:tcPr>
          <w:p w14:paraId="4CCEB27F">
            <w:pPr>
              <w:pStyle w:val="18"/>
              <w:jc w:val="center"/>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lang w:eastAsia="zh-CN"/>
              </w:rPr>
              <w:t>资质</w:t>
            </w:r>
            <w:r>
              <w:rPr>
                <w:rFonts w:hint="eastAsia" w:asciiTheme="minorEastAsia" w:hAnsiTheme="minorEastAsia" w:cstheme="minorEastAsia"/>
                <w:sz w:val="22"/>
                <w:szCs w:val="22"/>
                <w:lang w:val="en-US" w:eastAsia="zh-CN"/>
              </w:rPr>
              <w:t>能力</w:t>
            </w:r>
          </w:p>
        </w:tc>
        <w:tc>
          <w:tcPr>
            <w:tcW w:w="4983" w:type="dxa"/>
          </w:tcPr>
          <w:p w14:paraId="007B15CF">
            <w:pPr>
              <w:pStyle w:val="18"/>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中介机构是否具备国家、行业主管部门颁发的营业执照，具备专项资质 (附相关证明资料) ; 具有良好的商誉，近三年内没有不良记录; 具有履行合同所需的专业技术能力和专业技术人员等，完全满足要求，8-10分: 基本满足要求，5-8分: 基本不满足要求，0-5分。</w:t>
            </w:r>
          </w:p>
        </w:tc>
        <w:tc>
          <w:tcPr>
            <w:tcW w:w="883" w:type="dxa"/>
            <w:vAlign w:val="center"/>
          </w:tcPr>
          <w:p w14:paraId="164DE394">
            <w:pPr>
              <w:pStyle w:val="18"/>
              <w:jc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10</w:t>
            </w:r>
          </w:p>
        </w:tc>
      </w:tr>
      <w:tr w14:paraId="527687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84" w:hRule="atLeast"/>
        </w:trPr>
        <w:tc>
          <w:tcPr>
            <w:tcW w:w="1008" w:type="dxa"/>
            <w:vMerge w:val="continue"/>
          </w:tcPr>
          <w:p w14:paraId="2825238E">
            <w:pPr>
              <w:jc w:val="center"/>
              <w:rPr>
                <w:rFonts w:hint="eastAsia" w:asciiTheme="minorEastAsia" w:hAnsiTheme="minorEastAsia" w:eastAsiaTheme="minorEastAsia" w:cstheme="minorEastAsia"/>
                <w:sz w:val="24"/>
                <w:szCs w:val="32"/>
              </w:rPr>
            </w:pPr>
          </w:p>
        </w:tc>
        <w:tc>
          <w:tcPr>
            <w:tcW w:w="1484" w:type="dxa"/>
            <w:vAlign w:val="center"/>
          </w:tcPr>
          <w:p w14:paraId="5899A11E">
            <w:pPr>
              <w:pStyle w:val="18"/>
              <w:jc w:val="center"/>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lang w:eastAsia="zh-CN"/>
              </w:rPr>
              <w:t>履约能力</w:t>
            </w:r>
          </w:p>
        </w:tc>
        <w:tc>
          <w:tcPr>
            <w:tcW w:w="4983" w:type="dxa"/>
            <w:vAlign w:val="center"/>
          </w:tcPr>
          <w:p w14:paraId="5E5B90C3">
            <w:pPr>
              <w:pStyle w:val="18"/>
              <w:jc w:val="both"/>
              <w:rPr>
                <w:rFonts w:hint="eastAsia"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自2020年以来，</w:t>
            </w:r>
            <w:r>
              <w:rPr>
                <w:rFonts w:hint="eastAsia" w:asciiTheme="minorEastAsia" w:hAnsiTheme="minorEastAsia" w:cstheme="minorEastAsia"/>
                <w:sz w:val="22"/>
                <w:szCs w:val="22"/>
                <w:lang w:eastAsia="zh-CN"/>
              </w:rPr>
              <w:t>类似</w:t>
            </w:r>
            <w:r>
              <w:rPr>
                <w:rFonts w:hint="eastAsia" w:asciiTheme="minorEastAsia" w:hAnsiTheme="minorEastAsia" w:eastAsiaTheme="minorEastAsia" w:cstheme="minorEastAsia"/>
                <w:sz w:val="22"/>
                <w:szCs w:val="22"/>
              </w:rPr>
              <w:t>业绩每个得</w:t>
            </w:r>
            <w:r>
              <w:rPr>
                <w:rFonts w:hint="eastAsia" w:asciiTheme="minorEastAsia" w:hAnsiTheme="minorEastAsia" w:cstheme="minorEastAsia"/>
                <w:sz w:val="22"/>
                <w:szCs w:val="22"/>
                <w:lang w:val="en-US" w:eastAsia="zh-CN"/>
              </w:rPr>
              <w:t>2</w:t>
            </w:r>
            <w:r>
              <w:rPr>
                <w:rFonts w:hint="eastAsia" w:asciiTheme="minorEastAsia" w:hAnsiTheme="minorEastAsia" w:eastAsiaTheme="minorEastAsia" w:cstheme="minorEastAsia"/>
                <w:sz w:val="22"/>
                <w:szCs w:val="22"/>
              </w:rPr>
              <w:t>分，最高</w:t>
            </w:r>
            <w:r>
              <w:rPr>
                <w:rFonts w:hint="eastAsia" w:asciiTheme="minorEastAsia" w:hAnsiTheme="minorEastAsia" w:cstheme="minorEastAsia"/>
                <w:sz w:val="22"/>
                <w:szCs w:val="22"/>
                <w:lang w:val="en-US" w:eastAsia="zh-CN"/>
              </w:rPr>
              <w:t>40</w:t>
            </w:r>
            <w:r>
              <w:rPr>
                <w:rFonts w:hint="eastAsia" w:asciiTheme="minorEastAsia" w:hAnsiTheme="minorEastAsia" w:eastAsiaTheme="minorEastAsia" w:cstheme="minorEastAsia"/>
                <w:sz w:val="22"/>
                <w:szCs w:val="22"/>
              </w:rPr>
              <w:t>分。</w:t>
            </w:r>
            <w:r>
              <w:rPr>
                <w:rFonts w:hint="eastAsia" w:asciiTheme="minorEastAsia" w:hAnsiTheme="minorEastAsia" w:cstheme="minorEastAsia"/>
                <w:sz w:val="22"/>
                <w:szCs w:val="22"/>
                <w:lang w:eastAsia="zh-CN"/>
              </w:rPr>
              <w:t>（类似业绩指</w:t>
            </w:r>
            <w:r>
              <w:rPr>
                <w:rFonts w:hint="eastAsia" w:asciiTheme="minorEastAsia" w:hAnsiTheme="minorEastAsia" w:eastAsiaTheme="minorEastAsia" w:cstheme="minorEastAsia"/>
                <w:sz w:val="22"/>
                <w:szCs w:val="22"/>
              </w:rPr>
              <w:t>房地产开发企业破产案件</w:t>
            </w:r>
            <w:r>
              <w:rPr>
                <w:rFonts w:hint="eastAsia" w:asciiTheme="minorEastAsia" w:hAnsiTheme="minorEastAsia" w:cstheme="minorEastAsia"/>
                <w:sz w:val="22"/>
                <w:szCs w:val="22"/>
                <w:lang w:eastAsia="zh-CN"/>
              </w:rPr>
              <w:t>工程造价咨询服务相关业绩）</w:t>
            </w:r>
          </w:p>
        </w:tc>
        <w:tc>
          <w:tcPr>
            <w:tcW w:w="883" w:type="dxa"/>
            <w:vAlign w:val="center"/>
          </w:tcPr>
          <w:p w14:paraId="627EFD66">
            <w:pPr>
              <w:pStyle w:val="18"/>
              <w:jc w:val="center"/>
              <w:rPr>
                <w:rFonts w:hint="eastAsia" w:asciiTheme="minorEastAsia" w:hAnsiTheme="minorEastAsia" w:eastAsiaTheme="minorEastAsia" w:cstheme="minorEastAsia"/>
                <w:sz w:val="22"/>
                <w:szCs w:val="22"/>
              </w:rPr>
            </w:pPr>
            <w:r>
              <w:rPr>
                <w:rFonts w:hint="eastAsia" w:asciiTheme="minorEastAsia" w:hAnsiTheme="minorEastAsia" w:cstheme="minorEastAsia"/>
                <w:sz w:val="22"/>
                <w:szCs w:val="22"/>
                <w:lang w:val="en-US" w:eastAsia="zh-CN"/>
              </w:rPr>
              <w:t>40</w:t>
            </w:r>
          </w:p>
        </w:tc>
      </w:tr>
      <w:tr w14:paraId="71A25D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84" w:hRule="atLeast"/>
        </w:trPr>
        <w:tc>
          <w:tcPr>
            <w:tcW w:w="1008" w:type="dxa"/>
            <w:vMerge w:val="continue"/>
          </w:tcPr>
          <w:p w14:paraId="7CFFED40">
            <w:pPr>
              <w:jc w:val="center"/>
              <w:rPr>
                <w:rFonts w:hint="eastAsia" w:asciiTheme="minorEastAsia" w:hAnsiTheme="minorEastAsia" w:eastAsiaTheme="minorEastAsia" w:cstheme="minorEastAsia"/>
                <w:sz w:val="24"/>
                <w:szCs w:val="32"/>
              </w:rPr>
            </w:pPr>
          </w:p>
        </w:tc>
        <w:tc>
          <w:tcPr>
            <w:tcW w:w="1484" w:type="dxa"/>
            <w:vAlign w:val="center"/>
          </w:tcPr>
          <w:p w14:paraId="08E51D1A">
            <w:pPr>
              <w:pStyle w:val="18"/>
              <w:jc w:val="center"/>
              <w:rPr>
                <w:rFonts w:hint="default"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人员配置</w:t>
            </w:r>
          </w:p>
        </w:tc>
        <w:tc>
          <w:tcPr>
            <w:tcW w:w="4983" w:type="dxa"/>
            <w:vAlign w:val="center"/>
          </w:tcPr>
          <w:p w14:paraId="2D01DD24">
            <w:pPr>
              <w:pStyle w:val="18"/>
              <w:jc w:val="both"/>
              <w:rPr>
                <w:rFonts w:hint="default" w:asciiTheme="minorEastAsia" w:hAnsiTheme="minorEastAsia" w:cstheme="minorEastAsia"/>
                <w:sz w:val="22"/>
                <w:szCs w:val="22"/>
                <w:lang w:val="en-US" w:eastAsia="zh-CN"/>
              </w:rPr>
            </w:pPr>
            <w:r>
              <w:rPr>
                <w:rFonts w:hint="eastAsia" w:asciiTheme="minorEastAsia" w:hAnsiTheme="minorEastAsia" w:cstheme="minorEastAsia"/>
                <w:sz w:val="22"/>
                <w:szCs w:val="22"/>
                <w:lang w:val="en-US" w:eastAsia="zh-CN"/>
              </w:rPr>
              <w:t>人员配置方案（人数、资历、资质等），符合项目要求，方案合理10-15分；基本合理5-10分；不合理0-5分。</w:t>
            </w:r>
          </w:p>
        </w:tc>
        <w:tc>
          <w:tcPr>
            <w:tcW w:w="883" w:type="dxa"/>
            <w:vAlign w:val="center"/>
          </w:tcPr>
          <w:p w14:paraId="346DE14A">
            <w:pPr>
              <w:pStyle w:val="18"/>
              <w:jc w:val="center"/>
              <w:rPr>
                <w:rFonts w:hint="default" w:asciiTheme="minorEastAsia" w:hAnsiTheme="minorEastAsia" w:cstheme="minorEastAsia"/>
                <w:sz w:val="22"/>
                <w:szCs w:val="22"/>
                <w:lang w:val="en-US" w:eastAsia="zh-CN"/>
              </w:rPr>
            </w:pPr>
            <w:r>
              <w:rPr>
                <w:rFonts w:hint="eastAsia" w:asciiTheme="minorEastAsia" w:hAnsiTheme="minorEastAsia" w:cstheme="minorEastAsia"/>
                <w:sz w:val="22"/>
                <w:szCs w:val="22"/>
                <w:lang w:val="en-US" w:eastAsia="zh-CN"/>
              </w:rPr>
              <w:t>15</w:t>
            </w:r>
          </w:p>
        </w:tc>
      </w:tr>
      <w:tr w14:paraId="5C47A4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7" w:hRule="atLeast"/>
        </w:trPr>
        <w:tc>
          <w:tcPr>
            <w:tcW w:w="1008" w:type="dxa"/>
            <w:vMerge w:val="continue"/>
          </w:tcPr>
          <w:p w14:paraId="4840B43F">
            <w:pPr>
              <w:jc w:val="center"/>
              <w:rPr>
                <w:rFonts w:hint="eastAsia" w:asciiTheme="minorEastAsia" w:hAnsiTheme="minorEastAsia" w:eastAsiaTheme="minorEastAsia" w:cstheme="minorEastAsia"/>
                <w:sz w:val="24"/>
                <w:szCs w:val="32"/>
              </w:rPr>
            </w:pPr>
          </w:p>
        </w:tc>
        <w:tc>
          <w:tcPr>
            <w:tcW w:w="1484" w:type="dxa"/>
            <w:vAlign w:val="center"/>
          </w:tcPr>
          <w:p w14:paraId="377E249D">
            <w:pPr>
              <w:pStyle w:val="18"/>
              <w:jc w:val="center"/>
              <w:rPr>
                <w:rFonts w:hint="eastAsia" w:asciiTheme="minorEastAsia" w:hAnsiTheme="minorEastAsia" w:eastAsiaTheme="minorEastAsia" w:cstheme="minorEastAsia"/>
                <w:sz w:val="22"/>
                <w:szCs w:val="22"/>
                <w:lang w:eastAsia="zh-CN"/>
              </w:rPr>
            </w:pPr>
            <w:r>
              <w:rPr>
                <w:rFonts w:hint="eastAsia" w:asciiTheme="minorEastAsia" w:hAnsiTheme="minorEastAsia" w:cstheme="minorEastAsia"/>
                <w:sz w:val="22"/>
                <w:szCs w:val="22"/>
                <w:lang w:eastAsia="zh-CN"/>
              </w:rPr>
              <w:t>工作方案</w:t>
            </w:r>
          </w:p>
        </w:tc>
        <w:tc>
          <w:tcPr>
            <w:tcW w:w="4983" w:type="dxa"/>
          </w:tcPr>
          <w:p w14:paraId="669979A7">
            <w:pPr>
              <w:pStyle w:val="18"/>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根据中介机构所作的工作方案与工作计划是否科学、贴近本项目实际情况，是否针对管理人需求有明确、详细、规范、全面、可操作性强的计划等情况评分。编制优良，方案切实可行，针对性强</w:t>
            </w:r>
            <w:r>
              <w:rPr>
                <w:rFonts w:hint="eastAsia" w:asciiTheme="minorEastAsia" w:hAnsiTheme="minorEastAsia" w:cstheme="minorEastAsia"/>
                <w:sz w:val="22"/>
                <w:szCs w:val="22"/>
                <w:lang w:val="en-US" w:eastAsia="zh-CN"/>
              </w:rPr>
              <w:t>20-25</w:t>
            </w:r>
            <w:r>
              <w:rPr>
                <w:rFonts w:hint="eastAsia" w:asciiTheme="minorEastAsia" w:hAnsiTheme="minorEastAsia" w:eastAsiaTheme="minorEastAsia" w:cstheme="minorEastAsia"/>
                <w:sz w:val="22"/>
                <w:szCs w:val="22"/>
              </w:rPr>
              <w:t>分: 编制较好，基本满足要求，</w:t>
            </w:r>
            <w:r>
              <w:rPr>
                <w:rFonts w:hint="eastAsia" w:asciiTheme="minorEastAsia" w:hAnsiTheme="minorEastAsia" w:cstheme="minorEastAsia"/>
                <w:sz w:val="22"/>
                <w:szCs w:val="22"/>
                <w:lang w:val="en-US" w:eastAsia="zh-CN"/>
              </w:rPr>
              <w:t>10-20</w:t>
            </w:r>
            <w:r>
              <w:rPr>
                <w:rFonts w:hint="eastAsia" w:asciiTheme="minorEastAsia" w:hAnsiTheme="minorEastAsia" w:eastAsiaTheme="minorEastAsia" w:cstheme="minorEastAsia"/>
                <w:sz w:val="22"/>
                <w:szCs w:val="22"/>
              </w:rPr>
              <w:t>分: 编制一般，方案可行性差，无针对性0-</w:t>
            </w:r>
            <w:r>
              <w:rPr>
                <w:rFonts w:hint="eastAsia" w:asciiTheme="minorEastAsia" w:hAnsiTheme="minorEastAsia" w:cstheme="minorEastAsia"/>
                <w:sz w:val="22"/>
                <w:szCs w:val="22"/>
                <w:lang w:val="en-US" w:eastAsia="zh-CN"/>
              </w:rPr>
              <w:t>10</w:t>
            </w:r>
            <w:r>
              <w:rPr>
                <w:rFonts w:hint="eastAsia" w:asciiTheme="minorEastAsia" w:hAnsiTheme="minorEastAsia" w:eastAsiaTheme="minorEastAsia" w:cstheme="minorEastAsia"/>
                <w:sz w:val="22"/>
                <w:szCs w:val="22"/>
              </w:rPr>
              <w:t>分。</w:t>
            </w:r>
          </w:p>
        </w:tc>
        <w:tc>
          <w:tcPr>
            <w:tcW w:w="883" w:type="dxa"/>
            <w:vAlign w:val="center"/>
          </w:tcPr>
          <w:p w14:paraId="248ED20E">
            <w:pPr>
              <w:pStyle w:val="18"/>
              <w:jc w:val="center"/>
              <w:rPr>
                <w:rFonts w:hint="default"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25</w:t>
            </w:r>
          </w:p>
        </w:tc>
      </w:tr>
    </w:tbl>
    <w:p w14:paraId="550D72A3">
      <w:pPr>
        <w:keepNext w:val="0"/>
        <w:keepLines w:val="0"/>
        <w:pageBreakBefore w:val="0"/>
        <w:widowControl w:val="0"/>
        <w:kinsoku/>
        <w:wordWrap/>
        <w:overflowPunct/>
        <w:topLinePunct w:val="0"/>
        <w:autoSpaceDE w:val="0"/>
        <w:autoSpaceDN w:val="0"/>
        <w:bidi w:val="0"/>
        <w:adjustRightInd/>
        <w:snapToGrid/>
        <w:spacing w:line="20" w:lineRule="exact"/>
        <w:jc w:val="both"/>
        <w:textAlignment w:val="auto"/>
        <w:rPr>
          <w:rFonts w:hint="eastAsia" w:ascii="仿宋_GB2312" w:hAnsi="仿宋_GB2312" w:eastAsia="仿宋_GB2312" w:cs="仿宋_GB2312"/>
          <w:color w:val="auto"/>
          <w:sz w:val="32"/>
          <w:szCs w:val="32"/>
          <w:highlight w:val="none"/>
        </w:rPr>
      </w:pPr>
    </w:p>
    <w:sectPr>
      <w:footerReference r:id="rId3" w:type="default"/>
      <w:pgSz w:w="11906" w:h="16838"/>
      <w:pgMar w:top="1984" w:right="1474" w:bottom="1701" w:left="1587" w:header="851" w:footer="113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helvetica">
    <w:altName w:val="ksdb"/>
    <w:panose1 w:val="00000000000000000000"/>
    <w:charset w:val="00"/>
    <w:family w:val="auto"/>
    <w:pitch w:val="default"/>
    <w:sig w:usb0="00000000" w:usb1="00000000" w:usb2="00000000" w:usb3="00000000" w:csb0="2000019F" w:csb1="4F010000"/>
  </w:font>
  <w:font w:name="仿宋_GB2312">
    <w:altName w:val="仿宋"/>
    <w:panose1 w:val="02010609030101010101"/>
    <w:charset w:val="86"/>
    <w:family w:val="auto"/>
    <w:pitch w:val="default"/>
    <w:sig w:usb0="00000000" w:usb1="00000000" w:usb2="00000000" w:usb3="00000000" w:csb0="00040000" w:csb1="00000000"/>
  </w:font>
  <w:font w:name="ksdb">
    <w:panose1 w:val="02000500000000000000"/>
    <w:charset w:val="00"/>
    <w:family w:val="auto"/>
    <w:pitch w:val="default"/>
    <w:sig w:usb0="00000001"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056E6">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6E202">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76E202">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FC7EA0"/>
    <w:multiLevelType w:val="singleLevel"/>
    <w:tmpl w:val="89FC7EA0"/>
    <w:lvl w:ilvl="0" w:tentative="0">
      <w:start w:val="2"/>
      <w:numFmt w:val="upperLetter"/>
      <w:lvlText w:val="%1."/>
      <w:lvlJc w:val="left"/>
      <w:pPr>
        <w:tabs>
          <w:tab w:val="left" w:pos="312"/>
        </w:tabs>
      </w:pPr>
    </w:lvl>
  </w:abstractNum>
  <w:abstractNum w:abstractNumId="1">
    <w:nsid w:val="5CD45655"/>
    <w:multiLevelType w:val="singleLevel"/>
    <w:tmpl w:val="5CD4565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3A790487"/>
    <w:rsid w:val="000215D6"/>
    <w:rsid w:val="00032AC7"/>
    <w:rsid w:val="0004077A"/>
    <w:rsid w:val="00157857"/>
    <w:rsid w:val="003E35EF"/>
    <w:rsid w:val="0050704F"/>
    <w:rsid w:val="00590DA7"/>
    <w:rsid w:val="00592EC9"/>
    <w:rsid w:val="00620750"/>
    <w:rsid w:val="00650836"/>
    <w:rsid w:val="00796DA6"/>
    <w:rsid w:val="009004AA"/>
    <w:rsid w:val="009F58A0"/>
    <w:rsid w:val="00AF6279"/>
    <w:rsid w:val="00B5798B"/>
    <w:rsid w:val="00C55CA5"/>
    <w:rsid w:val="00CE2594"/>
    <w:rsid w:val="00DD5175"/>
    <w:rsid w:val="00E86B2B"/>
    <w:rsid w:val="00F47A5C"/>
    <w:rsid w:val="03FD05D6"/>
    <w:rsid w:val="03FE7EAB"/>
    <w:rsid w:val="05512C90"/>
    <w:rsid w:val="06697E19"/>
    <w:rsid w:val="06992AB6"/>
    <w:rsid w:val="07660241"/>
    <w:rsid w:val="07793B3D"/>
    <w:rsid w:val="079778EE"/>
    <w:rsid w:val="0B2828CA"/>
    <w:rsid w:val="0BDB676D"/>
    <w:rsid w:val="0C1E558E"/>
    <w:rsid w:val="0C346B5F"/>
    <w:rsid w:val="0C8B219B"/>
    <w:rsid w:val="0D942A2B"/>
    <w:rsid w:val="0E234189"/>
    <w:rsid w:val="0E605AEC"/>
    <w:rsid w:val="0EE16EF5"/>
    <w:rsid w:val="0EEA1757"/>
    <w:rsid w:val="104A4BA3"/>
    <w:rsid w:val="10B93AD7"/>
    <w:rsid w:val="10C77FA2"/>
    <w:rsid w:val="10FB5E9E"/>
    <w:rsid w:val="110E5BD1"/>
    <w:rsid w:val="117E1888"/>
    <w:rsid w:val="11DE1DC6"/>
    <w:rsid w:val="12334E87"/>
    <w:rsid w:val="13AB3BAB"/>
    <w:rsid w:val="13FF0FD5"/>
    <w:rsid w:val="141C6857"/>
    <w:rsid w:val="14203ED4"/>
    <w:rsid w:val="14B940A6"/>
    <w:rsid w:val="14E37374"/>
    <w:rsid w:val="15051099"/>
    <w:rsid w:val="15316332"/>
    <w:rsid w:val="15853F88"/>
    <w:rsid w:val="158E5532"/>
    <w:rsid w:val="15A544F4"/>
    <w:rsid w:val="17736C89"/>
    <w:rsid w:val="17DD6DDE"/>
    <w:rsid w:val="1A536F12"/>
    <w:rsid w:val="1B87316E"/>
    <w:rsid w:val="1C896A53"/>
    <w:rsid w:val="1CA27B15"/>
    <w:rsid w:val="1D78738C"/>
    <w:rsid w:val="1E88098D"/>
    <w:rsid w:val="1ED2009A"/>
    <w:rsid w:val="202A74B0"/>
    <w:rsid w:val="20D34741"/>
    <w:rsid w:val="20DF30E6"/>
    <w:rsid w:val="221B6293"/>
    <w:rsid w:val="234C2589"/>
    <w:rsid w:val="23D23F61"/>
    <w:rsid w:val="25290DD3"/>
    <w:rsid w:val="275073D0"/>
    <w:rsid w:val="279326F6"/>
    <w:rsid w:val="281130EE"/>
    <w:rsid w:val="286F31A8"/>
    <w:rsid w:val="28CF1C92"/>
    <w:rsid w:val="29F15C38"/>
    <w:rsid w:val="2B7F052F"/>
    <w:rsid w:val="2BCE7FDF"/>
    <w:rsid w:val="2C7A513F"/>
    <w:rsid w:val="2D6A3D37"/>
    <w:rsid w:val="2F450176"/>
    <w:rsid w:val="2F665A71"/>
    <w:rsid w:val="2F81180C"/>
    <w:rsid w:val="300915D5"/>
    <w:rsid w:val="308E008D"/>
    <w:rsid w:val="31552F50"/>
    <w:rsid w:val="337E3002"/>
    <w:rsid w:val="33C73EDF"/>
    <w:rsid w:val="37F34858"/>
    <w:rsid w:val="387243E8"/>
    <w:rsid w:val="398F15D4"/>
    <w:rsid w:val="3A790487"/>
    <w:rsid w:val="3B5A6814"/>
    <w:rsid w:val="3BFD5989"/>
    <w:rsid w:val="3D78424E"/>
    <w:rsid w:val="3D8A3F82"/>
    <w:rsid w:val="3F2C459F"/>
    <w:rsid w:val="3FFF5E87"/>
    <w:rsid w:val="400C77DC"/>
    <w:rsid w:val="400D1948"/>
    <w:rsid w:val="42134546"/>
    <w:rsid w:val="42750D5C"/>
    <w:rsid w:val="43320AF0"/>
    <w:rsid w:val="43853221"/>
    <w:rsid w:val="43AF49FB"/>
    <w:rsid w:val="43C24475"/>
    <w:rsid w:val="43F839F3"/>
    <w:rsid w:val="448654A3"/>
    <w:rsid w:val="45E306D3"/>
    <w:rsid w:val="46E629CF"/>
    <w:rsid w:val="4A121DEB"/>
    <w:rsid w:val="4B4F0BA5"/>
    <w:rsid w:val="4D5A3970"/>
    <w:rsid w:val="4D9135E1"/>
    <w:rsid w:val="4DF4362F"/>
    <w:rsid w:val="54EB3100"/>
    <w:rsid w:val="555313D1"/>
    <w:rsid w:val="57A41106"/>
    <w:rsid w:val="597638E0"/>
    <w:rsid w:val="59EF5441"/>
    <w:rsid w:val="5AAA331B"/>
    <w:rsid w:val="5C0A509A"/>
    <w:rsid w:val="5DEB370D"/>
    <w:rsid w:val="5E6F3E9F"/>
    <w:rsid w:val="5E994D38"/>
    <w:rsid w:val="5F744DB7"/>
    <w:rsid w:val="5FED7554"/>
    <w:rsid w:val="600E3086"/>
    <w:rsid w:val="602F6597"/>
    <w:rsid w:val="60326087"/>
    <w:rsid w:val="60D76A79"/>
    <w:rsid w:val="61336788"/>
    <w:rsid w:val="620B4DE2"/>
    <w:rsid w:val="62636E16"/>
    <w:rsid w:val="638E6AFE"/>
    <w:rsid w:val="6497295D"/>
    <w:rsid w:val="657F3B1C"/>
    <w:rsid w:val="663F14FE"/>
    <w:rsid w:val="66636F9A"/>
    <w:rsid w:val="67784CC7"/>
    <w:rsid w:val="68F00C4E"/>
    <w:rsid w:val="69287A93"/>
    <w:rsid w:val="6989689C"/>
    <w:rsid w:val="6C0D1D63"/>
    <w:rsid w:val="6C94777D"/>
    <w:rsid w:val="6C9F67D7"/>
    <w:rsid w:val="6E22598D"/>
    <w:rsid w:val="6EB92C58"/>
    <w:rsid w:val="6F775864"/>
    <w:rsid w:val="71447FDF"/>
    <w:rsid w:val="72FF629D"/>
    <w:rsid w:val="73AF381F"/>
    <w:rsid w:val="760836BA"/>
    <w:rsid w:val="76796366"/>
    <w:rsid w:val="77742EB7"/>
    <w:rsid w:val="79164340"/>
    <w:rsid w:val="79EB834D"/>
    <w:rsid w:val="7A831561"/>
    <w:rsid w:val="7B1A46DE"/>
    <w:rsid w:val="7B4A51E9"/>
    <w:rsid w:val="7BFA5853"/>
    <w:rsid w:val="7CD678B6"/>
    <w:rsid w:val="7D344D95"/>
    <w:rsid w:val="7D537239"/>
    <w:rsid w:val="7D7B6B42"/>
    <w:rsid w:val="7D8B6B7B"/>
    <w:rsid w:val="7DEEB09E"/>
    <w:rsid w:val="7E1626EC"/>
    <w:rsid w:val="7F5EC570"/>
    <w:rsid w:val="7F6ADED4"/>
    <w:rsid w:val="7FDEE93F"/>
    <w:rsid w:val="7FF9CC1B"/>
    <w:rsid w:val="C2F9443C"/>
    <w:rsid w:val="CBA563F2"/>
    <w:rsid w:val="E2A9DDEC"/>
    <w:rsid w:val="E6FBC436"/>
    <w:rsid w:val="E8AFEE92"/>
    <w:rsid w:val="FA77F5F9"/>
    <w:rsid w:val="FCEF81D5"/>
    <w:rsid w:val="FF6AA523"/>
    <w:rsid w:val="FFFF9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3"/>
    <w:next w:val="1"/>
    <w:qFormat/>
    <w:uiPriority w:val="0"/>
    <w:pPr>
      <w:keepNext/>
      <w:keepLines/>
      <w:spacing w:line="360" w:lineRule="auto"/>
    </w:pPr>
    <w:rPr>
      <w:rFonts w:eastAsia="华文中宋"/>
      <w:kern w:val="44"/>
    </w:rPr>
  </w:style>
  <w:style w:type="paragraph" w:styleId="4">
    <w:name w:val="heading 2"/>
    <w:basedOn w:val="1"/>
    <w:next w:val="1"/>
    <w:unhideWhenUsed/>
    <w:qFormat/>
    <w:uiPriority w:val="0"/>
    <w:pPr>
      <w:keepNext/>
      <w:keepLines/>
      <w:spacing w:line="480" w:lineRule="auto"/>
      <w:outlineLvl w:val="1"/>
    </w:pPr>
    <w:rPr>
      <w:rFonts w:ascii="Arial" w:hAnsi="Arial"/>
      <w:b/>
      <w:sz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Title"/>
    <w:basedOn w:val="1"/>
    <w:qFormat/>
    <w:uiPriority w:val="0"/>
    <w:pPr>
      <w:spacing w:before="240" w:after="60"/>
      <w:jc w:val="center"/>
      <w:outlineLvl w:val="0"/>
    </w:pPr>
    <w:rPr>
      <w:rFonts w:ascii="Arial" w:hAnsi="Arial"/>
      <w:b/>
      <w:sz w:val="32"/>
    </w:rPr>
  </w:style>
  <w:style w:type="paragraph" w:styleId="5">
    <w:name w:val="Body Text"/>
    <w:basedOn w:val="1"/>
    <w:qFormat/>
    <w:uiPriority w:val="1"/>
    <w:pPr>
      <w:ind w:left="700"/>
    </w:pPr>
    <w:rPr>
      <w:sz w:val="32"/>
      <w:szCs w:val="32"/>
    </w:r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List Paragraph"/>
    <w:basedOn w:val="1"/>
    <w:qFormat/>
    <w:uiPriority w:val="1"/>
    <w:pPr>
      <w:spacing w:before="2"/>
      <w:ind w:left="700" w:firstLine="640"/>
    </w:pPr>
  </w:style>
  <w:style w:type="paragraph" w:customStyle="1" w:styleId="14">
    <w:name w:val="Table Paragraph"/>
    <w:basedOn w:val="1"/>
    <w:qFormat/>
    <w:uiPriority w:val="1"/>
  </w:style>
  <w:style w:type="character" w:customStyle="1" w:styleId="15">
    <w:name w:val="页眉 字符"/>
    <w:basedOn w:val="10"/>
    <w:link w:val="7"/>
    <w:qFormat/>
    <w:uiPriority w:val="0"/>
    <w:rPr>
      <w:rFonts w:ascii="仿宋" w:hAnsi="仿宋" w:eastAsia="仿宋" w:cs="仿宋"/>
      <w:sz w:val="18"/>
      <w:szCs w:val="18"/>
      <w:lang w:val="zh-CN" w:bidi="zh-CN"/>
    </w:rPr>
  </w:style>
  <w:style w:type="character" w:customStyle="1" w:styleId="16">
    <w:name w:val="页脚 字符"/>
    <w:basedOn w:val="10"/>
    <w:link w:val="6"/>
    <w:qFormat/>
    <w:uiPriority w:val="0"/>
    <w:rPr>
      <w:rFonts w:ascii="仿宋" w:hAnsi="仿宋" w:eastAsia="仿宋" w:cs="仿宋"/>
      <w:sz w:val="18"/>
      <w:szCs w:val="18"/>
      <w:lang w:val="zh-CN" w:bidi="zh-CN"/>
    </w:rPr>
  </w:style>
  <w:style w:type="paragraph" w:customStyle="1" w:styleId="17">
    <w:name w:val="p1"/>
    <w:basedOn w:val="1"/>
    <w:qFormat/>
    <w:uiPriority w:val="0"/>
    <w:pPr>
      <w:spacing w:before="0" w:beforeAutospacing="0" w:after="0" w:afterAutospacing="0"/>
      <w:ind w:left="0" w:right="0"/>
      <w:jc w:val="left"/>
    </w:pPr>
    <w:rPr>
      <w:rFonts w:ascii="helvetica" w:hAnsi="helvetica" w:eastAsia="helvetica" w:cs="helvetica"/>
      <w:color w:val="DCA10D"/>
      <w:kern w:val="0"/>
      <w:sz w:val="24"/>
      <w:szCs w:val="24"/>
      <w:lang w:val="en-US" w:eastAsia="zh-CN" w:bidi="ar"/>
    </w:rPr>
  </w:style>
  <w:style w:type="paragraph" w:customStyle="1" w:styleId="18">
    <w:name w:val="null3"/>
    <w:hidden/>
    <w:qFormat/>
    <w:uiPriority w:val="0"/>
    <w:rPr>
      <w:rFonts w:hint="eastAsia" w:asciiTheme="minorHAnsi" w:hAnsiTheme="minorHAnsi" w:eastAsiaTheme="minorEastAsia" w:cstheme="minorBidi"/>
      <w:lang w:val="en-US" w:eastAsia="zh-Hans"/>
    </w:rPr>
  </w:style>
  <w:style w:type="paragraph" w:customStyle="1" w:styleId="1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4055</Words>
  <Characters>4142</Characters>
  <Lines>21</Lines>
  <Paragraphs>6</Paragraphs>
  <TotalTime>0</TotalTime>
  <ScaleCrop>false</ScaleCrop>
  <LinksUpToDate>false</LinksUpToDate>
  <CharactersWithSpaces>4165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2020-08-16T09:55:00Z</dcterms:created>
  <dc:creator>LDQ</dc:creator>
  <cp:lastModifiedBy>lawyer</cp:lastModifiedBy>
  <cp:lastPrinted>2023-07-15T08:55:00Z</cp:lastPrinted>
  <dcterms:modified xsi:type="dcterms:W3CDTF">2024-09-03T08:14:23Z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0FC0BAB074394B57AF3557E369D16446_13</vt:lpwstr>
  </property>
</Properties>
</file>