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tabs>
          <w:tab w:val="left" w:pos="1661"/>
        </w:tabs>
        <w:spacing w:before="0" w:line="600" w:lineRule="exact"/>
        <w:ind w:left="0" w:firstLine="0"/>
        <w:jc w:val="both"/>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附件2</w:t>
      </w:r>
    </w:p>
    <w:p>
      <w:pPr>
        <w:pStyle w:val="12"/>
        <w:tabs>
          <w:tab w:val="left" w:pos="1661"/>
        </w:tabs>
        <w:spacing w:before="0" w:line="600" w:lineRule="exact"/>
        <w:ind w:left="0" w:firstLine="0"/>
        <w:jc w:val="center"/>
        <w:rPr>
          <w:rFonts w:ascii="华文中宋" w:hAnsi="华文中宋" w:eastAsia="华文中宋" w:cs="华文中宋"/>
          <w:b/>
          <w:bCs/>
          <w:color w:val="auto"/>
          <w:sz w:val="44"/>
          <w:szCs w:val="44"/>
          <w:highlight w:val="none"/>
          <w:lang w:val="en-US"/>
        </w:rPr>
      </w:pPr>
      <w:r>
        <w:rPr>
          <w:rFonts w:hint="eastAsia" w:ascii="华文中宋" w:hAnsi="华文中宋" w:eastAsia="华文中宋" w:cs="华文中宋"/>
          <w:b/>
          <w:bCs/>
          <w:color w:val="auto"/>
          <w:sz w:val="44"/>
          <w:szCs w:val="44"/>
          <w:highlight w:val="none"/>
          <w:lang w:val="en-US"/>
        </w:rPr>
        <w:t>比选规则</w:t>
      </w:r>
    </w:p>
    <w:p>
      <w:pPr>
        <w:pStyle w:val="12"/>
        <w:tabs>
          <w:tab w:val="left" w:pos="1661"/>
        </w:tabs>
        <w:spacing w:before="0" w:line="600" w:lineRule="exact"/>
        <w:ind w:left="0" w:firstLine="0"/>
        <w:jc w:val="both"/>
        <w:rPr>
          <w:b/>
          <w:bCs/>
          <w:color w:val="auto"/>
          <w:sz w:val="32"/>
          <w:szCs w:val="32"/>
          <w:highlight w:val="none"/>
          <w:lang w:val="en-US"/>
        </w:rPr>
      </w:pP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一、总则</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1、说明</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本项目的比选人为</w:t>
      </w:r>
      <w:r>
        <w:rPr>
          <w:rFonts w:hint="eastAsia" w:ascii="仿宋_GB2312" w:hAnsi="仿宋_GB2312" w:eastAsia="仿宋_GB2312" w:cs="仿宋_GB2312"/>
          <w:color w:val="auto"/>
          <w:sz w:val="32"/>
          <w:szCs w:val="32"/>
          <w:highlight w:val="none"/>
          <w:lang w:eastAsia="zh-CN"/>
        </w:rPr>
        <w:t>崇州市悦禾房地产开发有限公司（</w:t>
      </w:r>
      <w:r>
        <w:rPr>
          <w:rFonts w:hint="eastAsia" w:ascii="仿宋_GB2312" w:hAnsi="仿宋_GB2312" w:eastAsia="仿宋_GB2312" w:cs="仿宋_GB2312"/>
          <w:color w:val="auto"/>
          <w:sz w:val="32"/>
          <w:szCs w:val="32"/>
          <w:highlight w:val="none"/>
          <w:lang w:val="en-US" w:eastAsia="zh-CN"/>
        </w:rPr>
        <w:t>以下简称：悦禾公司）预重整</w:t>
      </w:r>
      <w:r>
        <w:rPr>
          <w:rFonts w:hint="eastAsia" w:ascii="仿宋_GB2312" w:hAnsi="仿宋_GB2312" w:eastAsia="仿宋_GB2312" w:cs="仿宋_GB2312"/>
          <w:color w:val="auto"/>
          <w:sz w:val="32"/>
          <w:szCs w:val="32"/>
          <w:highlight w:val="none"/>
          <w:lang w:val="en-US"/>
        </w:rPr>
        <w:t>管理人，比选人组建的评选小组负责评选工作，必要时可邀请债务人、债权人代表、</w:t>
      </w:r>
      <w:r>
        <w:rPr>
          <w:rFonts w:hint="eastAsia" w:ascii="仿宋_GB2312" w:hAnsi="仿宋_GB2312" w:eastAsia="仿宋_GB2312" w:cs="仿宋_GB2312"/>
          <w:color w:val="auto"/>
          <w:sz w:val="32"/>
          <w:szCs w:val="32"/>
          <w:highlight w:val="none"/>
          <w:lang w:val="en-US" w:eastAsia="zh-CN"/>
        </w:rPr>
        <w:t>主管部门、</w:t>
      </w:r>
      <w:r>
        <w:rPr>
          <w:rFonts w:hint="eastAsia" w:ascii="仿宋_GB2312" w:hAnsi="仿宋_GB2312" w:eastAsia="仿宋_GB2312" w:cs="仿宋_GB2312"/>
          <w:color w:val="auto"/>
          <w:sz w:val="32"/>
          <w:szCs w:val="32"/>
          <w:highlight w:val="none"/>
          <w:lang w:val="en-US"/>
        </w:rPr>
        <w:t>法院工作人员参与监督比选过程。</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2、服务范围及工作要求</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对</w:t>
      </w:r>
      <w:r>
        <w:rPr>
          <w:rFonts w:hint="eastAsia" w:ascii="仿宋_GB2312" w:hAnsi="仿宋_GB2312" w:eastAsia="仿宋_GB2312" w:cs="仿宋_GB2312"/>
          <w:color w:val="auto"/>
          <w:sz w:val="32"/>
          <w:szCs w:val="32"/>
          <w:highlight w:val="none"/>
          <w:lang w:eastAsia="zh-CN"/>
        </w:rPr>
        <w:t>悦禾公司</w:t>
      </w:r>
      <w:r>
        <w:rPr>
          <w:rFonts w:hint="eastAsia" w:ascii="仿宋_GB2312" w:hAnsi="仿宋_GB2312" w:eastAsia="仿宋_GB2312" w:cs="仿宋_GB2312"/>
          <w:color w:val="auto"/>
          <w:sz w:val="32"/>
          <w:szCs w:val="32"/>
          <w:highlight w:val="none"/>
          <w:lang w:val="en-US"/>
        </w:rPr>
        <w:t>名下全部资产进行评估，并出具评估报告，具体如下：</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）对房屋及车位的在建工程价值和竣工状态下的市场价值分别进行评估；</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Hans"/>
        </w:rPr>
        <w:t>对</w:t>
      </w:r>
      <w:r>
        <w:rPr>
          <w:rFonts w:hint="eastAsia" w:ascii="仿宋_GB2312" w:hAnsi="仿宋_GB2312" w:eastAsia="仿宋_GB2312" w:cs="仿宋_GB2312"/>
          <w:color w:val="auto"/>
          <w:sz w:val="32"/>
          <w:szCs w:val="32"/>
          <w:highlight w:val="none"/>
          <w:lang w:val="en-US" w:eastAsia="zh-CN"/>
        </w:rPr>
        <w:t>抵押资产价值</w:t>
      </w:r>
      <w:r>
        <w:rPr>
          <w:rFonts w:hint="eastAsia" w:ascii="仿宋_GB2312" w:hAnsi="仿宋_GB2312" w:eastAsia="仿宋_GB2312" w:cs="仿宋_GB2312"/>
          <w:color w:val="auto"/>
          <w:sz w:val="32"/>
          <w:szCs w:val="32"/>
          <w:highlight w:val="none"/>
          <w:lang w:val="en-US" w:eastAsia="zh-Hans"/>
        </w:rPr>
        <w:t>进行评估；</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Hans"/>
        </w:rPr>
      </w:pPr>
      <w:r>
        <w:rPr>
          <w:rFonts w:hint="eastAsia" w:ascii="仿宋_GB2312" w:hAnsi="仿宋_GB2312" w:eastAsia="仿宋_GB2312" w:cs="仿宋_GB2312"/>
          <w:color w:val="auto"/>
          <w:sz w:val="32"/>
          <w:szCs w:val="32"/>
          <w:highlight w:val="none"/>
          <w:lang w:val="en-US" w:eastAsia="zh-Hans"/>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Hans"/>
        </w:rPr>
        <w:t>）</w:t>
      </w:r>
      <w:r>
        <w:rPr>
          <w:rFonts w:hint="eastAsia" w:ascii="仿宋_GB2312" w:hAnsi="仿宋_GB2312" w:eastAsia="仿宋_GB2312" w:cs="仿宋_GB2312"/>
          <w:color w:val="auto"/>
          <w:sz w:val="32"/>
          <w:szCs w:val="32"/>
          <w:highlight w:val="none"/>
          <w:lang w:val="en-US"/>
        </w:rPr>
        <w:t>对其他资产的市场价值进行评估</w:t>
      </w:r>
      <w:r>
        <w:rPr>
          <w:rFonts w:hint="eastAsia" w:ascii="仿宋_GB2312" w:hAnsi="仿宋_GB2312" w:eastAsia="仿宋_GB2312" w:cs="仿宋_GB2312"/>
          <w:color w:val="auto"/>
          <w:sz w:val="32"/>
          <w:szCs w:val="32"/>
          <w:highlight w:val="none"/>
          <w:lang w:val="en-US" w:eastAsia="zh-Hans"/>
        </w:rPr>
        <w:t>；</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）预重整管理人根据案件需要安排的其他专项资产评估工作。</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中选机构为上述资产提供评估服务按照中选价格收取服务费用，不得再另行主张其他费用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w:t>
      </w:r>
      <w:r>
        <w:rPr>
          <w:rFonts w:hint="eastAsia" w:ascii="仿宋_GB2312" w:hAnsi="仿宋_GB2312" w:eastAsia="仿宋_GB2312" w:cs="仿宋_GB2312"/>
          <w:color w:val="auto"/>
          <w:sz w:val="32"/>
          <w:szCs w:val="32"/>
          <w:highlight w:val="none"/>
        </w:rPr>
        <w:t>在法院受理</w:t>
      </w:r>
      <w:r>
        <w:rPr>
          <w:rFonts w:hint="eastAsia" w:ascii="仿宋_GB2312" w:hAnsi="仿宋_GB2312" w:eastAsia="仿宋_GB2312" w:cs="仿宋_GB2312"/>
          <w:color w:val="auto"/>
          <w:sz w:val="32"/>
          <w:szCs w:val="32"/>
          <w:highlight w:val="none"/>
          <w:lang w:val="en-US" w:eastAsia="zh-CN"/>
        </w:rPr>
        <w:t>悦禾公司</w:t>
      </w:r>
      <w:r>
        <w:rPr>
          <w:rFonts w:hint="eastAsia" w:ascii="仿宋_GB2312" w:hAnsi="仿宋_GB2312" w:eastAsia="仿宋_GB2312" w:cs="仿宋_GB2312"/>
          <w:color w:val="auto"/>
          <w:sz w:val="32"/>
          <w:szCs w:val="32"/>
          <w:highlight w:val="none"/>
        </w:rPr>
        <w:t>破产重整后，管理人视破产程序的进展情况报法院后安排支付时间。</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3.申请人资格要求</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）截至202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年</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val="en-US"/>
        </w:rPr>
        <w:t>月30日，资产评估机构已列入四川法院对外委托专业机构电子信息平台库（现行有效）的四川省高级人民法院或者成都市中级人民法院名单中。</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en-US"/>
        </w:rPr>
        <w:t>）资产评估机构需具备房地产、固定资产、股权、知识产权评估相关的评估资质。</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rPr>
        <w:t>）参选机构与本案债务人、债权人、预重整管理人及人员无利益关系或其他影响独立公正评估的利害关系，无其他依规定应当予以回避的情形。</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）参选机构及其从业人员在三年内未因执业、经营中断或重大过失等受到行政机关、监管机构、人民法院或行业自律组织的处罚或处分，且不得进入国家信用信息公示的失信人名单。</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val="en-US"/>
        </w:rPr>
        <w:t>）能够根据管理人的要求及时开展评估工作，按时出具评估报告。</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val="en-US"/>
        </w:rPr>
        <w:t>）有破产案件评估经验者优先考虑。</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lang w:val="en-US"/>
        </w:rPr>
        <w:t>）中小微企业优先考虑。</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4、比选费用</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本次比选，比选人不收取任何费用。但参选人应自行承担其编制比选申请文件及递交比选申请文件所涉及的一切费用。无论比选结果如何，比选人对上述费用不负任何责任。</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5、备选机构接替条件</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（1）中选机构在比选截止日期后，在比选有效期内撤回比选或中选机构在收到中选通知书后，由于自身原因未能在约定的时间内与比选人进行合同谈判，其中选资格将被取消，并由备选机构接替。</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（2）中选机构如存在不当行为（包括但不限于逾期完成工作任务、拒不整改、虽整改后仍不符合要求、违反保密义务、违反职业准则等），法院、管理人有权终止与其的服务合同，并由备选机构接替。</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二、比选文件</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1、比选文件的组成</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（1）比选文件包括：比选公告、比选须知、比选规则、比选申请文件格式。</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（2）除（1）条列明的内容外，参选人在提交比选申请文件前，比选人以书面形式发出的对比选文件的澄清或修改内容，均视为比选文件的组成部分。</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参选人收到比选文件时，应检查页数。参选人发现任何页数的遗缺、任何数字或词汇模糊不清、任何词义含混或意义不清，应通知比选人补全或澄清。参选人应认真审阅比选文件中所有的比选须知及比选规则，如果参选人编制的比选申请文件不符合规定的要求，其比选申请文件将被视为不合格的比选申请文件。</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（4）比选文件及补充资料前后有矛盾的，以时间在后的为准。</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2、比选文件的澄清</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（1）任何要求对比选文件提出澄清的参选人，应以书面或传真形式（须加盖公章）提出。</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（2）本比选文件由比选人负责解释。</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三、比选申请文件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0" w:firstLine="663" w:firstLineChars="200"/>
        <w:jc w:val="left"/>
        <w:textAlignment w:val="auto"/>
        <w:rPr>
          <w:rStyle w:val="11"/>
          <w:rFonts w:hint="eastAsia" w:ascii="仿宋" w:hAnsi="仿宋" w:eastAsia="仿宋" w:cs="仿宋"/>
          <w:spacing w:val="5"/>
          <w:kern w:val="0"/>
          <w:sz w:val="32"/>
          <w:szCs w:val="32"/>
          <w:lang w:val="en-US" w:eastAsia="zh-CN" w:bidi="ar"/>
        </w:rPr>
      </w:pPr>
      <w:r>
        <w:rPr>
          <w:rStyle w:val="11"/>
          <w:rFonts w:hint="eastAsia" w:ascii="仿宋" w:hAnsi="仿宋" w:eastAsia="仿宋" w:cs="仿宋"/>
          <w:spacing w:val="5"/>
          <w:kern w:val="0"/>
          <w:sz w:val="32"/>
          <w:szCs w:val="32"/>
          <w:lang w:val="en-US" w:eastAsia="zh-CN" w:bidi="ar"/>
        </w:rPr>
        <w:t>（一）比选申请文件编写</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1.参选机构主体资质材料，包括营业执照、法定代表人证明书及身份证复印件、经办人委托书及经办人身份证复印件；</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2.相关</w:t>
      </w:r>
      <w:r>
        <w:rPr>
          <w:rFonts w:hint="eastAsia" w:ascii="仿宋_GB2312" w:hAnsi="仿宋_GB2312" w:eastAsia="仿宋_GB2312" w:cs="仿宋_GB2312"/>
          <w:color w:val="auto"/>
          <w:sz w:val="32"/>
          <w:szCs w:val="32"/>
          <w:highlight w:val="none"/>
          <w:lang w:val="en-US"/>
        </w:rPr>
        <w:t>破产案件评估</w:t>
      </w:r>
      <w:r>
        <w:rPr>
          <w:rFonts w:hint="eastAsia" w:ascii="仿宋" w:hAnsi="仿宋" w:eastAsia="仿宋" w:cs="仿宋"/>
          <w:spacing w:val="5"/>
          <w:kern w:val="0"/>
          <w:sz w:val="32"/>
          <w:szCs w:val="32"/>
          <w:lang w:val="en-US" w:eastAsia="zh-CN" w:bidi="ar"/>
        </w:rPr>
        <w:t>经验和能力的证明材料，符合要求的成功业绩（需提供工作成果证明材料，包含经办房地产领域破产案件</w:t>
      </w:r>
      <w:r>
        <w:rPr>
          <w:rFonts w:hint="eastAsia" w:ascii="仿宋_GB2312" w:hAnsi="仿宋_GB2312" w:eastAsia="仿宋_GB2312" w:cs="仿宋_GB2312"/>
          <w:color w:val="auto"/>
          <w:sz w:val="32"/>
          <w:szCs w:val="32"/>
          <w:highlight w:val="none"/>
          <w:lang w:val="en-US"/>
        </w:rPr>
        <w:t>评估</w:t>
      </w:r>
      <w:r>
        <w:rPr>
          <w:rFonts w:hint="eastAsia" w:ascii="仿宋" w:hAnsi="仿宋" w:eastAsia="仿宋" w:cs="仿宋"/>
          <w:spacing w:val="5"/>
          <w:kern w:val="0"/>
          <w:sz w:val="32"/>
          <w:szCs w:val="32"/>
          <w:lang w:val="en-US" w:eastAsia="zh-CN" w:bidi="ar"/>
        </w:rPr>
        <w:t>服务的证明文件等）；</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3.对本项目的</w:t>
      </w:r>
      <w:r>
        <w:rPr>
          <w:rFonts w:hint="eastAsia" w:ascii="仿宋_GB2312" w:hAnsi="仿宋_GB2312" w:eastAsia="仿宋_GB2312" w:cs="仿宋_GB2312"/>
          <w:color w:val="auto"/>
          <w:sz w:val="32"/>
          <w:szCs w:val="32"/>
          <w:highlight w:val="none"/>
          <w:lang w:val="en-US"/>
        </w:rPr>
        <w:t>评估</w:t>
      </w:r>
      <w:r>
        <w:rPr>
          <w:rFonts w:hint="eastAsia" w:ascii="仿宋" w:hAnsi="仿宋" w:eastAsia="仿宋" w:cs="仿宋"/>
          <w:spacing w:val="5"/>
          <w:kern w:val="0"/>
          <w:sz w:val="32"/>
          <w:szCs w:val="32"/>
          <w:lang w:val="en-US" w:eastAsia="zh-CN" w:bidi="ar"/>
        </w:rPr>
        <w:t>服务工作方案，包括工作思路、团队配置、服务计划、工作步骤以及其他值得关注的问题；</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4.报价函。参选人报价必须符</w:t>
      </w:r>
      <w:r>
        <w:rPr>
          <w:rFonts w:hint="eastAsia" w:ascii="仿宋" w:hAnsi="仿宋" w:eastAsia="仿宋" w:cs="仿宋"/>
          <w:spacing w:val="5"/>
          <w:kern w:val="0"/>
          <w:sz w:val="32"/>
          <w:szCs w:val="32"/>
          <w:highlight w:val="none"/>
          <w:lang w:val="en-US" w:eastAsia="zh-CN" w:bidi="ar"/>
        </w:rPr>
        <w:t>合附件1《比选须知》的“报</w:t>
      </w:r>
      <w:r>
        <w:rPr>
          <w:rFonts w:hint="eastAsia" w:ascii="仿宋" w:hAnsi="仿宋" w:eastAsia="仿宋" w:cs="仿宋"/>
          <w:spacing w:val="5"/>
          <w:kern w:val="0"/>
          <w:sz w:val="32"/>
          <w:szCs w:val="32"/>
          <w:lang w:val="en-US" w:eastAsia="zh-CN" w:bidi="ar"/>
        </w:rPr>
        <w:t>价要求”，否则视为无效报价。参选人的比选报价应是比选文件所确定的服务范围内的全部工作内容的价格体现。参选人的报价应是完成所有工作的费用，包括但不限于人工费、差旅费、税费；</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 w:hAnsi="仿宋" w:eastAsia="仿宋" w:cs="仿宋"/>
          <w:spacing w:val="5"/>
          <w:kern w:val="0"/>
          <w:sz w:val="32"/>
          <w:szCs w:val="32"/>
          <w:lang w:val="en-US" w:eastAsia="zh-CN" w:bidi="ar"/>
        </w:rPr>
      </w:pPr>
      <w:r>
        <w:rPr>
          <w:rFonts w:hint="eastAsia" w:ascii="仿宋" w:hAnsi="仿宋" w:eastAsia="仿宋" w:cs="仿宋"/>
          <w:spacing w:val="5"/>
          <w:kern w:val="0"/>
          <w:sz w:val="32"/>
          <w:szCs w:val="32"/>
          <w:lang w:val="en-US" w:eastAsia="zh-CN" w:bidi="ar"/>
        </w:rPr>
        <w:t>5.书面承诺。承诺内容包含：认可本公告内容、不存在利益冲突等应当回避事由、所提交文件真实、合法、有效等。</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660" w:firstLineChars="200"/>
        <w:jc w:val="left"/>
        <w:textAlignment w:val="auto"/>
        <w:rPr>
          <w:rFonts w:hint="eastAsia" w:ascii="仿宋_GB2312" w:hAnsi="仿宋_GB2312" w:eastAsia="仿宋_GB2312" w:cs="仿宋_GB2312"/>
          <w:b/>
          <w:bCs/>
          <w:color w:val="auto"/>
          <w:sz w:val="32"/>
          <w:szCs w:val="32"/>
          <w:highlight w:val="none"/>
          <w:lang w:val="en-US"/>
        </w:rPr>
      </w:pPr>
      <w:r>
        <w:rPr>
          <w:rFonts w:hint="eastAsia" w:ascii="仿宋" w:hAnsi="仿宋" w:eastAsia="仿宋" w:cs="仿宋"/>
          <w:spacing w:val="5"/>
          <w:kern w:val="0"/>
          <w:sz w:val="32"/>
          <w:szCs w:val="32"/>
          <w:lang w:val="en-US" w:eastAsia="zh-CN" w:bidi="ar"/>
        </w:rPr>
        <w:t>6.附件3</w:t>
      </w:r>
      <w:r>
        <w:rPr>
          <w:rFonts w:hint="eastAsia" w:ascii="仿宋" w:hAnsi="仿宋" w:eastAsia="仿宋" w:cs="仿宋"/>
          <w:sz w:val="32"/>
          <w:szCs w:val="32"/>
          <w:highlight w:val="none"/>
          <w:lang w:val="en-US"/>
        </w:rPr>
        <w:t>《</w:t>
      </w:r>
      <w:r>
        <w:rPr>
          <w:rFonts w:hint="eastAsia" w:ascii="仿宋" w:hAnsi="仿宋" w:eastAsia="仿宋" w:cs="仿宋"/>
          <w:sz w:val="32"/>
          <w:szCs w:val="32"/>
          <w:highlight w:val="none"/>
          <w:lang w:val="en-US" w:eastAsia="zh-CN"/>
        </w:rPr>
        <w:t>比选申请文件</w:t>
      </w:r>
      <w:r>
        <w:rPr>
          <w:rFonts w:hint="eastAsia" w:ascii="仿宋" w:hAnsi="仿宋" w:eastAsia="仿宋" w:cs="仿宋"/>
          <w:sz w:val="32"/>
          <w:szCs w:val="32"/>
          <w:highlight w:val="none"/>
          <w:lang w:val="en-US"/>
        </w:rPr>
        <w:t>格式》</w:t>
      </w:r>
      <w:r>
        <w:rPr>
          <w:rFonts w:hint="eastAsia" w:ascii="仿宋" w:hAnsi="仿宋" w:eastAsia="仿宋" w:cs="仿宋"/>
          <w:spacing w:val="5"/>
          <w:kern w:val="0"/>
          <w:sz w:val="32"/>
          <w:szCs w:val="32"/>
          <w:lang w:val="en-US" w:eastAsia="zh-CN" w:bidi="ar"/>
        </w:rPr>
        <w:t>中要求的其他文件。</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lang w:val="en-US"/>
        </w:rPr>
        <w:t>比选申请文件的语言</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比选申请文件及比选人与参选人之间与比选有关的函件和文件均应使用汉语言文字。</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eastAsia="zh-CN"/>
        </w:rPr>
        <w:t>（三）</w:t>
      </w:r>
      <w:r>
        <w:rPr>
          <w:rFonts w:hint="eastAsia" w:ascii="仿宋_GB2312" w:hAnsi="仿宋_GB2312" w:eastAsia="仿宋_GB2312" w:cs="仿宋_GB2312"/>
          <w:b/>
          <w:bCs/>
          <w:color w:val="auto"/>
          <w:sz w:val="32"/>
          <w:szCs w:val="32"/>
          <w:highlight w:val="none"/>
          <w:lang w:val="en-US"/>
        </w:rPr>
        <w:t>比选申请文件的组成及填制要求</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比选申请文件一式三份，正本一份，副本一份，电子文档一份；在每一份比选申请文件上要明确注明“正本”或“副本”字样，一旦正本和副本有差异，以正本为准；同时电子文档需发送至指定邮箱。</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 xml:space="preserve">比选人的比选申请文件主要清单见附件 </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rPr>
        <w:t>《比选申请文件格式》</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比选申请文件的正、副本应用不褪色的墨水（墨粉）书写或打印、复印，并按比选文件要求，由法定代表人或委托代理人做相应的签字、加盖机构公章。</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4</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除比选申请人对错处作必要修改外，比选申请文件中不许有加行、涂抹或改写。</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5</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rPr>
        <w:t>无论比选结果如何，参选人的比选申请文件均不退回。</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（四）</w:t>
      </w:r>
      <w:r>
        <w:rPr>
          <w:rFonts w:hint="eastAsia" w:ascii="仿宋_GB2312" w:hAnsi="仿宋_GB2312" w:eastAsia="仿宋_GB2312" w:cs="仿宋_GB2312"/>
          <w:b/>
          <w:bCs/>
          <w:color w:val="auto"/>
          <w:sz w:val="32"/>
          <w:szCs w:val="32"/>
          <w:highlight w:val="none"/>
        </w:rPr>
        <w:t>比选申请文件格式</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参选人提交的比选申请文件应当使用比选文件所提供的比选申请文件全部格式和顺序。</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四、有关比选的特别说明</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1、</w:t>
      </w:r>
      <w:r>
        <w:rPr>
          <w:rFonts w:hint="eastAsia" w:ascii="仿宋_GB2312" w:hAnsi="仿宋_GB2312" w:eastAsia="仿宋_GB2312" w:cs="仿宋_GB2312"/>
          <w:b/>
          <w:bCs/>
          <w:color w:val="auto"/>
          <w:sz w:val="32"/>
          <w:szCs w:val="32"/>
          <w:highlight w:val="none"/>
        </w:rPr>
        <w:t>比选申请报价</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（1）参选人报价</w:t>
      </w:r>
      <w:r>
        <w:rPr>
          <w:rFonts w:hint="eastAsia" w:ascii="仿宋_GB2312" w:hAnsi="仿宋_GB2312" w:eastAsia="仿宋_GB2312" w:cs="仿宋_GB2312"/>
          <w:color w:val="auto"/>
          <w:sz w:val="32"/>
          <w:szCs w:val="32"/>
          <w:highlight w:val="none"/>
          <w:lang w:val="en-US" w:eastAsia="zh-CN"/>
        </w:rPr>
        <w:t>不超过最高限额</w:t>
      </w:r>
      <w:r>
        <w:rPr>
          <w:rFonts w:hint="eastAsia" w:ascii="仿宋_GB2312" w:hAnsi="仿宋_GB2312" w:eastAsia="仿宋_GB2312" w:cs="仿宋_GB2312"/>
          <w:color w:val="auto"/>
          <w:sz w:val="32"/>
          <w:szCs w:val="32"/>
          <w:highlight w:val="none"/>
        </w:rPr>
        <w:t>，超过</w:t>
      </w:r>
      <w:r>
        <w:rPr>
          <w:rFonts w:hint="eastAsia" w:ascii="仿宋_GB2312" w:hAnsi="仿宋_GB2312" w:eastAsia="仿宋_GB2312" w:cs="仿宋_GB2312"/>
          <w:color w:val="auto"/>
          <w:sz w:val="32"/>
          <w:szCs w:val="32"/>
          <w:highlight w:val="none"/>
          <w:lang w:val="en-US" w:eastAsia="zh-CN"/>
        </w:rPr>
        <w:t>最高限额</w:t>
      </w:r>
      <w:r>
        <w:rPr>
          <w:rFonts w:hint="eastAsia" w:ascii="仿宋_GB2312" w:hAnsi="仿宋_GB2312" w:eastAsia="仿宋_GB2312" w:cs="仿宋_GB2312"/>
          <w:color w:val="auto"/>
          <w:sz w:val="32"/>
          <w:szCs w:val="32"/>
          <w:highlight w:val="none"/>
        </w:rPr>
        <w:t>的报价为无效标价。</w:t>
      </w:r>
      <w:r>
        <w:rPr>
          <w:rFonts w:hint="eastAsia" w:ascii="仿宋_GB2312" w:hAnsi="仿宋_GB2312" w:eastAsia="仿宋_GB2312" w:cs="仿宋_GB2312"/>
          <w:color w:val="auto"/>
          <w:sz w:val="32"/>
          <w:szCs w:val="32"/>
          <w:highlight w:val="none"/>
          <w:lang w:val="en-US"/>
        </w:rPr>
        <w:t>参</w:t>
      </w:r>
      <w:r>
        <w:rPr>
          <w:rFonts w:hint="eastAsia" w:ascii="仿宋_GB2312" w:hAnsi="仿宋_GB2312" w:eastAsia="仿宋_GB2312" w:cs="仿宋_GB2312"/>
          <w:color w:val="auto"/>
          <w:sz w:val="32"/>
          <w:szCs w:val="32"/>
          <w:highlight w:val="none"/>
        </w:rPr>
        <w:t>选人应充分考虑服务期间各种情况和风险。</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（2）参选人的比选报价应是比选文件所确定的服务范围内的全部工作内容的价格体现。</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（3）参选人的报价应是完成所有工作的费用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包括但不限于人工费、差旅费、税费</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2、比选货币</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比选报价采用的币种为人民币。</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3、</w:t>
      </w:r>
      <w:r>
        <w:rPr>
          <w:rFonts w:hint="eastAsia" w:ascii="仿宋_GB2312" w:hAnsi="仿宋_GB2312" w:eastAsia="仿宋_GB2312" w:cs="仿宋_GB2312"/>
          <w:b/>
          <w:bCs/>
          <w:color w:val="auto"/>
          <w:sz w:val="32"/>
          <w:szCs w:val="32"/>
          <w:highlight w:val="none"/>
        </w:rPr>
        <w:t>比选有效期</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比选文件在比选申请文件递交后60日内有效。</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4、</w:t>
      </w:r>
      <w:r>
        <w:rPr>
          <w:rFonts w:hint="eastAsia" w:ascii="仿宋_GB2312" w:hAnsi="仿宋_GB2312" w:eastAsia="仿宋_GB2312" w:cs="仿宋_GB2312"/>
          <w:b/>
          <w:bCs/>
          <w:color w:val="auto"/>
          <w:sz w:val="32"/>
          <w:szCs w:val="32"/>
          <w:highlight w:val="none"/>
        </w:rPr>
        <w:t>比选保证金</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无</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五、比选申请文件的提交</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rPr>
        <w:t>1、</w:t>
      </w:r>
      <w:r>
        <w:rPr>
          <w:rFonts w:hint="eastAsia" w:ascii="仿宋_GB2312" w:hAnsi="仿宋_GB2312" w:eastAsia="仿宋_GB2312" w:cs="仿宋_GB2312"/>
          <w:b/>
          <w:bCs/>
          <w:color w:val="auto"/>
          <w:sz w:val="32"/>
          <w:szCs w:val="32"/>
          <w:highlight w:val="none"/>
        </w:rPr>
        <w:t>比选申请文件的密封</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参选人应按“参选机构名称</w:t>
      </w:r>
      <w:r>
        <w:rPr>
          <w:rFonts w:hint="eastAsia" w:ascii="仿宋_GB2312" w:hAnsi="仿宋_GB2312" w:eastAsia="仿宋_GB2312" w:cs="仿宋_GB2312"/>
          <w:color w:val="auto"/>
          <w:sz w:val="32"/>
          <w:szCs w:val="32"/>
          <w:highlight w:val="none"/>
          <w:lang w:val="en-US"/>
        </w:rPr>
        <w:t>-参选文件-日期</w:t>
      </w:r>
      <w:r>
        <w:rPr>
          <w:rFonts w:hint="eastAsia" w:ascii="仿宋_GB2312" w:hAnsi="仿宋_GB2312" w:eastAsia="仿宋_GB2312" w:cs="仿宋_GB2312"/>
          <w:color w:val="auto"/>
          <w:sz w:val="32"/>
          <w:szCs w:val="32"/>
          <w:highlight w:val="none"/>
        </w:rPr>
        <w:t>”命名。</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2、比选申请文件的递交和截止时间</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（1）比选申请文件递交的截止时间见比选公告的规定。</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（2）比选人可按照本规则的规定以补充通知的方式，酌情延长递交比选文件的截止时间。</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（3）比选人将拒绝接受任何晚于递交比选申请文件截止时间递交的比选申请文件。</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（4）比选人以收到比选申请文件邮件的时间为参选人提交比选申请文件的时间。</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lang w:val="en-US"/>
        </w:rPr>
        <w:t>六、评选</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1、评选小组与评选</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（1）评选小组由比选人自行组建，负责评选活动，必要时可邀请债务人、债权人代表、法院工作人员参与监督。</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（2）整个评选过程采用保密方式进行。</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2、评选过程的注意事项</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（1）开选后，直至授予中选人合同为止，凡涉及对比选申请文件的审查、澄清、评价和比较的有关资料，以及其他与评选有关的任何情况均应严格保密。</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（2）在比选申请文件的评审和比较以及授予合同的过程中，任何人向比选人和评选小组施加影响的任何行为，都将会导致其比选被拒绝。</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（3）中选机构及备选机构确定后，比选人不对未中选人就评选过程以及未能中选原因作出任何解释。未中选人不得向评选小组组成人员或其它有关人员询问评选过程的情况和索取资料。</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3、比选申请文件的澄清</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为了有助于比选申请文件的审查、评价和比较，评选小组有权要求参选人对比选申请文件中含义不明确的内容等问题作出澄清。澄清问题的答复将作为比选申请文件的组成部分。</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4、比选申请文件的初步审查</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初评主要是对比选申请文件的形式审查，注重评审是否满足比选条件、材料是否齐备等程序性要件，只有通过形式审查的比选申请文件，才能进入下一阶段的评审。</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rPr>
        <w:t>5、评选方法和标准</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（1）本项目采用综合评审法进行评选</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评选分为形式审查、详细评审两部分。只有通过形式审查的参选人才能进入详细评审的综合评审。</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本项目评选以百分制计分，评选人员对各项目逐项评定计分，满分100分。评选工作由比选人组织进行。本次评选小组成员人数由3人以上（含3人）单数组成，评选小组组长由评选小组成员推举产生，主持整个评选工作，与评选小组其他成员有同等的表决权。</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（2）本项目评选结果的确定</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根据评选组的评审结果，综合得分第一名的为中选机构，第二名为备选机构。</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A.</w:t>
      </w:r>
      <w:r>
        <w:rPr>
          <w:rFonts w:hint="eastAsia" w:ascii="仿宋_GB2312" w:hAnsi="仿宋_GB2312" w:eastAsia="仿宋_GB2312" w:cs="仿宋_GB2312"/>
          <w:color w:val="auto"/>
          <w:sz w:val="32"/>
          <w:szCs w:val="32"/>
          <w:highlight w:val="none"/>
        </w:rPr>
        <w:t>形式审查标准</w:t>
      </w:r>
    </w:p>
    <w:tbl>
      <w:tblPr>
        <w:tblStyle w:val="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1"/>
        <w:gridCol w:w="5583"/>
        <w:gridCol w:w="23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序号</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审查内容</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是否满足要求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营业执照合法有效</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参选人资质是否满足要求</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项目负责人</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比选申请文件盖章及签字的情况</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授权书是否有效</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是否实质性响应比选文件</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54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w:t>
            </w:r>
          </w:p>
        </w:tc>
        <w:tc>
          <w:tcPr>
            <w:tcW w:w="315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结论</w:t>
            </w:r>
          </w:p>
        </w:tc>
        <w:tc>
          <w:tcPr>
            <w:tcW w:w="13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p>
        </w:tc>
      </w:tr>
    </w:tbl>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注：</w:t>
      </w:r>
      <w:r>
        <w:rPr>
          <w:rFonts w:hint="eastAsia" w:ascii="仿宋_GB2312" w:hAnsi="仿宋_GB2312" w:eastAsia="仿宋_GB2312" w:cs="仿宋_GB2312"/>
          <w:color w:val="auto"/>
          <w:sz w:val="28"/>
          <w:szCs w:val="28"/>
          <w:highlight w:val="none"/>
        </w:rPr>
        <w:t>1、表格中打“√”表示满足，“×”表示不满足，结论填“通过”和“不通过”；２、有任意一个“×”，则结论“不通过”。</w:t>
      </w:r>
    </w:p>
    <w:p>
      <w:pPr>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rPr>
        <w:t>B.</w:t>
      </w:r>
      <w:r>
        <w:rPr>
          <w:rFonts w:hint="eastAsia" w:ascii="仿宋_GB2312" w:hAnsi="仿宋_GB2312" w:eastAsia="仿宋_GB2312" w:cs="仿宋_GB2312"/>
          <w:color w:val="auto"/>
          <w:sz w:val="32"/>
          <w:szCs w:val="32"/>
          <w:highlight w:val="none"/>
        </w:rPr>
        <w:t>评审标准、评分依据</w:t>
      </w:r>
    </w:p>
    <w:tbl>
      <w:tblPr>
        <w:tblStyle w:val="8"/>
        <w:tblW w:w="500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98"/>
        <w:gridCol w:w="1516"/>
        <w:gridCol w:w="5285"/>
        <w:gridCol w:w="10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56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序号</w:t>
            </w:r>
          </w:p>
        </w:tc>
        <w:tc>
          <w:tcPr>
            <w:tcW w:w="854"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评审内容</w:t>
            </w:r>
          </w:p>
        </w:tc>
        <w:tc>
          <w:tcPr>
            <w:tcW w:w="2978"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评审标准</w:t>
            </w:r>
          </w:p>
        </w:tc>
        <w:tc>
          <w:tcPr>
            <w:tcW w:w="6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0" w:hRule="atLeast"/>
          <w:jc w:val="center"/>
        </w:trPr>
        <w:tc>
          <w:tcPr>
            <w:tcW w:w="56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854"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报价</w:t>
            </w:r>
          </w:p>
        </w:tc>
        <w:tc>
          <w:tcPr>
            <w:tcW w:w="2978"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参选人应充分考虑自身实力、信誉及市场情况进行自主报价，本报价应是全费用包干费报价。以有效报价中合理最低价作为基准值，得满分</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0分，其余报价与之相比，每高于</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的报价扣</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分；</w:t>
            </w:r>
            <w:r>
              <w:rPr>
                <w:rFonts w:hint="eastAsia" w:ascii="仿宋_GB2312" w:hAnsi="仿宋_GB2312" w:eastAsia="仿宋_GB2312" w:cs="仿宋_GB2312"/>
                <w:color w:val="auto"/>
                <w:sz w:val="32"/>
                <w:szCs w:val="32"/>
                <w:highlight w:val="none"/>
                <w:lang w:val="en-US" w:eastAsia="zh-CN"/>
              </w:rPr>
              <w:t>高于部分不到5%的，按5%计算扣分。</w:t>
            </w:r>
            <w:r>
              <w:rPr>
                <w:rFonts w:hint="eastAsia" w:ascii="仿宋_GB2312" w:hAnsi="仿宋_GB2312" w:eastAsia="仿宋_GB2312" w:cs="仿宋_GB2312"/>
                <w:color w:val="auto"/>
                <w:sz w:val="32"/>
                <w:szCs w:val="32"/>
                <w:highlight w:val="none"/>
              </w:rPr>
              <w:t>扣完为止。</w:t>
            </w:r>
          </w:p>
        </w:tc>
        <w:tc>
          <w:tcPr>
            <w:tcW w:w="6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0" w:hRule="atLeast"/>
          <w:jc w:val="center"/>
        </w:trPr>
        <w:tc>
          <w:tcPr>
            <w:tcW w:w="56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eastAsia="zh-CN"/>
              </w:rPr>
              <w:t>资质</w:t>
            </w:r>
            <w:r>
              <w:rPr>
                <w:rFonts w:hint="eastAsia" w:ascii="仿宋_GB2312" w:hAnsi="仿宋_GB2312" w:eastAsia="仿宋_GB2312" w:cs="仿宋_GB2312"/>
                <w:color w:val="auto"/>
                <w:sz w:val="32"/>
                <w:szCs w:val="32"/>
                <w:highlight w:val="none"/>
                <w:lang w:val="en-US" w:eastAsia="zh-CN"/>
              </w:rPr>
              <w:t>能力</w:t>
            </w:r>
          </w:p>
        </w:tc>
        <w:tc>
          <w:tcPr>
            <w:tcW w:w="5278" w:type="dxa"/>
            <w:vAlign w:val="top"/>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中介机构是否具备国家、行业主管部门颁发的营业执照，具备专项资质 (附相关证明资料) ; 具有良好的商誉，近三年内没有不良记录; 具有履行合同所需的专业技术能力和专业技术人员等，完全满足要求，8-10分: 基本满足要求，5-8分: 基本不满足要求，0-5分。</w:t>
            </w:r>
          </w:p>
        </w:tc>
        <w:tc>
          <w:tcPr>
            <w:tcW w:w="1069" w:type="dxa"/>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56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p>
        </w:tc>
        <w:tc>
          <w:tcPr>
            <w:tcW w:w="854"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业绩</w:t>
            </w:r>
          </w:p>
        </w:tc>
        <w:tc>
          <w:tcPr>
            <w:tcW w:w="2978"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参选人自</w:t>
            </w:r>
            <w:r>
              <w:rPr>
                <w:rFonts w:hint="eastAsia" w:ascii="仿宋_GB2312" w:hAnsi="仿宋_GB2312" w:eastAsia="仿宋_GB2312" w:cs="仿宋_GB2312"/>
                <w:color w:val="auto"/>
                <w:sz w:val="32"/>
                <w:szCs w:val="32"/>
                <w:highlight w:val="none"/>
                <w:lang w:val="en-US" w:eastAsia="zh-CN"/>
              </w:rPr>
              <w:t>2020</w:t>
            </w:r>
            <w:r>
              <w:rPr>
                <w:rFonts w:hint="eastAsia" w:ascii="仿宋_GB2312" w:hAnsi="仿宋_GB2312" w:eastAsia="仿宋_GB2312" w:cs="仿宋_GB2312"/>
                <w:color w:val="auto"/>
                <w:sz w:val="32"/>
                <w:szCs w:val="32"/>
                <w:highlight w:val="none"/>
              </w:rPr>
              <w:t>年以来有1个</w:t>
            </w:r>
            <w:r>
              <w:rPr>
                <w:rFonts w:hint="eastAsia" w:ascii="仿宋_GB2312" w:hAnsi="仿宋_GB2312" w:eastAsia="仿宋_GB2312" w:cs="仿宋_GB2312"/>
                <w:color w:val="auto"/>
                <w:sz w:val="32"/>
                <w:szCs w:val="32"/>
                <w:highlight w:val="none"/>
                <w:lang w:val="en-US" w:eastAsia="zh-CN"/>
              </w:rPr>
              <w:t>房地产企业</w:t>
            </w:r>
            <w:r>
              <w:rPr>
                <w:rFonts w:hint="eastAsia" w:ascii="仿宋_GB2312" w:hAnsi="仿宋_GB2312" w:eastAsia="仿宋_GB2312" w:cs="仿宋_GB2312"/>
                <w:color w:val="auto"/>
                <w:sz w:val="32"/>
                <w:szCs w:val="32"/>
                <w:highlight w:val="none"/>
              </w:rPr>
              <w:t>类似业绩得2分，每增加1个加</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分，本项最高得分</w:t>
            </w:r>
            <w:r>
              <w:rPr>
                <w:rFonts w:hint="eastAsia" w:ascii="仿宋_GB2312" w:hAnsi="仿宋_GB2312" w:eastAsia="仿宋_GB2312" w:cs="仿宋_GB2312"/>
                <w:color w:val="auto"/>
                <w:sz w:val="32"/>
                <w:szCs w:val="32"/>
                <w:highlight w:val="none"/>
                <w:lang w:val="en-US" w:eastAsia="zh-CN"/>
              </w:rPr>
              <w:t>40</w:t>
            </w:r>
            <w:r>
              <w:rPr>
                <w:rFonts w:hint="eastAsia" w:ascii="仿宋_GB2312" w:hAnsi="仿宋_GB2312" w:eastAsia="仿宋_GB2312" w:cs="仿宋_GB2312"/>
                <w:color w:val="auto"/>
                <w:sz w:val="32"/>
                <w:szCs w:val="32"/>
                <w:highlight w:val="none"/>
              </w:rPr>
              <w:t>分。</w:t>
            </w:r>
          </w:p>
        </w:tc>
        <w:tc>
          <w:tcPr>
            <w:tcW w:w="6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56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p>
        </w:tc>
        <w:tc>
          <w:tcPr>
            <w:tcW w:w="854"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人员配置</w:t>
            </w:r>
          </w:p>
        </w:tc>
        <w:tc>
          <w:tcPr>
            <w:tcW w:w="2978"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人员配置方案（人数、资历、资质等），符合项目要求，方案合理10-15分；基本合理5-10分；不合理0-5分。</w:t>
            </w:r>
          </w:p>
        </w:tc>
        <w:tc>
          <w:tcPr>
            <w:tcW w:w="6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8" w:hRule="atLeast"/>
          <w:jc w:val="center"/>
        </w:trPr>
        <w:tc>
          <w:tcPr>
            <w:tcW w:w="56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w:t>
            </w:r>
          </w:p>
        </w:tc>
        <w:tc>
          <w:tcPr>
            <w:tcW w:w="854"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t>服务方案</w:t>
            </w:r>
          </w:p>
        </w:tc>
        <w:tc>
          <w:tcPr>
            <w:tcW w:w="2978"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提供的项目服务方案可行，具有针对性、合理性、完整性、有效性和可操作性优良的得20—</w:t>
            </w: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分；</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提供的项目服务方案基本可行，</w:t>
            </w:r>
            <w:bookmarkStart w:id="0" w:name="_GoBack"/>
            <w:bookmarkEnd w:id="0"/>
            <w:r>
              <w:rPr>
                <w:rFonts w:hint="eastAsia" w:ascii="仿宋_GB2312" w:hAnsi="仿宋_GB2312" w:eastAsia="仿宋_GB2312" w:cs="仿宋_GB2312"/>
                <w:color w:val="auto"/>
                <w:sz w:val="32"/>
                <w:szCs w:val="32"/>
                <w:highlight w:val="none"/>
              </w:rPr>
              <w:t>具有针对性、合理性、完整性、有效性和可操作性一般的得10-20分；</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rPr>
              <w:t>提供的项目服务方案不可行，合理性、完整性、有效性和可操作性差的得0—10分。</w:t>
            </w:r>
          </w:p>
        </w:tc>
        <w:tc>
          <w:tcPr>
            <w:tcW w:w="603" w:type="pct"/>
            <w:vAlign w:val="center"/>
          </w:tcPr>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25</w:t>
            </w:r>
          </w:p>
        </w:tc>
      </w:tr>
    </w:tbl>
    <w:p>
      <w:pPr>
        <w:keepNext w:val="0"/>
        <w:keepLines w:val="0"/>
        <w:pageBreakBefore w:val="0"/>
        <w:widowControl w:val="0"/>
        <w:kinsoku/>
        <w:wordWrap/>
        <w:overflowPunct/>
        <w:topLinePunct w:val="0"/>
        <w:autoSpaceDE w:val="0"/>
        <w:autoSpaceDN w:val="0"/>
        <w:bidi w:val="0"/>
        <w:adjustRightInd/>
        <w:snapToGrid/>
        <w:spacing w:line="20" w:lineRule="exact"/>
        <w:ind w:firstLine="640" w:firstLineChars="200"/>
        <w:jc w:val="both"/>
        <w:textAlignment w:val="auto"/>
        <w:rPr>
          <w:rFonts w:hint="eastAsia" w:ascii="仿宋_GB2312" w:hAnsi="仿宋_GB2312" w:eastAsia="仿宋_GB2312" w:cs="仿宋_GB2312"/>
          <w:color w:val="auto"/>
          <w:sz w:val="32"/>
          <w:szCs w:val="32"/>
          <w:highlight w:val="none"/>
        </w:rPr>
      </w:pPr>
    </w:p>
    <w:sectPr>
      <w:footerReference r:id="rId3" w:type="default"/>
      <w:pgSz w:w="11906" w:h="16838"/>
      <w:pgMar w:top="1984" w:right="1474" w:bottom="1701" w:left="1587" w:header="851" w:footer="113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书宋二KW"/>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4YTU4YjY1Yzg0Yjk0NjgwOTA4OTE2MmQ5MzIyMzUifQ=="/>
  </w:docVars>
  <w:rsids>
    <w:rsidRoot w:val="3A790487"/>
    <w:rsid w:val="000215D6"/>
    <w:rsid w:val="00032AC7"/>
    <w:rsid w:val="0004077A"/>
    <w:rsid w:val="00157857"/>
    <w:rsid w:val="003E35EF"/>
    <w:rsid w:val="0050704F"/>
    <w:rsid w:val="00590DA7"/>
    <w:rsid w:val="00592EC9"/>
    <w:rsid w:val="00620750"/>
    <w:rsid w:val="00650836"/>
    <w:rsid w:val="00796DA6"/>
    <w:rsid w:val="009004AA"/>
    <w:rsid w:val="009F58A0"/>
    <w:rsid w:val="00AF6279"/>
    <w:rsid w:val="00B5798B"/>
    <w:rsid w:val="00C55CA5"/>
    <w:rsid w:val="00CE2594"/>
    <w:rsid w:val="00DD5175"/>
    <w:rsid w:val="00E86B2B"/>
    <w:rsid w:val="00F47A5C"/>
    <w:rsid w:val="03FD05D6"/>
    <w:rsid w:val="05512C90"/>
    <w:rsid w:val="06992AB6"/>
    <w:rsid w:val="07793B3D"/>
    <w:rsid w:val="079778EE"/>
    <w:rsid w:val="083F0E84"/>
    <w:rsid w:val="0D942A2B"/>
    <w:rsid w:val="0E234189"/>
    <w:rsid w:val="104A4BA3"/>
    <w:rsid w:val="117E1888"/>
    <w:rsid w:val="11DE1DC6"/>
    <w:rsid w:val="12334E87"/>
    <w:rsid w:val="13FF0FD5"/>
    <w:rsid w:val="141C6857"/>
    <w:rsid w:val="14203ED4"/>
    <w:rsid w:val="158E5532"/>
    <w:rsid w:val="17736C89"/>
    <w:rsid w:val="17DD6DDE"/>
    <w:rsid w:val="1A536F12"/>
    <w:rsid w:val="1C896A53"/>
    <w:rsid w:val="1CA27B15"/>
    <w:rsid w:val="1DDC441C"/>
    <w:rsid w:val="1E88098D"/>
    <w:rsid w:val="202A74B0"/>
    <w:rsid w:val="20D34741"/>
    <w:rsid w:val="215C64E4"/>
    <w:rsid w:val="221B6293"/>
    <w:rsid w:val="23D23F61"/>
    <w:rsid w:val="25290DD3"/>
    <w:rsid w:val="275073D0"/>
    <w:rsid w:val="279326F6"/>
    <w:rsid w:val="2B7F052F"/>
    <w:rsid w:val="2C7A513F"/>
    <w:rsid w:val="2F450176"/>
    <w:rsid w:val="2F665A71"/>
    <w:rsid w:val="300915D5"/>
    <w:rsid w:val="33C73EDF"/>
    <w:rsid w:val="37F34858"/>
    <w:rsid w:val="398F15D4"/>
    <w:rsid w:val="3A790487"/>
    <w:rsid w:val="3B5A6814"/>
    <w:rsid w:val="3E5325C6"/>
    <w:rsid w:val="3F2C459F"/>
    <w:rsid w:val="400C77DC"/>
    <w:rsid w:val="400D1948"/>
    <w:rsid w:val="426B6130"/>
    <w:rsid w:val="43AF49FB"/>
    <w:rsid w:val="43C24475"/>
    <w:rsid w:val="46E40F75"/>
    <w:rsid w:val="46E629CF"/>
    <w:rsid w:val="4A121DEB"/>
    <w:rsid w:val="4B4F0BA5"/>
    <w:rsid w:val="4D9135E1"/>
    <w:rsid w:val="52A94F25"/>
    <w:rsid w:val="555313D1"/>
    <w:rsid w:val="57A41106"/>
    <w:rsid w:val="597638E0"/>
    <w:rsid w:val="5AAA331B"/>
    <w:rsid w:val="5C0A509A"/>
    <w:rsid w:val="5DEB370D"/>
    <w:rsid w:val="5E994D38"/>
    <w:rsid w:val="5FED7554"/>
    <w:rsid w:val="600E3086"/>
    <w:rsid w:val="60D76A79"/>
    <w:rsid w:val="61336788"/>
    <w:rsid w:val="62636E16"/>
    <w:rsid w:val="65F9D0CD"/>
    <w:rsid w:val="68F00C4E"/>
    <w:rsid w:val="6989689C"/>
    <w:rsid w:val="6C0D1D63"/>
    <w:rsid w:val="6C94777D"/>
    <w:rsid w:val="6C9F67D7"/>
    <w:rsid w:val="6EB92C58"/>
    <w:rsid w:val="6FCD0719"/>
    <w:rsid w:val="71447FDF"/>
    <w:rsid w:val="7533B335"/>
    <w:rsid w:val="75B5E207"/>
    <w:rsid w:val="76ABFAA7"/>
    <w:rsid w:val="7779E298"/>
    <w:rsid w:val="77FDFD5E"/>
    <w:rsid w:val="79164340"/>
    <w:rsid w:val="7B1A46DE"/>
    <w:rsid w:val="7B446F42"/>
    <w:rsid w:val="7B4A51E9"/>
    <w:rsid w:val="7D537239"/>
    <w:rsid w:val="7D6F396C"/>
    <w:rsid w:val="7D8B6B7B"/>
    <w:rsid w:val="7DEEB09E"/>
    <w:rsid w:val="7DFEDCC9"/>
    <w:rsid w:val="7FDD6CFC"/>
    <w:rsid w:val="8BBEE954"/>
    <w:rsid w:val="DB9FA921"/>
    <w:rsid w:val="E2A9DDEC"/>
    <w:rsid w:val="E6FBC436"/>
    <w:rsid w:val="EFED1911"/>
    <w:rsid w:val="FC7E94DF"/>
    <w:rsid w:val="FCEF81D5"/>
    <w:rsid w:val="FF558B5E"/>
    <w:rsid w:val="FF576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3"/>
    <w:next w:val="1"/>
    <w:qFormat/>
    <w:uiPriority w:val="0"/>
    <w:pPr>
      <w:keepNext/>
      <w:keepLines/>
      <w:spacing w:line="360" w:lineRule="auto"/>
    </w:pPr>
    <w:rPr>
      <w:rFonts w:eastAsia="华文中宋"/>
      <w:kern w:val="44"/>
    </w:rPr>
  </w:style>
  <w:style w:type="paragraph" w:styleId="4">
    <w:name w:val="heading 2"/>
    <w:basedOn w:val="1"/>
    <w:next w:val="1"/>
    <w:unhideWhenUsed/>
    <w:qFormat/>
    <w:uiPriority w:val="0"/>
    <w:pPr>
      <w:keepNext/>
      <w:keepLines/>
      <w:spacing w:line="480" w:lineRule="auto"/>
      <w:outlineLvl w:val="1"/>
    </w:pPr>
    <w:rPr>
      <w:rFonts w:ascii="Arial" w:hAnsi="Arial"/>
      <w:b/>
      <w:sz w:val="32"/>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Title"/>
    <w:basedOn w:val="1"/>
    <w:qFormat/>
    <w:uiPriority w:val="0"/>
    <w:pPr>
      <w:spacing w:before="240" w:after="60"/>
      <w:jc w:val="center"/>
      <w:outlineLvl w:val="0"/>
    </w:pPr>
    <w:rPr>
      <w:rFonts w:ascii="Arial" w:hAnsi="Arial"/>
      <w:b/>
      <w:sz w:val="32"/>
    </w:rPr>
  </w:style>
  <w:style w:type="paragraph" w:styleId="5">
    <w:name w:val="Body Text"/>
    <w:basedOn w:val="1"/>
    <w:qFormat/>
    <w:uiPriority w:val="1"/>
    <w:pPr>
      <w:ind w:left="700"/>
    </w:pPr>
    <w:rPr>
      <w:sz w:val="32"/>
      <w:szCs w:val="32"/>
    </w:rPr>
  </w:style>
  <w:style w:type="paragraph" w:styleId="6">
    <w:name w:val="footer"/>
    <w:basedOn w:val="1"/>
    <w:link w:val="15"/>
    <w:qFormat/>
    <w:uiPriority w:val="0"/>
    <w:pPr>
      <w:tabs>
        <w:tab w:val="center" w:pos="4153"/>
        <w:tab w:val="right" w:pos="8306"/>
      </w:tabs>
      <w:snapToGrid w:val="0"/>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List Paragraph"/>
    <w:basedOn w:val="1"/>
    <w:qFormat/>
    <w:uiPriority w:val="1"/>
    <w:pPr>
      <w:spacing w:before="2"/>
      <w:ind w:left="700" w:firstLine="640"/>
    </w:pPr>
  </w:style>
  <w:style w:type="paragraph" w:customStyle="1" w:styleId="13">
    <w:name w:val="Table Paragraph"/>
    <w:basedOn w:val="1"/>
    <w:qFormat/>
    <w:uiPriority w:val="1"/>
  </w:style>
  <w:style w:type="character" w:customStyle="1" w:styleId="14">
    <w:name w:val="页眉 字符"/>
    <w:basedOn w:val="10"/>
    <w:link w:val="7"/>
    <w:qFormat/>
    <w:uiPriority w:val="0"/>
    <w:rPr>
      <w:rFonts w:ascii="仿宋" w:hAnsi="仿宋" w:eastAsia="仿宋" w:cs="仿宋"/>
      <w:sz w:val="18"/>
      <w:szCs w:val="18"/>
      <w:lang w:val="zh-CN" w:bidi="zh-CN"/>
    </w:rPr>
  </w:style>
  <w:style w:type="character" w:customStyle="1" w:styleId="15">
    <w:name w:val="页脚 字符"/>
    <w:basedOn w:val="10"/>
    <w:link w:val="6"/>
    <w:qFormat/>
    <w:uiPriority w:val="0"/>
    <w:rPr>
      <w:rFonts w:ascii="仿宋" w:hAnsi="仿宋" w:eastAsia="仿宋" w:cs="仿宋"/>
      <w:sz w:val="18"/>
      <w:szCs w:val="18"/>
      <w:lang w:val="zh-CN" w:bidi="zh-CN"/>
    </w:rPr>
  </w:style>
  <w:style w:type="paragraph" w:customStyle="1" w:styleId="16">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3194</Words>
  <Characters>3230</Characters>
  <Lines>21</Lines>
  <Paragraphs>6</Paragraphs>
  <TotalTime>5</TotalTime>
  <ScaleCrop>false</ScaleCrop>
  <LinksUpToDate>false</LinksUpToDate>
  <CharactersWithSpaces>3234</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2020-08-16T01:55:00Z</dcterms:created>
  <dc:creator>LDQ</dc:creator>
  <cp:lastModifiedBy>黄欣</cp:lastModifiedBy>
  <dcterms:modified xsi:type="dcterms:W3CDTF">2024-08-30T15:50:43Z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B99A71D91BA25E289119A964CE929EB6</vt:lpwstr>
  </property>
</Properties>
</file>