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72F30E">
      <w:pPr>
        <w:widowControl/>
        <w:shd w:val="clear" w:color="auto" w:fill="FFFFFF"/>
        <w:spacing w:after="210"/>
        <w:jc w:val="center"/>
        <w:outlineLvl w:val="0"/>
        <w:rPr>
          <w:rFonts w:ascii="黑体" w:hAnsi="黑体" w:eastAsia="黑体" w:cs="宋体"/>
          <w:b/>
          <w:bCs/>
          <w:color w:val="333333"/>
          <w:spacing w:val="8"/>
          <w:kern w:val="36"/>
          <w:sz w:val="44"/>
          <w:szCs w:val="44"/>
        </w:rPr>
      </w:pPr>
      <w:r>
        <w:rPr>
          <w:rFonts w:hint="eastAsia" w:ascii="黑体" w:hAnsi="黑体" w:eastAsia="黑体" w:cs="宋体"/>
          <w:b/>
          <w:bCs/>
          <w:color w:val="333333"/>
          <w:spacing w:val="8"/>
          <w:kern w:val="36"/>
          <w:sz w:val="44"/>
          <w:szCs w:val="44"/>
          <w:lang w:val="en-US" w:eastAsia="zh-CN"/>
        </w:rPr>
        <w:t>深圳市合志和实业发展有限公司</w:t>
      </w:r>
      <w:r>
        <w:rPr>
          <w:rFonts w:hint="eastAsia" w:ascii="黑体" w:hAnsi="黑体" w:eastAsia="黑体" w:cs="宋体"/>
          <w:b/>
          <w:bCs/>
          <w:color w:val="333333"/>
          <w:spacing w:val="8"/>
          <w:kern w:val="36"/>
          <w:sz w:val="44"/>
          <w:szCs w:val="44"/>
        </w:rPr>
        <w:t>破产清算案摇珠选聘审计机构的公告</w:t>
      </w:r>
    </w:p>
    <w:p w14:paraId="21FF4575">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000000"/>
          <w:spacing w:val="15"/>
          <w:kern w:val="0"/>
          <w:sz w:val="32"/>
          <w:szCs w:val="32"/>
          <w:lang w:val="en-US" w:eastAsia="zh-CN"/>
        </w:rPr>
      </w:pPr>
      <w:r>
        <w:rPr>
          <w:rFonts w:hint="eastAsia" w:ascii="仿宋" w:hAnsi="仿宋" w:eastAsia="仿宋" w:cs="仿宋"/>
          <w:b w:val="0"/>
          <w:bCs w:val="0"/>
          <w:color w:val="000000"/>
          <w:spacing w:val="15"/>
          <w:kern w:val="0"/>
          <w:sz w:val="32"/>
          <w:szCs w:val="32"/>
          <w:lang w:val="en-US" w:eastAsia="zh-CN"/>
        </w:rPr>
        <w:t>深圳市中级人民法院于2024年7月15日裁定受理深圳市合志和实业发展有限公司（以下简称“合志和公司”或“债务人”）破产清算一案，案号为（2024）粤03破364号，并于2024年7月29日指定广东金圳律师事务所为管理人。</w:t>
      </w:r>
    </w:p>
    <w:p w14:paraId="4064B8B8">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管理人现根据《中华人民共和国企业破产法》《深圳市破产管理人协会破产案件管理人委托审计和评估工作规范（试行）》《深圳市破产管理人协会破产案件审计和评估机构摇珠和公开招募办法（试行）》之规定，结合当前对</w:t>
      </w:r>
      <w:r>
        <w:rPr>
          <w:rFonts w:hint="eastAsia" w:ascii="仿宋" w:hAnsi="仿宋" w:eastAsia="仿宋" w:cs="仿宋"/>
          <w:b w:val="0"/>
          <w:bCs w:val="0"/>
          <w:color w:val="000000"/>
          <w:spacing w:val="15"/>
          <w:kern w:val="0"/>
          <w:sz w:val="32"/>
          <w:szCs w:val="32"/>
          <w:lang w:val="en-US" w:eastAsia="zh-CN" w:bidi="ar-SA"/>
        </w:rPr>
        <w:t>合志和公司</w:t>
      </w:r>
      <w:r>
        <w:rPr>
          <w:rFonts w:hint="eastAsia" w:ascii="仿宋" w:hAnsi="仿宋" w:eastAsia="仿宋" w:cs="仿宋"/>
          <w:b w:val="0"/>
          <w:bCs w:val="0"/>
          <w:color w:val="000000"/>
          <w:spacing w:val="15"/>
          <w:kern w:val="0"/>
          <w:sz w:val="32"/>
          <w:szCs w:val="32"/>
        </w:rPr>
        <w:t>的接管情况，拟采取摇珠方式选聘审计机构，特就有关事项公告如下：</w:t>
      </w:r>
    </w:p>
    <w:p w14:paraId="1C8D4668">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黑体" w:hAnsi="黑体" w:eastAsia="黑体" w:cs="黑体"/>
          <w:b w:val="0"/>
          <w:bCs w:val="0"/>
          <w:color w:val="3E3E3E"/>
          <w:spacing w:val="8"/>
          <w:kern w:val="0"/>
          <w:sz w:val="32"/>
          <w:szCs w:val="32"/>
        </w:rPr>
      </w:pPr>
      <w:r>
        <w:rPr>
          <w:rFonts w:hint="eastAsia" w:ascii="黑体" w:hAnsi="黑体" w:eastAsia="黑体" w:cs="黑体"/>
          <w:b w:val="0"/>
          <w:bCs w:val="0"/>
          <w:color w:val="000000"/>
          <w:spacing w:val="15"/>
          <w:kern w:val="0"/>
          <w:sz w:val="32"/>
          <w:szCs w:val="32"/>
        </w:rPr>
        <w:t>一、</w:t>
      </w:r>
      <w:r>
        <w:rPr>
          <w:rFonts w:hint="eastAsia" w:ascii="黑体" w:hAnsi="黑体" w:eastAsia="黑体" w:cs="黑体"/>
          <w:b w:val="0"/>
          <w:bCs w:val="0"/>
          <w:color w:val="000000"/>
          <w:spacing w:val="15"/>
          <w:kern w:val="0"/>
          <w:sz w:val="32"/>
          <w:szCs w:val="32"/>
          <w:lang w:eastAsia="zh-CN"/>
        </w:rPr>
        <w:t>合志和公司</w:t>
      </w:r>
      <w:r>
        <w:rPr>
          <w:rFonts w:hint="eastAsia" w:ascii="黑体" w:hAnsi="黑体" w:eastAsia="黑体" w:cs="黑体"/>
          <w:b w:val="0"/>
          <w:bCs w:val="0"/>
          <w:color w:val="000000"/>
          <w:spacing w:val="15"/>
          <w:kern w:val="0"/>
          <w:sz w:val="32"/>
          <w:szCs w:val="32"/>
        </w:rPr>
        <w:t>基本情况</w:t>
      </w:r>
    </w:p>
    <w:p w14:paraId="3A9EA08A">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85"/>
        <w:textAlignment w:val="auto"/>
        <w:rPr>
          <w:rFonts w:hint="eastAsia" w:ascii="仿宋" w:hAnsi="仿宋" w:eastAsia="仿宋" w:cs="仿宋"/>
          <w:b w:val="0"/>
          <w:bCs w:val="0"/>
          <w:color w:val="000000"/>
          <w:spacing w:val="15"/>
          <w:kern w:val="0"/>
          <w:sz w:val="32"/>
          <w:szCs w:val="32"/>
        </w:rPr>
      </w:pPr>
      <w:r>
        <w:rPr>
          <w:rFonts w:hint="eastAsia" w:ascii="仿宋" w:hAnsi="仿宋" w:eastAsia="仿宋" w:cs="仿宋"/>
          <w:b w:val="0"/>
          <w:bCs w:val="0"/>
          <w:color w:val="000000"/>
          <w:spacing w:val="15"/>
          <w:kern w:val="0"/>
          <w:sz w:val="32"/>
          <w:szCs w:val="32"/>
          <w:lang w:eastAsia="zh-CN"/>
        </w:rPr>
        <w:t>合志和公司</w:t>
      </w:r>
      <w:r>
        <w:rPr>
          <w:rFonts w:hint="eastAsia" w:ascii="仿宋" w:hAnsi="仿宋" w:eastAsia="仿宋" w:cs="仿宋"/>
          <w:b w:val="0"/>
          <w:bCs w:val="0"/>
          <w:color w:val="000000"/>
          <w:spacing w:val="15"/>
          <w:kern w:val="0"/>
          <w:sz w:val="32"/>
          <w:szCs w:val="32"/>
        </w:rPr>
        <w:t>成立于</w:t>
      </w:r>
      <w:r>
        <w:rPr>
          <w:rFonts w:hint="eastAsia" w:ascii="仿宋" w:hAnsi="仿宋" w:eastAsia="仿宋" w:cs="仿宋"/>
          <w:b w:val="0"/>
          <w:bCs w:val="0"/>
          <w:color w:val="000000"/>
          <w:spacing w:val="15"/>
          <w:kern w:val="0"/>
          <w:sz w:val="32"/>
          <w:szCs w:val="32"/>
          <w:lang w:val="en-US" w:eastAsia="zh-CN"/>
        </w:rPr>
        <w:t>2001年4月24日</w:t>
      </w:r>
      <w:r>
        <w:rPr>
          <w:rFonts w:hint="eastAsia" w:ascii="仿宋" w:hAnsi="仿宋" w:eastAsia="仿宋" w:cs="仿宋"/>
          <w:b w:val="0"/>
          <w:bCs w:val="0"/>
          <w:color w:val="000000"/>
          <w:spacing w:val="15"/>
          <w:kern w:val="0"/>
          <w:sz w:val="32"/>
          <w:szCs w:val="32"/>
        </w:rPr>
        <w:t>，统一社会信用代码为914403007285512437，注册资本为</w:t>
      </w:r>
      <w:r>
        <w:rPr>
          <w:rFonts w:hint="eastAsia" w:ascii="仿宋" w:hAnsi="仿宋" w:eastAsia="仿宋" w:cs="仿宋"/>
          <w:b w:val="0"/>
          <w:bCs w:val="0"/>
          <w:color w:val="000000"/>
          <w:spacing w:val="15"/>
          <w:kern w:val="0"/>
          <w:sz w:val="32"/>
          <w:szCs w:val="32"/>
          <w:lang w:eastAsia="zh-CN"/>
        </w:rPr>
        <w:t>人民币</w:t>
      </w:r>
      <w:r>
        <w:rPr>
          <w:rFonts w:hint="eastAsia" w:ascii="仿宋" w:hAnsi="仿宋" w:eastAsia="仿宋" w:cs="仿宋"/>
          <w:b w:val="0"/>
          <w:bCs w:val="0"/>
          <w:color w:val="000000"/>
          <w:spacing w:val="15"/>
          <w:kern w:val="0"/>
          <w:sz w:val="32"/>
          <w:szCs w:val="32"/>
          <w:lang w:val="en-US" w:eastAsia="zh-CN"/>
        </w:rPr>
        <w:t>10000000元</w:t>
      </w:r>
      <w:r>
        <w:rPr>
          <w:rFonts w:hint="eastAsia" w:ascii="仿宋" w:hAnsi="仿宋" w:eastAsia="仿宋" w:cs="仿宋"/>
          <w:b w:val="0"/>
          <w:bCs w:val="0"/>
          <w:color w:val="000000"/>
          <w:spacing w:val="15"/>
          <w:kern w:val="0"/>
          <w:sz w:val="32"/>
          <w:szCs w:val="32"/>
          <w:lang w:eastAsia="zh-CN"/>
        </w:rPr>
        <w:t>（以下无特殊说明，币种均为人民币），</w:t>
      </w:r>
      <w:r>
        <w:rPr>
          <w:rFonts w:hint="eastAsia" w:ascii="仿宋" w:hAnsi="仿宋" w:eastAsia="仿宋" w:cs="仿宋"/>
          <w:b w:val="0"/>
          <w:bCs w:val="0"/>
          <w:color w:val="000000"/>
          <w:spacing w:val="15"/>
          <w:kern w:val="0"/>
          <w:sz w:val="32"/>
          <w:szCs w:val="32"/>
        </w:rPr>
        <w:t>企业类型为</w:t>
      </w:r>
      <w:r>
        <w:rPr>
          <w:rFonts w:hint="eastAsia" w:ascii="仿宋" w:hAnsi="仿宋" w:eastAsia="仿宋" w:cs="仿宋"/>
          <w:b w:val="0"/>
          <w:bCs w:val="0"/>
          <w:color w:val="000000"/>
          <w:spacing w:val="15"/>
          <w:kern w:val="0"/>
          <w:sz w:val="32"/>
          <w:szCs w:val="32"/>
          <w:lang w:val="en-US" w:eastAsia="zh-CN"/>
        </w:rPr>
        <w:t>有限责任公司</w:t>
      </w:r>
      <w:r>
        <w:rPr>
          <w:rFonts w:hint="eastAsia" w:ascii="仿宋" w:hAnsi="仿宋" w:eastAsia="仿宋" w:cs="仿宋"/>
          <w:b w:val="0"/>
          <w:bCs w:val="0"/>
          <w:color w:val="000000"/>
          <w:spacing w:val="15"/>
          <w:kern w:val="0"/>
          <w:sz w:val="32"/>
          <w:szCs w:val="32"/>
        </w:rPr>
        <w:t>，法定代表人为</w:t>
      </w:r>
      <w:r>
        <w:rPr>
          <w:rFonts w:hint="eastAsia" w:ascii="仿宋" w:hAnsi="仿宋" w:eastAsia="仿宋" w:cs="仿宋"/>
          <w:b w:val="0"/>
          <w:bCs w:val="0"/>
          <w:color w:val="000000"/>
          <w:spacing w:val="15"/>
          <w:kern w:val="0"/>
          <w:sz w:val="32"/>
          <w:szCs w:val="32"/>
          <w:lang w:val="en-US" w:eastAsia="zh-CN"/>
        </w:rPr>
        <w:t>赵亚平</w:t>
      </w:r>
      <w:r>
        <w:rPr>
          <w:rFonts w:hint="eastAsia" w:ascii="仿宋" w:hAnsi="仿宋" w:eastAsia="仿宋" w:cs="仿宋"/>
          <w:b w:val="0"/>
          <w:bCs w:val="0"/>
          <w:color w:val="000000"/>
          <w:spacing w:val="15"/>
          <w:kern w:val="0"/>
          <w:sz w:val="32"/>
          <w:szCs w:val="32"/>
        </w:rPr>
        <w:t>，注册地</w:t>
      </w:r>
      <w:r>
        <w:rPr>
          <w:rFonts w:hint="eastAsia" w:ascii="仿宋" w:hAnsi="仿宋" w:eastAsia="仿宋" w:cs="仿宋"/>
          <w:b w:val="0"/>
          <w:bCs w:val="0"/>
          <w:color w:val="000000"/>
          <w:spacing w:val="15"/>
          <w:kern w:val="0"/>
          <w:sz w:val="32"/>
          <w:szCs w:val="32"/>
          <w:lang w:val="en-US" w:eastAsia="zh-CN"/>
        </w:rPr>
        <w:t>址为深圳市宝安区石岩街道上屋村委径贝村松白路东侧合志和厂区轻工厂房，</w:t>
      </w:r>
      <w:r>
        <w:rPr>
          <w:rFonts w:hint="eastAsia" w:ascii="仿宋" w:hAnsi="仿宋" w:eastAsia="仿宋" w:cs="仿宋"/>
          <w:b w:val="0"/>
          <w:bCs w:val="0"/>
          <w:color w:val="000000"/>
          <w:spacing w:val="15"/>
          <w:kern w:val="0"/>
          <w:sz w:val="32"/>
          <w:szCs w:val="32"/>
        </w:rPr>
        <w:t>营业期限为</w:t>
      </w:r>
      <w:r>
        <w:rPr>
          <w:rFonts w:hint="eastAsia" w:ascii="仿宋" w:hAnsi="仿宋" w:eastAsia="仿宋" w:cs="仿宋"/>
          <w:b w:val="0"/>
          <w:bCs w:val="0"/>
          <w:color w:val="000000"/>
          <w:spacing w:val="15"/>
          <w:kern w:val="0"/>
          <w:sz w:val="32"/>
          <w:szCs w:val="32"/>
          <w:lang w:eastAsia="zh-CN"/>
        </w:rPr>
        <w:t>永续经营</w:t>
      </w:r>
      <w:r>
        <w:rPr>
          <w:rFonts w:hint="eastAsia" w:ascii="仿宋" w:hAnsi="仿宋" w:eastAsia="仿宋" w:cs="仿宋"/>
          <w:b w:val="0"/>
          <w:bCs w:val="0"/>
          <w:color w:val="000000"/>
          <w:spacing w:val="15"/>
          <w:kern w:val="0"/>
          <w:sz w:val="32"/>
          <w:szCs w:val="32"/>
        </w:rPr>
        <w:t>。截至目前，根据在深圳市市场监督管理局网站查询结果，</w:t>
      </w:r>
      <w:r>
        <w:rPr>
          <w:rFonts w:hint="eastAsia" w:ascii="仿宋" w:hAnsi="仿宋" w:eastAsia="仿宋" w:cs="仿宋"/>
          <w:b w:val="0"/>
          <w:bCs w:val="0"/>
          <w:color w:val="000000"/>
          <w:spacing w:val="15"/>
          <w:kern w:val="0"/>
          <w:sz w:val="32"/>
          <w:szCs w:val="32"/>
          <w:lang w:eastAsia="zh-CN"/>
        </w:rPr>
        <w:t>合志和公司</w:t>
      </w:r>
      <w:r>
        <w:rPr>
          <w:rFonts w:hint="eastAsia" w:ascii="仿宋" w:hAnsi="仿宋" w:eastAsia="仿宋" w:cs="仿宋"/>
          <w:b w:val="0"/>
          <w:bCs w:val="0"/>
          <w:color w:val="000000"/>
          <w:spacing w:val="15"/>
          <w:kern w:val="0"/>
          <w:sz w:val="32"/>
          <w:szCs w:val="32"/>
          <w:lang w:val="en-US" w:eastAsia="zh-CN"/>
        </w:rPr>
        <w:t>股东</w:t>
      </w:r>
      <w:r>
        <w:rPr>
          <w:rFonts w:hint="eastAsia" w:ascii="仿宋" w:hAnsi="仿宋" w:eastAsia="仿宋" w:cs="仿宋"/>
          <w:b w:val="0"/>
          <w:bCs w:val="0"/>
          <w:color w:val="000000"/>
          <w:spacing w:val="15"/>
          <w:kern w:val="0"/>
          <w:sz w:val="32"/>
          <w:szCs w:val="32"/>
        </w:rPr>
        <w:t>及出资情况具体如下表：</w:t>
      </w:r>
    </w:p>
    <w:tbl>
      <w:tblPr>
        <w:tblStyle w:val="8"/>
        <w:tblW w:w="8497" w:type="dxa"/>
        <w:jc w:val="center"/>
        <w:shd w:val="clear" w:color="auto" w:fill="FFFFFF"/>
        <w:tblLayout w:type="autofit"/>
        <w:tblCellMar>
          <w:top w:w="0" w:type="dxa"/>
          <w:left w:w="0" w:type="dxa"/>
          <w:bottom w:w="0" w:type="dxa"/>
          <w:right w:w="0" w:type="dxa"/>
        </w:tblCellMar>
      </w:tblPr>
      <w:tblGrid>
        <w:gridCol w:w="2803"/>
        <w:gridCol w:w="1750"/>
        <w:gridCol w:w="1676"/>
        <w:gridCol w:w="2268"/>
      </w:tblGrid>
      <w:tr w14:paraId="121FFE19">
        <w:tblPrEx>
          <w:shd w:val="clear" w:color="auto" w:fill="FFFFFF"/>
          <w:tblCellMar>
            <w:top w:w="0" w:type="dxa"/>
            <w:left w:w="0" w:type="dxa"/>
            <w:bottom w:w="0" w:type="dxa"/>
            <w:right w:w="0" w:type="dxa"/>
          </w:tblCellMar>
        </w:tblPrEx>
        <w:trPr>
          <w:trHeight w:val="465" w:hRule="atLeast"/>
          <w:jc w:val="center"/>
        </w:trPr>
        <w:tc>
          <w:tcPr>
            <w:tcW w:w="2803" w:type="dxa"/>
            <w:tcBorders>
              <w:top w:val="single" w:color="auto" w:sz="6" w:space="0"/>
              <w:left w:val="single" w:color="auto" w:sz="6" w:space="0"/>
              <w:bottom w:val="single" w:color="auto" w:sz="4" w:space="0"/>
              <w:right w:val="single" w:color="auto" w:sz="6" w:space="0"/>
            </w:tcBorders>
            <w:shd w:val="clear" w:color="auto" w:fill="FFFFFF"/>
            <w:tcMar>
              <w:top w:w="0" w:type="dxa"/>
              <w:left w:w="105" w:type="dxa"/>
              <w:bottom w:w="0" w:type="dxa"/>
              <w:right w:w="105" w:type="dxa"/>
            </w:tcMar>
            <w:vAlign w:val="center"/>
          </w:tcPr>
          <w:p w14:paraId="0124990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3E3E3E"/>
                <w:spacing w:val="8"/>
                <w:kern w:val="0"/>
                <w:sz w:val="21"/>
                <w:szCs w:val="21"/>
              </w:rPr>
            </w:pPr>
            <w:r>
              <w:rPr>
                <w:rFonts w:hint="eastAsia" w:ascii="仿宋" w:hAnsi="仿宋" w:eastAsia="仿宋" w:cs="仿宋"/>
                <w:b/>
                <w:bCs/>
                <w:color w:val="000000"/>
                <w:spacing w:val="15"/>
                <w:kern w:val="0"/>
                <w:sz w:val="21"/>
                <w:szCs w:val="21"/>
                <w:shd w:val="clear" w:color="auto" w:fill="FFFFFF"/>
              </w:rPr>
              <w:t>股东名称</w:t>
            </w:r>
          </w:p>
        </w:tc>
        <w:tc>
          <w:tcPr>
            <w:tcW w:w="1750" w:type="dxa"/>
            <w:tcBorders>
              <w:top w:val="single" w:color="auto" w:sz="6" w:space="0"/>
              <w:left w:val="single" w:color="auto" w:sz="6" w:space="0"/>
              <w:bottom w:val="single" w:color="auto" w:sz="4" w:space="0"/>
              <w:right w:val="single" w:color="auto" w:sz="6" w:space="0"/>
            </w:tcBorders>
            <w:shd w:val="clear" w:color="auto" w:fill="FFFFFF"/>
            <w:tcMar>
              <w:top w:w="0" w:type="dxa"/>
              <w:left w:w="105" w:type="dxa"/>
              <w:bottom w:w="0" w:type="dxa"/>
              <w:right w:w="105" w:type="dxa"/>
            </w:tcMar>
            <w:vAlign w:val="center"/>
          </w:tcPr>
          <w:p w14:paraId="3CC2FB2D">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3E3E3E"/>
                <w:spacing w:val="8"/>
                <w:kern w:val="0"/>
                <w:sz w:val="21"/>
                <w:szCs w:val="21"/>
                <w:lang w:eastAsia="zh-CN"/>
              </w:rPr>
            </w:pPr>
            <w:r>
              <w:rPr>
                <w:rFonts w:hint="eastAsia" w:ascii="仿宋" w:hAnsi="仿宋" w:eastAsia="仿宋" w:cs="仿宋"/>
                <w:b/>
                <w:bCs/>
                <w:color w:val="000000"/>
                <w:spacing w:val="15"/>
                <w:kern w:val="0"/>
                <w:sz w:val="21"/>
                <w:szCs w:val="21"/>
                <w:shd w:val="clear" w:color="auto" w:fill="FFFFFF"/>
              </w:rPr>
              <w:t>出资额</w:t>
            </w:r>
            <w:r>
              <w:rPr>
                <w:rFonts w:hint="eastAsia" w:ascii="仿宋" w:hAnsi="仿宋" w:eastAsia="仿宋" w:cs="仿宋"/>
                <w:b/>
                <w:bCs/>
                <w:color w:val="000000"/>
                <w:spacing w:val="15"/>
                <w:kern w:val="0"/>
                <w:sz w:val="21"/>
                <w:szCs w:val="21"/>
                <w:shd w:val="clear" w:color="auto" w:fill="FFFFFF"/>
                <w:lang w:eastAsia="zh-CN"/>
              </w:rPr>
              <w:t>（万元）</w:t>
            </w:r>
          </w:p>
        </w:tc>
        <w:tc>
          <w:tcPr>
            <w:tcW w:w="1676" w:type="dxa"/>
            <w:tcBorders>
              <w:top w:val="single" w:color="auto" w:sz="6" w:space="0"/>
              <w:left w:val="single" w:color="auto" w:sz="6" w:space="0"/>
              <w:bottom w:val="single" w:color="auto" w:sz="4" w:space="0"/>
              <w:right w:val="single" w:color="auto" w:sz="6" w:space="0"/>
            </w:tcBorders>
            <w:shd w:val="clear" w:color="auto" w:fill="FFFFFF"/>
            <w:tcMar>
              <w:top w:w="0" w:type="dxa"/>
              <w:left w:w="105" w:type="dxa"/>
              <w:bottom w:w="0" w:type="dxa"/>
              <w:right w:w="105" w:type="dxa"/>
            </w:tcMar>
            <w:vAlign w:val="center"/>
          </w:tcPr>
          <w:p w14:paraId="240D9CC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3E3E3E"/>
                <w:spacing w:val="8"/>
                <w:kern w:val="0"/>
                <w:sz w:val="21"/>
                <w:szCs w:val="21"/>
              </w:rPr>
            </w:pPr>
            <w:r>
              <w:rPr>
                <w:rFonts w:hint="eastAsia" w:ascii="仿宋" w:hAnsi="仿宋" w:eastAsia="仿宋" w:cs="仿宋"/>
                <w:b/>
                <w:bCs/>
                <w:color w:val="000000"/>
                <w:spacing w:val="15"/>
                <w:kern w:val="0"/>
                <w:sz w:val="21"/>
                <w:szCs w:val="21"/>
                <w:shd w:val="clear" w:color="auto" w:fill="FFFFFF"/>
              </w:rPr>
              <w:t>出资比例</w:t>
            </w:r>
          </w:p>
        </w:tc>
        <w:tc>
          <w:tcPr>
            <w:tcW w:w="2268" w:type="dxa"/>
            <w:tcBorders>
              <w:top w:val="single" w:color="auto" w:sz="6" w:space="0"/>
              <w:left w:val="single" w:color="auto" w:sz="6" w:space="0"/>
              <w:bottom w:val="single" w:color="auto" w:sz="4" w:space="0"/>
              <w:right w:val="single" w:color="auto" w:sz="6" w:space="0"/>
            </w:tcBorders>
            <w:shd w:val="clear" w:color="auto" w:fill="FFFFFF"/>
            <w:tcMar>
              <w:top w:w="0" w:type="dxa"/>
              <w:left w:w="105" w:type="dxa"/>
              <w:bottom w:w="0" w:type="dxa"/>
              <w:right w:w="105" w:type="dxa"/>
            </w:tcMar>
            <w:vAlign w:val="center"/>
          </w:tcPr>
          <w:p w14:paraId="124C254D">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color w:val="3E3E3E"/>
                <w:spacing w:val="8"/>
                <w:kern w:val="0"/>
                <w:sz w:val="21"/>
                <w:szCs w:val="21"/>
              </w:rPr>
            </w:pPr>
            <w:r>
              <w:rPr>
                <w:rFonts w:hint="eastAsia" w:ascii="仿宋" w:hAnsi="仿宋" w:eastAsia="仿宋" w:cs="仿宋"/>
                <w:b/>
                <w:bCs/>
                <w:color w:val="000000"/>
                <w:spacing w:val="15"/>
                <w:kern w:val="0"/>
                <w:sz w:val="21"/>
                <w:szCs w:val="21"/>
                <w:shd w:val="clear" w:color="auto" w:fill="FFFFFF"/>
              </w:rPr>
              <w:t>股东类别</w:t>
            </w:r>
          </w:p>
        </w:tc>
      </w:tr>
      <w:tr w14:paraId="1216BE50">
        <w:tblPrEx>
          <w:tblCellMar>
            <w:top w:w="0" w:type="dxa"/>
            <w:left w:w="0" w:type="dxa"/>
            <w:bottom w:w="0" w:type="dxa"/>
            <w:right w:w="0" w:type="dxa"/>
          </w:tblCellMar>
        </w:tblPrEx>
        <w:trPr>
          <w:jc w:val="center"/>
        </w:trPr>
        <w:tc>
          <w:tcPr>
            <w:tcW w:w="28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772497D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仿宋" w:hAnsi="仿宋" w:eastAsia="仿宋" w:cs="仿宋"/>
                <w:b w:val="0"/>
                <w:bCs w:val="0"/>
                <w:color w:val="3E3E3E"/>
                <w:spacing w:val="8"/>
                <w:kern w:val="0"/>
                <w:sz w:val="21"/>
                <w:szCs w:val="21"/>
                <w:lang w:val="en-US" w:eastAsia="zh-CN"/>
              </w:rPr>
            </w:pPr>
            <w:r>
              <w:rPr>
                <w:rFonts w:hint="eastAsia" w:ascii="仿宋" w:hAnsi="仿宋" w:eastAsia="仿宋" w:cs="仿宋"/>
                <w:b w:val="0"/>
                <w:bCs w:val="0"/>
                <w:color w:val="3E3E3E"/>
                <w:spacing w:val="8"/>
                <w:kern w:val="0"/>
                <w:sz w:val="21"/>
                <w:szCs w:val="21"/>
                <w:lang w:val="en-US" w:eastAsia="zh-CN"/>
              </w:rPr>
              <w:t>深圳市海威机电有限公司</w:t>
            </w:r>
          </w:p>
        </w:tc>
        <w:tc>
          <w:tcPr>
            <w:tcW w:w="17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5986E755">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仿宋" w:hAnsi="仿宋" w:eastAsia="仿宋" w:cs="仿宋"/>
                <w:b w:val="0"/>
                <w:bCs w:val="0"/>
                <w:color w:val="3E3E3E"/>
                <w:spacing w:val="8"/>
                <w:kern w:val="0"/>
                <w:sz w:val="21"/>
                <w:szCs w:val="21"/>
                <w:lang w:val="en-US" w:eastAsia="zh-CN"/>
              </w:rPr>
            </w:pPr>
            <w:r>
              <w:rPr>
                <w:rFonts w:hint="eastAsia" w:ascii="仿宋" w:hAnsi="仿宋" w:eastAsia="仿宋" w:cs="仿宋"/>
                <w:b w:val="0"/>
                <w:bCs w:val="0"/>
                <w:color w:val="3E3E3E"/>
                <w:spacing w:val="8"/>
                <w:kern w:val="0"/>
                <w:sz w:val="21"/>
                <w:szCs w:val="21"/>
                <w:lang w:val="en-US" w:eastAsia="zh-CN"/>
              </w:rPr>
              <w:t>980</w:t>
            </w:r>
          </w:p>
        </w:tc>
        <w:tc>
          <w:tcPr>
            <w:tcW w:w="1676"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51021E8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val="0"/>
                <w:bCs w:val="0"/>
                <w:color w:val="3E3E3E"/>
                <w:spacing w:val="8"/>
                <w:kern w:val="0"/>
                <w:sz w:val="21"/>
                <w:szCs w:val="21"/>
                <w:lang w:val="en-US" w:eastAsia="zh-CN"/>
              </w:rPr>
            </w:pPr>
            <w:r>
              <w:rPr>
                <w:rFonts w:hint="eastAsia" w:ascii="仿宋" w:hAnsi="仿宋" w:eastAsia="仿宋" w:cs="仿宋"/>
                <w:b w:val="0"/>
                <w:bCs w:val="0"/>
                <w:color w:val="3E3E3E"/>
                <w:spacing w:val="8"/>
                <w:kern w:val="0"/>
                <w:sz w:val="21"/>
                <w:szCs w:val="21"/>
                <w:lang w:val="en-US" w:eastAsia="zh-CN"/>
              </w:rPr>
              <w:t>98%</w:t>
            </w:r>
          </w:p>
        </w:tc>
        <w:tc>
          <w:tcPr>
            <w:tcW w:w="2268"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0A130C47">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val="0"/>
                <w:bCs w:val="0"/>
                <w:color w:val="3E3E3E"/>
                <w:spacing w:val="8"/>
                <w:kern w:val="0"/>
                <w:sz w:val="21"/>
                <w:szCs w:val="21"/>
                <w:lang w:eastAsia="zh-CN"/>
              </w:rPr>
            </w:pPr>
            <w:r>
              <w:rPr>
                <w:rFonts w:hint="eastAsia" w:ascii="仿宋" w:hAnsi="仿宋" w:eastAsia="仿宋" w:cs="仿宋"/>
                <w:b w:val="0"/>
                <w:bCs w:val="0"/>
                <w:color w:val="3E3E3E"/>
                <w:spacing w:val="8"/>
                <w:kern w:val="0"/>
                <w:sz w:val="21"/>
                <w:szCs w:val="21"/>
                <w:lang w:val="en-US" w:eastAsia="zh-CN"/>
              </w:rPr>
              <w:t>法人</w:t>
            </w:r>
            <w:r>
              <w:rPr>
                <w:rFonts w:hint="eastAsia" w:ascii="仿宋" w:hAnsi="仿宋" w:eastAsia="仿宋" w:cs="仿宋"/>
                <w:b w:val="0"/>
                <w:bCs w:val="0"/>
                <w:color w:val="3E3E3E"/>
                <w:spacing w:val="8"/>
                <w:kern w:val="0"/>
                <w:sz w:val="21"/>
                <w:szCs w:val="21"/>
                <w:lang w:eastAsia="zh-CN"/>
              </w:rPr>
              <w:t>股东</w:t>
            </w:r>
          </w:p>
        </w:tc>
      </w:tr>
      <w:tr w14:paraId="5DB0E3FF">
        <w:tblPrEx>
          <w:tblCellMar>
            <w:top w:w="0" w:type="dxa"/>
            <w:left w:w="0" w:type="dxa"/>
            <w:bottom w:w="0" w:type="dxa"/>
            <w:right w:w="0" w:type="dxa"/>
          </w:tblCellMar>
        </w:tblPrEx>
        <w:trPr>
          <w:trHeight w:val="637" w:hRule="atLeast"/>
          <w:jc w:val="center"/>
        </w:trPr>
        <w:tc>
          <w:tcPr>
            <w:tcW w:w="28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45331EE1">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仿宋" w:hAnsi="仿宋" w:eastAsia="仿宋" w:cs="仿宋"/>
                <w:b w:val="0"/>
                <w:bCs w:val="0"/>
                <w:color w:val="3E3E3E"/>
                <w:spacing w:val="8"/>
                <w:kern w:val="0"/>
                <w:sz w:val="21"/>
                <w:szCs w:val="21"/>
                <w:lang w:val="en-US" w:eastAsia="zh-CN"/>
              </w:rPr>
            </w:pPr>
            <w:r>
              <w:rPr>
                <w:rFonts w:hint="eastAsia" w:ascii="仿宋" w:hAnsi="仿宋" w:eastAsia="仿宋" w:cs="仿宋"/>
                <w:b w:val="0"/>
                <w:bCs w:val="0"/>
                <w:color w:val="3E3E3E"/>
                <w:spacing w:val="8"/>
                <w:kern w:val="0"/>
                <w:sz w:val="21"/>
                <w:szCs w:val="21"/>
                <w:lang w:val="en-US" w:eastAsia="zh-CN"/>
              </w:rPr>
              <w:t>萧进艺</w:t>
            </w:r>
          </w:p>
        </w:tc>
        <w:tc>
          <w:tcPr>
            <w:tcW w:w="175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30897A57">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仿宋" w:hAnsi="仿宋" w:eastAsia="仿宋" w:cs="仿宋"/>
                <w:b w:val="0"/>
                <w:bCs w:val="0"/>
                <w:color w:val="3E3E3E"/>
                <w:spacing w:val="8"/>
                <w:kern w:val="0"/>
                <w:sz w:val="21"/>
                <w:szCs w:val="21"/>
                <w:lang w:val="en-US" w:eastAsia="zh-CN"/>
              </w:rPr>
            </w:pPr>
            <w:r>
              <w:rPr>
                <w:rFonts w:hint="eastAsia" w:ascii="仿宋" w:hAnsi="仿宋" w:eastAsia="仿宋" w:cs="仿宋"/>
                <w:b w:val="0"/>
                <w:bCs w:val="0"/>
                <w:color w:val="3E3E3E"/>
                <w:spacing w:val="8"/>
                <w:kern w:val="0"/>
                <w:sz w:val="21"/>
                <w:szCs w:val="21"/>
                <w:lang w:val="en-US" w:eastAsia="zh-CN"/>
              </w:rPr>
              <w:t>20</w:t>
            </w:r>
          </w:p>
        </w:tc>
        <w:tc>
          <w:tcPr>
            <w:tcW w:w="1676"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5B63CC07">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val="0"/>
                <w:bCs w:val="0"/>
                <w:color w:val="3E3E3E"/>
                <w:spacing w:val="8"/>
                <w:kern w:val="0"/>
                <w:sz w:val="21"/>
                <w:szCs w:val="21"/>
                <w:lang w:val="en-US" w:eastAsia="zh-CN"/>
              </w:rPr>
            </w:pPr>
            <w:r>
              <w:rPr>
                <w:rFonts w:hint="eastAsia" w:ascii="仿宋" w:hAnsi="仿宋" w:eastAsia="仿宋" w:cs="仿宋"/>
                <w:b w:val="0"/>
                <w:bCs w:val="0"/>
                <w:color w:val="3E3E3E"/>
                <w:spacing w:val="8"/>
                <w:kern w:val="0"/>
                <w:sz w:val="21"/>
                <w:szCs w:val="21"/>
                <w:lang w:val="en-US" w:eastAsia="zh-CN"/>
              </w:rPr>
              <w:t>2%</w:t>
            </w:r>
          </w:p>
        </w:tc>
        <w:tc>
          <w:tcPr>
            <w:tcW w:w="2268"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center"/>
          </w:tcPr>
          <w:p w14:paraId="7E993CE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 w:hAnsi="仿宋" w:eastAsia="仿宋" w:cs="仿宋"/>
                <w:b w:val="0"/>
                <w:bCs w:val="0"/>
                <w:color w:val="3E3E3E"/>
                <w:spacing w:val="8"/>
                <w:kern w:val="0"/>
                <w:sz w:val="21"/>
                <w:szCs w:val="21"/>
              </w:rPr>
            </w:pPr>
            <w:r>
              <w:rPr>
                <w:rFonts w:hint="eastAsia" w:ascii="仿宋" w:hAnsi="仿宋" w:eastAsia="仿宋" w:cs="仿宋"/>
                <w:b w:val="0"/>
                <w:bCs w:val="0"/>
                <w:color w:val="3E3E3E"/>
                <w:spacing w:val="8"/>
                <w:kern w:val="0"/>
                <w:sz w:val="21"/>
                <w:szCs w:val="21"/>
                <w:lang w:eastAsia="zh-CN"/>
              </w:rPr>
              <w:t>自然人股东</w:t>
            </w:r>
          </w:p>
        </w:tc>
      </w:tr>
    </w:tbl>
    <w:p w14:paraId="5191A61B">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85"/>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lang w:eastAsia="zh-CN"/>
        </w:rPr>
        <w:t>合志和公司</w:t>
      </w:r>
      <w:r>
        <w:rPr>
          <w:rFonts w:hint="eastAsia" w:ascii="仿宋" w:hAnsi="仿宋" w:eastAsia="仿宋" w:cs="仿宋"/>
          <w:b w:val="0"/>
          <w:bCs w:val="0"/>
          <w:color w:val="000000"/>
          <w:spacing w:val="15"/>
          <w:kern w:val="0"/>
          <w:sz w:val="32"/>
          <w:szCs w:val="32"/>
        </w:rPr>
        <w:t>在工商行政管理机关登记</w:t>
      </w:r>
      <w:r>
        <w:rPr>
          <w:rFonts w:hint="eastAsia" w:ascii="仿宋" w:hAnsi="仿宋" w:eastAsia="仿宋" w:cs="仿宋"/>
          <w:b w:val="0"/>
          <w:bCs w:val="0"/>
          <w:color w:val="3E3E3E"/>
          <w:spacing w:val="8"/>
          <w:kern w:val="0"/>
          <w:sz w:val="32"/>
          <w:szCs w:val="32"/>
        </w:rPr>
        <w:t>的经营范围为“一般经营项目是：兴办实业（具体项目另行申报）；自有房屋租赁；物业管理；房地产经纪；国内贸易；货物及技术进出口；软件开发；网络技术开发（不含互联网上网服务）；信息系统集成服务；信息技术咨询服务；市场营销策划；企业管理咨询（不含人才中介服务）；企业策划；从事广告业务；经营电子商务（涉及前置性行政许可的，须取得前置性行政许可文件后方可经营）。（法律、行政法规或者国务院决定禁止和规定在登记前须经批准的项目除外），许可经营项目是：停车场服务；仓储服务；普通货运（凭有效道路运输经营许可证经营）；预包装食品（不含复热预包装食品）、乳制品（不含婴幼儿配方乳粉）的批发兼零售；保健食品的销售；预包装食品网上销售；互联网信息服务。”</w:t>
      </w:r>
    </w:p>
    <w:p w14:paraId="5A7F5ABC">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585"/>
        <w:textAlignment w:val="auto"/>
        <w:rPr>
          <w:rFonts w:hint="eastAsia" w:ascii="黑体" w:hAnsi="黑体" w:eastAsia="黑体" w:cs="黑体"/>
          <w:b w:val="0"/>
          <w:bCs w:val="0"/>
          <w:color w:val="3E3E3E"/>
          <w:spacing w:val="8"/>
          <w:kern w:val="0"/>
          <w:sz w:val="32"/>
          <w:szCs w:val="32"/>
        </w:rPr>
      </w:pPr>
      <w:r>
        <w:rPr>
          <w:rFonts w:hint="eastAsia" w:ascii="黑体" w:hAnsi="黑体" w:eastAsia="黑体" w:cs="黑体"/>
          <w:b w:val="0"/>
          <w:bCs w:val="0"/>
          <w:color w:val="000000"/>
          <w:spacing w:val="15"/>
          <w:kern w:val="0"/>
          <w:sz w:val="32"/>
          <w:szCs w:val="32"/>
          <w:lang w:eastAsia="zh-CN"/>
        </w:rPr>
        <w:t>二</w:t>
      </w:r>
      <w:r>
        <w:rPr>
          <w:rFonts w:hint="eastAsia" w:ascii="黑体" w:hAnsi="黑体" w:eastAsia="黑体" w:cs="黑体"/>
          <w:b w:val="0"/>
          <w:bCs w:val="0"/>
          <w:color w:val="000000"/>
          <w:spacing w:val="15"/>
          <w:kern w:val="0"/>
          <w:sz w:val="32"/>
          <w:szCs w:val="32"/>
        </w:rPr>
        <w:t>、财务资料接管等情况</w:t>
      </w:r>
    </w:p>
    <w:p w14:paraId="56DBF2F0">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shd w:val="clear" w:color="auto" w:fill="FFFFFF"/>
          <w:lang w:eastAsia="zh-CN"/>
        </w:rPr>
        <w:t>合志和公司的财务资料</w:t>
      </w:r>
      <w:r>
        <w:rPr>
          <w:rFonts w:hint="eastAsia" w:ascii="仿宋" w:hAnsi="仿宋" w:eastAsia="仿宋" w:cs="仿宋"/>
          <w:b w:val="0"/>
          <w:bCs w:val="0"/>
          <w:color w:val="000000"/>
          <w:spacing w:val="15"/>
          <w:kern w:val="0"/>
          <w:sz w:val="32"/>
          <w:szCs w:val="32"/>
          <w:shd w:val="clear" w:color="auto" w:fill="FFFFFF"/>
        </w:rPr>
        <w:t>目前存放在</w:t>
      </w:r>
      <w:r>
        <w:rPr>
          <w:rFonts w:hint="eastAsia" w:ascii="仿宋" w:hAnsi="仿宋" w:eastAsia="仿宋" w:cs="仿宋"/>
          <w:b w:val="0"/>
          <w:bCs w:val="0"/>
          <w:color w:val="000000"/>
          <w:spacing w:val="15"/>
          <w:kern w:val="0"/>
          <w:sz w:val="32"/>
          <w:szCs w:val="32"/>
          <w:shd w:val="clear" w:color="auto" w:fill="FFFFFF"/>
          <w:lang w:val="en-US" w:eastAsia="zh-CN"/>
        </w:rPr>
        <w:t>合志和公司办公楼内。据合志和公司财务人员反馈，现保存的财务资料为2022年至今的会计凭证，67册（以实际清点和接管的为准），另有2009年至今的电子帐套。</w:t>
      </w:r>
    </w:p>
    <w:p w14:paraId="54D06E3B">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672" w:firstLineChars="200"/>
        <w:textAlignment w:val="auto"/>
        <w:rPr>
          <w:rFonts w:hint="eastAsia" w:ascii="黑体" w:hAnsi="黑体" w:eastAsia="黑体" w:cs="黑体"/>
          <w:b w:val="0"/>
          <w:bCs w:val="0"/>
          <w:color w:val="3E3E3E"/>
          <w:spacing w:val="8"/>
          <w:kern w:val="0"/>
          <w:sz w:val="32"/>
          <w:szCs w:val="32"/>
        </w:rPr>
      </w:pPr>
      <w:r>
        <w:rPr>
          <w:rFonts w:hint="eastAsia" w:ascii="黑体" w:hAnsi="黑体" w:eastAsia="黑体" w:cs="黑体"/>
          <w:b w:val="0"/>
          <w:bCs w:val="0"/>
          <w:color w:val="3E3E3E"/>
          <w:spacing w:val="8"/>
          <w:kern w:val="0"/>
          <w:sz w:val="32"/>
          <w:szCs w:val="32"/>
          <w:lang w:eastAsia="zh-CN"/>
        </w:rPr>
        <w:t>三</w:t>
      </w:r>
      <w:r>
        <w:rPr>
          <w:rFonts w:hint="eastAsia" w:ascii="黑体" w:hAnsi="黑体" w:eastAsia="黑体" w:cs="黑体"/>
          <w:b w:val="0"/>
          <w:bCs w:val="0"/>
          <w:color w:val="3E3E3E"/>
          <w:spacing w:val="8"/>
          <w:kern w:val="0"/>
          <w:sz w:val="32"/>
          <w:szCs w:val="32"/>
        </w:rPr>
        <w:t>、报名条件</w:t>
      </w:r>
    </w:p>
    <w:p w14:paraId="0AED9CD9">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1.报名单位办事机构所在地位于深圳市，并具备行业主管部门颁发的有效职业资质；</w:t>
      </w:r>
    </w:p>
    <w:p w14:paraId="4B33EEA5">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2.报名单位被编入《深圳市破产管理人协会破产案件审计机构名册》；</w:t>
      </w:r>
    </w:p>
    <w:p w14:paraId="5FC44EEE">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3.报名单位在本公告发布之日前至少曾为3宗破产清算或破产重整案件提供过审计服务（以委托合同、审计报告正本为据）；报名单位至少有5名以上的注册会计师；</w:t>
      </w:r>
    </w:p>
    <w:p w14:paraId="5160D62A">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4.报名单位对拟派出项目团队负责人、工作人员人数、及其人员具备的技术职称、资格证书需满足本项目的工作质量及时间要求，团队工作人员中不得少于2名注册会计师；</w:t>
      </w:r>
    </w:p>
    <w:p w14:paraId="4EAA980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5.报名单位及其从业人员近3年内没有违法违规等记录；</w:t>
      </w:r>
    </w:p>
    <w:p w14:paraId="4F06B503">
      <w:pPr>
        <w:keepNext w:val="0"/>
        <w:keepLines w:val="0"/>
        <w:pageBreakBefore w:val="0"/>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6.报名单位不存在利害关系，不存在法律法规规定的回避情形；</w:t>
      </w:r>
    </w:p>
    <w:p w14:paraId="64171D35">
      <w:pPr>
        <w:keepNext w:val="0"/>
        <w:keepLines w:val="0"/>
        <w:pageBreakBefore w:val="0"/>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000000"/>
          <w:spacing w:val="15"/>
          <w:kern w:val="0"/>
          <w:sz w:val="32"/>
          <w:szCs w:val="32"/>
        </w:rPr>
      </w:pPr>
      <w:r>
        <w:rPr>
          <w:rFonts w:hint="eastAsia" w:ascii="仿宋" w:hAnsi="仿宋" w:eastAsia="仿宋" w:cs="仿宋"/>
          <w:b w:val="0"/>
          <w:bCs w:val="0"/>
          <w:color w:val="000000"/>
          <w:spacing w:val="15"/>
          <w:kern w:val="0"/>
          <w:sz w:val="32"/>
          <w:szCs w:val="32"/>
        </w:rPr>
        <w:t>7.报名单位可在管理人选定审计机构之日起一个月内完成审计工作并出具审计报告，审计机构无故超期的，管理人有权解除委托协议并要求退还已支付的审计费用。</w:t>
      </w:r>
    </w:p>
    <w:p w14:paraId="1C7FEB90">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黑体" w:hAnsi="黑体" w:eastAsia="黑体" w:cs="黑体"/>
          <w:b w:val="0"/>
          <w:bCs w:val="0"/>
          <w:color w:val="3E3E3E"/>
          <w:spacing w:val="8"/>
          <w:kern w:val="0"/>
          <w:sz w:val="32"/>
          <w:szCs w:val="32"/>
        </w:rPr>
      </w:pPr>
      <w:r>
        <w:rPr>
          <w:rFonts w:hint="eastAsia" w:ascii="黑体" w:hAnsi="黑体" w:eastAsia="黑体" w:cs="黑体"/>
          <w:b w:val="0"/>
          <w:bCs w:val="0"/>
          <w:color w:val="000000"/>
          <w:spacing w:val="15"/>
          <w:kern w:val="0"/>
          <w:sz w:val="32"/>
          <w:szCs w:val="32"/>
          <w:lang w:eastAsia="zh-CN"/>
        </w:rPr>
        <w:t>四</w:t>
      </w:r>
      <w:r>
        <w:rPr>
          <w:rFonts w:hint="eastAsia" w:ascii="黑体" w:hAnsi="黑体" w:eastAsia="黑体" w:cs="黑体"/>
          <w:b w:val="0"/>
          <w:bCs w:val="0"/>
          <w:color w:val="000000"/>
          <w:spacing w:val="15"/>
          <w:kern w:val="0"/>
          <w:sz w:val="32"/>
          <w:szCs w:val="32"/>
        </w:rPr>
        <w:t>、工作内容</w:t>
      </w:r>
    </w:p>
    <w:p w14:paraId="2402A734">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1.对</w:t>
      </w:r>
      <w:r>
        <w:rPr>
          <w:rFonts w:hint="eastAsia" w:ascii="仿宋" w:hAnsi="仿宋" w:eastAsia="仿宋" w:cs="仿宋"/>
          <w:b w:val="0"/>
          <w:bCs w:val="0"/>
          <w:color w:val="000000"/>
          <w:spacing w:val="15"/>
          <w:kern w:val="0"/>
          <w:sz w:val="32"/>
          <w:szCs w:val="32"/>
          <w:lang w:eastAsia="zh-CN"/>
        </w:rPr>
        <w:t>合志和公司</w:t>
      </w:r>
      <w:r>
        <w:rPr>
          <w:rFonts w:hint="eastAsia" w:ascii="仿宋" w:hAnsi="仿宋" w:eastAsia="仿宋" w:cs="仿宋"/>
          <w:b w:val="0"/>
          <w:bCs w:val="0"/>
          <w:color w:val="000000"/>
          <w:spacing w:val="15"/>
          <w:kern w:val="0"/>
          <w:sz w:val="32"/>
          <w:szCs w:val="32"/>
        </w:rPr>
        <w:t>进行破产专项审计，并出具审计报告，并包含以下内容；</w:t>
      </w:r>
    </w:p>
    <w:p w14:paraId="72ABBF45">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shd w:val="clear" w:color="auto" w:fill="FFFFFF"/>
        </w:rPr>
        <w:t>（1）按</w:t>
      </w:r>
      <w:r>
        <w:rPr>
          <w:rFonts w:hint="eastAsia" w:ascii="仿宋" w:hAnsi="仿宋" w:eastAsia="仿宋" w:cs="仿宋"/>
          <w:b w:val="0"/>
          <w:bCs w:val="0"/>
          <w:color w:val="000000"/>
          <w:spacing w:val="15"/>
          <w:kern w:val="0"/>
          <w:sz w:val="32"/>
          <w:szCs w:val="32"/>
          <w:shd w:val="clear" w:color="auto" w:fill="FFFFFF"/>
          <w:lang w:eastAsia="zh-CN"/>
        </w:rPr>
        <w:t>合志和公司</w:t>
      </w:r>
      <w:r>
        <w:rPr>
          <w:rFonts w:hint="eastAsia" w:ascii="仿宋" w:hAnsi="仿宋" w:eastAsia="仿宋" w:cs="仿宋"/>
          <w:b w:val="0"/>
          <w:bCs w:val="0"/>
          <w:color w:val="000000"/>
          <w:spacing w:val="15"/>
          <w:kern w:val="0"/>
          <w:sz w:val="32"/>
          <w:szCs w:val="32"/>
          <w:shd w:val="clear" w:color="auto" w:fill="FFFFFF"/>
        </w:rPr>
        <w:t>提供的现有材料披露：供清算审计的现有财务材料是否为全部财务资料或仅为部分财务资料；公司的财务状况，包括但不限于资产、负债、所有者权益等情况。如供清算审计的并非全部财务资料，应按现有材料进行说明。</w:t>
      </w:r>
    </w:p>
    <w:p w14:paraId="4C341BDF">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shd w:val="clear" w:color="auto" w:fill="FFFFFF"/>
        </w:rPr>
        <w:t>（2）按</w:t>
      </w:r>
      <w:r>
        <w:rPr>
          <w:rFonts w:hint="eastAsia" w:ascii="仿宋" w:hAnsi="仿宋" w:eastAsia="仿宋" w:cs="仿宋"/>
          <w:b w:val="0"/>
          <w:bCs w:val="0"/>
          <w:color w:val="000000"/>
          <w:spacing w:val="15"/>
          <w:kern w:val="0"/>
          <w:sz w:val="32"/>
          <w:szCs w:val="32"/>
          <w:shd w:val="clear" w:color="auto" w:fill="FFFFFF"/>
          <w:lang w:eastAsia="zh-CN"/>
        </w:rPr>
        <w:t>合志和公司</w:t>
      </w:r>
      <w:r>
        <w:rPr>
          <w:rFonts w:hint="eastAsia" w:ascii="仿宋" w:hAnsi="仿宋" w:eastAsia="仿宋" w:cs="仿宋"/>
          <w:b w:val="0"/>
          <w:bCs w:val="0"/>
          <w:color w:val="000000"/>
          <w:spacing w:val="15"/>
          <w:kern w:val="0"/>
          <w:sz w:val="32"/>
          <w:szCs w:val="32"/>
          <w:shd w:val="clear" w:color="auto" w:fill="FFFFFF"/>
        </w:rPr>
        <w:t>提供的现有材料分析：注册资本是否到位及其使用情况，并结合财务资料和资金流水分析是否存在虚假出资、出资不全、抽逃出资等违法情形。</w:t>
      </w:r>
    </w:p>
    <w:p w14:paraId="0104C9E6">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shd w:val="clear" w:color="auto" w:fill="FFFFFF"/>
        </w:rPr>
        <w:t>（3）按</w:t>
      </w:r>
      <w:r>
        <w:rPr>
          <w:rFonts w:hint="eastAsia" w:ascii="仿宋" w:hAnsi="仿宋" w:eastAsia="仿宋" w:cs="仿宋"/>
          <w:b w:val="0"/>
          <w:bCs w:val="0"/>
          <w:color w:val="000000"/>
          <w:spacing w:val="15"/>
          <w:kern w:val="0"/>
          <w:sz w:val="32"/>
          <w:szCs w:val="32"/>
          <w:shd w:val="clear" w:color="auto" w:fill="FFFFFF"/>
          <w:lang w:eastAsia="zh-CN"/>
        </w:rPr>
        <w:t>合志和公司</w:t>
      </w:r>
      <w:r>
        <w:rPr>
          <w:rFonts w:hint="eastAsia" w:ascii="仿宋" w:hAnsi="仿宋" w:eastAsia="仿宋" w:cs="仿宋"/>
          <w:b w:val="0"/>
          <w:bCs w:val="0"/>
          <w:color w:val="000000"/>
          <w:spacing w:val="15"/>
          <w:kern w:val="0"/>
          <w:sz w:val="32"/>
          <w:szCs w:val="32"/>
          <w:shd w:val="clear" w:color="auto" w:fill="FFFFFF"/>
        </w:rPr>
        <w:t>提供的现有材料披露：债权、债务的情况，包括但不限于：名称、金额、账龄等；关联方及其相关重大金额的往来款形成及结存情况；为</w:t>
      </w:r>
      <w:r>
        <w:rPr>
          <w:rFonts w:hint="eastAsia" w:ascii="仿宋" w:hAnsi="仿宋" w:eastAsia="仿宋" w:cs="仿宋"/>
          <w:b w:val="0"/>
          <w:bCs w:val="0"/>
          <w:color w:val="000000"/>
          <w:spacing w:val="15"/>
          <w:kern w:val="0"/>
          <w:sz w:val="32"/>
          <w:szCs w:val="32"/>
          <w:shd w:val="clear" w:color="auto" w:fill="FFFFFF"/>
          <w:lang w:eastAsia="zh-CN"/>
        </w:rPr>
        <w:t>管理人</w:t>
      </w:r>
      <w:r>
        <w:rPr>
          <w:rFonts w:hint="eastAsia" w:ascii="仿宋" w:hAnsi="仿宋" w:eastAsia="仿宋" w:cs="仿宋"/>
          <w:b w:val="0"/>
          <w:bCs w:val="0"/>
          <w:color w:val="000000"/>
          <w:spacing w:val="15"/>
          <w:kern w:val="0"/>
          <w:sz w:val="32"/>
          <w:szCs w:val="32"/>
          <w:shd w:val="clear" w:color="auto" w:fill="FFFFFF"/>
        </w:rPr>
        <w:t>审核债权申报和确认债权提供数据核查等,对债权申报人向管理人申报的每一笔债权根据管理人要求发表独立审计意见。</w:t>
      </w:r>
    </w:p>
    <w:p w14:paraId="7AC08F79">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shd w:val="clear" w:color="auto" w:fill="FFFFFF"/>
        </w:rPr>
        <w:t>（4）审计应收款项（资产）情况，对每笔应收账款、其他应收款及预付账款的形成和依据进行说明，并将合同、财务凭证、确认函、欠条、决算书、权属文件等能够证明应收款项（资产）存在的依据文件整理成独立的文档，移交给管理人，供管理人清查追收。</w:t>
      </w:r>
    </w:p>
    <w:p w14:paraId="4D5FE18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shd w:val="clear" w:color="auto" w:fill="FFFFFF"/>
        </w:rPr>
        <w:t>（5）分析产生“资不抵债”的原因，并进行说明。</w:t>
      </w:r>
    </w:p>
    <w:p w14:paraId="3BE7656A">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shd w:val="clear" w:color="auto" w:fill="FFFFFF"/>
        </w:rPr>
        <w:t>（6）审计机构应重点关注并提醒管理人注意的事项：</w:t>
      </w:r>
      <w:r>
        <w:rPr>
          <w:rFonts w:hint="eastAsia" w:ascii="仿宋" w:hAnsi="仿宋" w:eastAsia="仿宋" w:cs="仿宋"/>
          <w:b w:val="0"/>
          <w:bCs w:val="0"/>
          <w:color w:val="000000"/>
          <w:spacing w:val="15"/>
          <w:kern w:val="0"/>
          <w:sz w:val="32"/>
          <w:szCs w:val="32"/>
          <w:shd w:val="clear" w:color="auto" w:fill="FFFFFF"/>
          <w:lang w:eastAsia="zh-CN"/>
        </w:rPr>
        <w:t>合志和公司</w:t>
      </w:r>
      <w:r>
        <w:rPr>
          <w:rFonts w:hint="eastAsia" w:ascii="仿宋" w:hAnsi="仿宋" w:eastAsia="仿宋" w:cs="仿宋"/>
          <w:b w:val="0"/>
          <w:bCs w:val="0"/>
          <w:color w:val="000000"/>
          <w:spacing w:val="15"/>
          <w:kern w:val="0"/>
          <w:sz w:val="32"/>
          <w:szCs w:val="32"/>
          <w:shd w:val="clear" w:color="auto" w:fill="FFFFFF"/>
        </w:rPr>
        <w:t>在法院受理破产清算日之前，是否存在重大资产转移的情况，是否存在与公司股东及管理人员等方面的财产混同；公司财产及设备对外租赁所收取的租金是否到位，租金的去向是否合法合规；法院受理破产清算日之前一年内，是否存在无偿转让财产、以明显不合理的价格进行交易、对原本没有财产担保的债务提供财产担保、对未到期的债务提前清偿、放弃债权等情况；法院受理破产清算日之前六个月内，如公司已出现《中华人民共和国企业破产法》第二条第一款的情形，是否仍对个别债权人进行清偿的情况。</w:t>
      </w:r>
    </w:p>
    <w:p w14:paraId="3FDABF3F">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000000"/>
          <w:spacing w:val="15"/>
          <w:kern w:val="0"/>
          <w:sz w:val="32"/>
          <w:szCs w:val="32"/>
          <w:shd w:val="clear" w:color="auto" w:fill="FFFFFF"/>
        </w:rPr>
      </w:pPr>
      <w:r>
        <w:rPr>
          <w:rFonts w:hint="eastAsia" w:ascii="仿宋" w:hAnsi="仿宋" w:eastAsia="仿宋" w:cs="仿宋"/>
          <w:b w:val="0"/>
          <w:bCs w:val="0"/>
          <w:color w:val="000000"/>
          <w:spacing w:val="15"/>
          <w:kern w:val="0"/>
          <w:sz w:val="32"/>
          <w:szCs w:val="32"/>
          <w:shd w:val="clear" w:color="auto" w:fill="FFFFFF"/>
        </w:rPr>
        <w:t>（7）处理</w:t>
      </w:r>
      <w:r>
        <w:rPr>
          <w:rFonts w:hint="eastAsia" w:ascii="仿宋" w:hAnsi="仿宋" w:eastAsia="仿宋" w:cs="仿宋"/>
          <w:b w:val="0"/>
          <w:bCs w:val="0"/>
          <w:color w:val="000000"/>
          <w:spacing w:val="15"/>
          <w:kern w:val="0"/>
          <w:sz w:val="32"/>
          <w:szCs w:val="32"/>
          <w:shd w:val="clear" w:color="auto" w:fill="FFFFFF"/>
          <w:lang w:eastAsia="zh-CN"/>
        </w:rPr>
        <w:t>合志和公司</w:t>
      </w:r>
      <w:r>
        <w:rPr>
          <w:rFonts w:hint="eastAsia" w:ascii="仿宋" w:hAnsi="仿宋" w:eastAsia="仿宋" w:cs="仿宋"/>
          <w:b w:val="0"/>
          <w:bCs w:val="0"/>
          <w:color w:val="000000"/>
          <w:spacing w:val="15"/>
          <w:kern w:val="0"/>
          <w:sz w:val="32"/>
          <w:szCs w:val="32"/>
          <w:shd w:val="clear" w:color="auto" w:fill="FFFFFF"/>
        </w:rPr>
        <w:t>破产程序中（如有）的财务会计相关事宜，提供</w:t>
      </w:r>
      <w:r>
        <w:rPr>
          <w:rFonts w:hint="eastAsia" w:ascii="仿宋" w:hAnsi="仿宋" w:eastAsia="仿宋" w:cs="仿宋"/>
          <w:b w:val="0"/>
          <w:bCs w:val="0"/>
          <w:color w:val="000000"/>
          <w:spacing w:val="15"/>
          <w:kern w:val="0"/>
          <w:sz w:val="32"/>
          <w:szCs w:val="32"/>
          <w:shd w:val="clear" w:color="auto" w:fill="FFFFFF"/>
          <w:lang w:eastAsia="zh-CN"/>
        </w:rPr>
        <w:t>合志和公司</w:t>
      </w:r>
      <w:r>
        <w:rPr>
          <w:rFonts w:hint="eastAsia" w:ascii="仿宋" w:hAnsi="仿宋" w:eastAsia="仿宋" w:cs="仿宋"/>
          <w:b w:val="0"/>
          <w:bCs w:val="0"/>
          <w:color w:val="000000"/>
          <w:spacing w:val="15"/>
          <w:kern w:val="0"/>
          <w:sz w:val="32"/>
          <w:szCs w:val="32"/>
          <w:shd w:val="clear" w:color="auto" w:fill="FFFFFF"/>
        </w:rPr>
        <w:t>破产程序中涉及的税务问题的咨询，按管理人和税务部门的要求为高先公司申报纳税和建账提供咨询意见。</w:t>
      </w:r>
    </w:p>
    <w:p w14:paraId="63AC7429">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shd w:val="clear" w:color="auto" w:fill="FFFFFF"/>
        </w:rPr>
        <w:t>（8）根据财务账簿的记载及资产实地盘点情况，列明</w:t>
      </w:r>
      <w:r>
        <w:rPr>
          <w:rFonts w:hint="eastAsia" w:ascii="仿宋" w:hAnsi="仿宋" w:eastAsia="仿宋" w:cs="仿宋"/>
          <w:b w:val="0"/>
          <w:bCs w:val="0"/>
          <w:color w:val="000000"/>
          <w:spacing w:val="15"/>
          <w:kern w:val="0"/>
          <w:sz w:val="32"/>
          <w:szCs w:val="32"/>
          <w:shd w:val="clear" w:color="auto" w:fill="FFFFFF"/>
          <w:lang w:eastAsia="zh-CN"/>
        </w:rPr>
        <w:t>合志和公司</w:t>
      </w:r>
      <w:r>
        <w:rPr>
          <w:rFonts w:hint="eastAsia" w:ascii="仿宋" w:hAnsi="仿宋" w:eastAsia="仿宋" w:cs="仿宋"/>
          <w:b w:val="0"/>
          <w:bCs w:val="0"/>
          <w:color w:val="000000"/>
          <w:spacing w:val="15"/>
          <w:kern w:val="0"/>
          <w:sz w:val="32"/>
          <w:szCs w:val="32"/>
          <w:shd w:val="clear" w:color="auto" w:fill="FFFFFF"/>
        </w:rPr>
        <w:t>资产设备清单等。</w:t>
      </w:r>
    </w:p>
    <w:p w14:paraId="0FE447AB">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shd w:val="clear" w:color="auto" w:fill="FFFFFF"/>
        </w:rPr>
        <w:t>（9）管理人按照破产清算期间的实际需要提出的与公司清算审计相关的其他要求。</w:t>
      </w:r>
    </w:p>
    <w:p w14:paraId="31AE6D6C">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2.根据管理人要求，对审计报告进行解释；</w:t>
      </w:r>
    </w:p>
    <w:p w14:paraId="7C140B9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3.管理人提出的其他有关工作事项。</w:t>
      </w:r>
    </w:p>
    <w:p w14:paraId="3727A246">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黑体" w:hAnsi="黑体" w:eastAsia="黑体" w:cs="黑体"/>
          <w:b w:val="0"/>
          <w:bCs w:val="0"/>
          <w:color w:val="3E3E3E"/>
          <w:spacing w:val="8"/>
          <w:kern w:val="0"/>
          <w:sz w:val="32"/>
          <w:szCs w:val="32"/>
        </w:rPr>
      </w:pPr>
      <w:r>
        <w:rPr>
          <w:rFonts w:hint="eastAsia" w:ascii="黑体" w:hAnsi="黑体" w:eastAsia="黑体" w:cs="黑体"/>
          <w:b w:val="0"/>
          <w:bCs w:val="0"/>
          <w:color w:val="000000"/>
          <w:spacing w:val="15"/>
          <w:kern w:val="0"/>
          <w:sz w:val="32"/>
          <w:szCs w:val="32"/>
          <w:lang w:eastAsia="zh-CN"/>
        </w:rPr>
        <w:t>五</w:t>
      </w:r>
      <w:r>
        <w:rPr>
          <w:rFonts w:hint="eastAsia" w:ascii="黑体" w:hAnsi="黑体" w:eastAsia="黑体" w:cs="黑体"/>
          <w:b w:val="0"/>
          <w:bCs w:val="0"/>
          <w:color w:val="000000"/>
          <w:spacing w:val="15"/>
          <w:kern w:val="0"/>
          <w:sz w:val="32"/>
          <w:szCs w:val="32"/>
        </w:rPr>
        <w:t>、审计费用</w:t>
      </w:r>
    </w:p>
    <w:p w14:paraId="47A24F34">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000000"/>
          <w:spacing w:val="15"/>
          <w:kern w:val="0"/>
          <w:sz w:val="32"/>
          <w:szCs w:val="32"/>
        </w:rPr>
      </w:pPr>
      <w:r>
        <w:rPr>
          <w:rFonts w:hint="eastAsia" w:ascii="仿宋" w:hAnsi="仿宋" w:eastAsia="仿宋" w:cs="仿宋"/>
          <w:b w:val="0"/>
          <w:bCs w:val="0"/>
          <w:color w:val="000000"/>
          <w:spacing w:val="15"/>
          <w:kern w:val="0"/>
          <w:sz w:val="32"/>
          <w:szCs w:val="32"/>
        </w:rPr>
        <w:t>审计费用参照（2011）313号《广东省物价局关于会计师事务所服务收费有关问题的通知》的规定及深圳市中级人民法院有关破产审计工作惯例，审计费用不高于人民币</w:t>
      </w:r>
      <w:r>
        <w:rPr>
          <w:rFonts w:hint="eastAsia" w:ascii="仿宋" w:hAnsi="仿宋" w:eastAsia="仿宋" w:cs="仿宋"/>
          <w:b w:val="0"/>
          <w:bCs w:val="0"/>
          <w:color w:val="000000"/>
          <w:spacing w:val="15"/>
          <w:kern w:val="0"/>
          <w:sz w:val="32"/>
          <w:szCs w:val="32"/>
          <w:lang w:val="en-US" w:eastAsia="zh-CN"/>
        </w:rPr>
        <w:t>30000</w:t>
      </w:r>
      <w:r>
        <w:rPr>
          <w:rFonts w:hint="eastAsia" w:ascii="仿宋" w:hAnsi="仿宋" w:eastAsia="仿宋" w:cs="仿宋"/>
          <w:b w:val="0"/>
          <w:bCs w:val="0"/>
          <w:color w:val="000000"/>
          <w:spacing w:val="15"/>
          <w:kern w:val="0"/>
          <w:sz w:val="32"/>
          <w:szCs w:val="32"/>
        </w:rPr>
        <w:t>元，由管理人与审计机构协商确定，最终以审计服务合同约定为准。</w:t>
      </w:r>
    </w:p>
    <w:p w14:paraId="1DB9E076">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审计费用于执行分配方案时支付，本次审计发生的全部费用（包括但不限于差旅费、文印费、交通费、税费等）均包含在审计费用之内。</w:t>
      </w:r>
    </w:p>
    <w:p w14:paraId="69DCAC31">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黑体" w:hAnsi="黑体" w:eastAsia="黑体" w:cs="黑体"/>
          <w:b w:val="0"/>
          <w:bCs w:val="0"/>
          <w:color w:val="3E3E3E"/>
          <w:spacing w:val="8"/>
          <w:kern w:val="0"/>
          <w:sz w:val="32"/>
          <w:szCs w:val="32"/>
        </w:rPr>
      </w:pPr>
      <w:r>
        <w:rPr>
          <w:rFonts w:hint="eastAsia" w:ascii="黑体" w:hAnsi="黑体" w:eastAsia="黑体" w:cs="黑体"/>
          <w:b w:val="0"/>
          <w:bCs w:val="0"/>
          <w:color w:val="000000"/>
          <w:spacing w:val="15"/>
          <w:kern w:val="0"/>
          <w:sz w:val="32"/>
          <w:szCs w:val="32"/>
          <w:lang w:eastAsia="zh-CN"/>
        </w:rPr>
        <w:t>六</w:t>
      </w:r>
      <w:r>
        <w:rPr>
          <w:rFonts w:hint="eastAsia" w:ascii="黑体" w:hAnsi="黑体" w:eastAsia="黑体" w:cs="黑体"/>
          <w:b w:val="0"/>
          <w:bCs w:val="0"/>
          <w:color w:val="000000"/>
          <w:spacing w:val="15"/>
          <w:kern w:val="0"/>
          <w:sz w:val="32"/>
          <w:szCs w:val="32"/>
        </w:rPr>
        <w:t>、报名要求</w:t>
      </w:r>
    </w:p>
    <w:p w14:paraId="70851561">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000000"/>
          <w:spacing w:val="15"/>
          <w:kern w:val="0"/>
          <w:sz w:val="32"/>
          <w:szCs w:val="32"/>
        </w:rPr>
      </w:pPr>
      <w:r>
        <w:rPr>
          <w:rFonts w:hint="eastAsia" w:ascii="仿宋" w:hAnsi="仿宋" w:eastAsia="仿宋" w:cs="仿宋"/>
          <w:b w:val="0"/>
          <w:bCs w:val="0"/>
          <w:color w:val="000000"/>
          <w:spacing w:val="15"/>
          <w:kern w:val="0"/>
          <w:sz w:val="32"/>
          <w:szCs w:val="32"/>
        </w:rPr>
        <w:t>请符合报名条件且有意向提供服务的单位于202</w:t>
      </w:r>
      <w:r>
        <w:rPr>
          <w:rFonts w:hint="eastAsia" w:ascii="仿宋" w:hAnsi="仿宋" w:eastAsia="仿宋" w:cs="仿宋"/>
          <w:b w:val="0"/>
          <w:bCs w:val="0"/>
          <w:color w:val="000000"/>
          <w:spacing w:val="15"/>
          <w:kern w:val="0"/>
          <w:sz w:val="32"/>
          <w:szCs w:val="32"/>
          <w:lang w:val="en-US" w:eastAsia="zh-CN"/>
        </w:rPr>
        <w:t>4</w:t>
      </w:r>
      <w:r>
        <w:rPr>
          <w:rFonts w:hint="eastAsia" w:ascii="仿宋" w:hAnsi="仿宋" w:eastAsia="仿宋" w:cs="仿宋"/>
          <w:b w:val="0"/>
          <w:bCs w:val="0"/>
          <w:color w:val="000000"/>
          <w:spacing w:val="15"/>
          <w:kern w:val="0"/>
          <w:sz w:val="32"/>
          <w:szCs w:val="32"/>
          <w:highlight w:val="none"/>
        </w:rPr>
        <w:t>年</w:t>
      </w:r>
      <w:r>
        <w:rPr>
          <w:rFonts w:hint="eastAsia" w:ascii="仿宋" w:hAnsi="仿宋" w:eastAsia="仿宋" w:cs="仿宋"/>
          <w:b w:val="0"/>
          <w:bCs w:val="0"/>
          <w:color w:val="000000"/>
          <w:spacing w:val="15"/>
          <w:kern w:val="0"/>
          <w:sz w:val="32"/>
          <w:szCs w:val="32"/>
          <w:highlight w:val="none"/>
          <w:lang w:val="en-US" w:eastAsia="zh-CN"/>
        </w:rPr>
        <w:t>9</w:t>
      </w:r>
      <w:r>
        <w:rPr>
          <w:rFonts w:hint="eastAsia" w:ascii="仿宋" w:hAnsi="仿宋" w:eastAsia="仿宋" w:cs="仿宋"/>
          <w:b w:val="0"/>
          <w:bCs w:val="0"/>
          <w:color w:val="000000"/>
          <w:spacing w:val="15"/>
          <w:kern w:val="0"/>
          <w:sz w:val="32"/>
          <w:szCs w:val="32"/>
          <w:highlight w:val="none"/>
        </w:rPr>
        <w:t>月</w:t>
      </w:r>
      <w:r>
        <w:rPr>
          <w:rFonts w:hint="eastAsia" w:ascii="仿宋" w:hAnsi="仿宋" w:eastAsia="仿宋" w:cs="仿宋"/>
          <w:b w:val="0"/>
          <w:bCs w:val="0"/>
          <w:color w:val="000000"/>
          <w:spacing w:val="15"/>
          <w:kern w:val="0"/>
          <w:sz w:val="32"/>
          <w:szCs w:val="32"/>
          <w:highlight w:val="none"/>
          <w:lang w:val="en-US" w:eastAsia="zh-CN"/>
        </w:rPr>
        <w:t>20</w:t>
      </w:r>
      <w:r>
        <w:rPr>
          <w:rFonts w:hint="eastAsia" w:ascii="仿宋" w:hAnsi="仿宋" w:eastAsia="仿宋" w:cs="仿宋"/>
          <w:b w:val="0"/>
          <w:bCs w:val="0"/>
          <w:color w:val="000000"/>
          <w:spacing w:val="15"/>
          <w:kern w:val="0"/>
          <w:sz w:val="32"/>
          <w:szCs w:val="32"/>
          <w:highlight w:val="none"/>
        </w:rPr>
        <w:t>日前向深圳市破产管理人协会报名，</w:t>
      </w:r>
      <w:r>
        <w:rPr>
          <w:rFonts w:hint="eastAsia" w:ascii="仿宋" w:hAnsi="仿宋" w:eastAsia="仿宋" w:cs="仿宋"/>
          <w:b w:val="0"/>
          <w:bCs w:val="0"/>
          <w:color w:val="000000"/>
          <w:spacing w:val="15"/>
          <w:kern w:val="0"/>
          <w:sz w:val="32"/>
          <w:szCs w:val="32"/>
          <w:highlight w:val="none"/>
          <w:lang w:val="en-US" w:eastAsia="zh-CN"/>
        </w:rPr>
        <w:t>并将符合本公告第三条第3项和第4项要求的资质材料电子版发送至管理人邮箱（lihaizhen2401@163.com），</w:t>
      </w:r>
      <w:r>
        <w:rPr>
          <w:rFonts w:hint="eastAsia" w:ascii="仿宋" w:hAnsi="仿宋" w:eastAsia="仿宋" w:cs="仿宋"/>
          <w:b w:val="0"/>
          <w:bCs w:val="0"/>
          <w:color w:val="000000"/>
          <w:spacing w:val="15"/>
          <w:kern w:val="0"/>
          <w:sz w:val="32"/>
          <w:szCs w:val="32"/>
          <w:highlight w:val="none"/>
        </w:rPr>
        <w:t>协会拟于20</w:t>
      </w:r>
      <w:r>
        <w:rPr>
          <w:rFonts w:hint="eastAsia" w:ascii="仿宋" w:hAnsi="仿宋" w:eastAsia="仿宋" w:cs="仿宋"/>
          <w:b w:val="0"/>
          <w:bCs w:val="0"/>
          <w:color w:val="000000"/>
          <w:spacing w:val="15"/>
          <w:kern w:val="0"/>
          <w:sz w:val="32"/>
          <w:szCs w:val="32"/>
          <w:highlight w:val="none"/>
          <w:lang w:val="en-US" w:eastAsia="zh-CN"/>
        </w:rPr>
        <w:t>24</w:t>
      </w:r>
      <w:r>
        <w:rPr>
          <w:rFonts w:hint="eastAsia" w:ascii="仿宋" w:hAnsi="仿宋" w:eastAsia="仿宋" w:cs="仿宋"/>
          <w:b w:val="0"/>
          <w:bCs w:val="0"/>
          <w:color w:val="000000"/>
          <w:spacing w:val="15"/>
          <w:kern w:val="0"/>
          <w:sz w:val="32"/>
          <w:szCs w:val="32"/>
          <w:highlight w:val="none"/>
        </w:rPr>
        <w:t>年</w:t>
      </w:r>
      <w:r>
        <w:rPr>
          <w:rFonts w:hint="eastAsia" w:ascii="仿宋" w:hAnsi="仿宋" w:eastAsia="仿宋" w:cs="仿宋"/>
          <w:b w:val="0"/>
          <w:bCs w:val="0"/>
          <w:color w:val="000000"/>
          <w:spacing w:val="15"/>
          <w:kern w:val="0"/>
          <w:sz w:val="32"/>
          <w:szCs w:val="32"/>
          <w:highlight w:val="none"/>
          <w:lang w:val="en-US" w:eastAsia="zh-CN"/>
        </w:rPr>
        <w:t>9</w:t>
      </w:r>
      <w:r>
        <w:rPr>
          <w:rFonts w:hint="eastAsia" w:ascii="仿宋" w:hAnsi="仿宋" w:eastAsia="仿宋" w:cs="仿宋"/>
          <w:b w:val="0"/>
          <w:bCs w:val="0"/>
          <w:color w:val="000000"/>
          <w:spacing w:val="15"/>
          <w:kern w:val="0"/>
          <w:sz w:val="32"/>
          <w:szCs w:val="32"/>
          <w:highlight w:val="none"/>
        </w:rPr>
        <w:t>月</w:t>
      </w:r>
      <w:r>
        <w:rPr>
          <w:rFonts w:hint="eastAsia" w:ascii="仿宋" w:hAnsi="仿宋" w:eastAsia="仿宋" w:cs="仿宋"/>
          <w:b w:val="0"/>
          <w:bCs w:val="0"/>
          <w:color w:val="000000"/>
          <w:spacing w:val="15"/>
          <w:kern w:val="0"/>
          <w:sz w:val="32"/>
          <w:szCs w:val="32"/>
          <w:highlight w:val="none"/>
          <w:lang w:val="en-US" w:eastAsia="zh-CN"/>
        </w:rPr>
        <w:t>24</w:t>
      </w:r>
      <w:r>
        <w:rPr>
          <w:rFonts w:hint="eastAsia" w:ascii="仿宋" w:hAnsi="仿宋" w:eastAsia="仿宋" w:cs="仿宋"/>
          <w:b w:val="0"/>
          <w:bCs w:val="0"/>
          <w:color w:val="000000"/>
          <w:spacing w:val="15"/>
          <w:kern w:val="0"/>
          <w:sz w:val="32"/>
          <w:szCs w:val="32"/>
          <w:highlight w:val="none"/>
        </w:rPr>
        <w:t>日在报名的合格机</w:t>
      </w:r>
      <w:r>
        <w:rPr>
          <w:rFonts w:hint="eastAsia" w:ascii="仿宋" w:hAnsi="仿宋" w:eastAsia="仿宋" w:cs="仿宋"/>
          <w:b w:val="0"/>
          <w:bCs w:val="0"/>
          <w:color w:val="000000"/>
          <w:spacing w:val="15"/>
          <w:kern w:val="0"/>
          <w:sz w:val="32"/>
          <w:szCs w:val="32"/>
        </w:rPr>
        <w:t>构中摇珠选定。</w:t>
      </w:r>
    </w:p>
    <w:p w14:paraId="54FE2067">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管理人联系人：</w:t>
      </w:r>
      <w:r>
        <w:rPr>
          <w:rFonts w:hint="eastAsia" w:ascii="仿宋" w:hAnsi="仿宋" w:eastAsia="仿宋" w:cs="仿宋"/>
          <w:b w:val="0"/>
          <w:bCs w:val="0"/>
          <w:color w:val="000000"/>
          <w:spacing w:val="15"/>
          <w:kern w:val="0"/>
          <w:sz w:val="32"/>
          <w:szCs w:val="32"/>
          <w:lang w:eastAsia="zh-CN"/>
        </w:rPr>
        <w:t>李</w:t>
      </w:r>
      <w:r>
        <w:rPr>
          <w:rFonts w:hint="eastAsia" w:ascii="仿宋" w:hAnsi="仿宋" w:eastAsia="仿宋" w:cs="仿宋"/>
          <w:b w:val="0"/>
          <w:bCs w:val="0"/>
          <w:color w:val="000000"/>
          <w:spacing w:val="15"/>
          <w:kern w:val="0"/>
          <w:sz w:val="32"/>
          <w:szCs w:val="32"/>
        </w:rPr>
        <w:t>律师，电话</w:t>
      </w:r>
      <w:r>
        <w:rPr>
          <w:rFonts w:hint="eastAsia" w:ascii="仿宋" w:hAnsi="仿宋" w:eastAsia="仿宋" w:cs="仿宋"/>
          <w:b w:val="0"/>
          <w:bCs w:val="0"/>
          <w:color w:val="000000"/>
          <w:spacing w:val="15"/>
          <w:kern w:val="0"/>
          <w:sz w:val="32"/>
          <w:szCs w:val="32"/>
          <w:lang w:val="en-US" w:eastAsia="zh-CN"/>
        </w:rPr>
        <w:t>15766454309</w:t>
      </w:r>
      <w:r>
        <w:rPr>
          <w:rFonts w:hint="eastAsia" w:ascii="仿宋" w:hAnsi="仿宋" w:eastAsia="仿宋" w:cs="仿宋"/>
          <w:b w:val="0"/>
          <w:bCs w:val="0"/>
          <w:color w:val="000000"/>
          <w:spacing w:val="15"/>
          <w:kern w:val="0"/>
          <w:sz w:val="32"/>
          <w:szCs w:val="32"/>
        </w:rPr>
        <w:t>；深圳市破产管理人协会联系人：</w:t>
      </w:r>
      <w:r>
        <w:rPr>
          <w:rFonts w:hint="eastAsia" w:ascii="仿宋" w:hAnsi="仿宋" w:eastAsia="仿宋" w:cs="仿宋"/>
          <w:b w:val="0"/>
          <w:bCs w:val="0"/>
          <w:color w:val="000000"/>
          <w:spacing w:val="15"/>
          <w:kern w:val="0"/>
          <w:sz w:val="32"/>
          <w:szCs w:val="32"/>
          <w:lang w:val="en-US" w:eastAsia="zh-CN"/>
        </w:rPr>
        <w:t>许世妙</w:t>
      </w:r>
      <w:r>
        <w:rPr>
          <w:rFonts w:hint="eastAsia" w:ascii="仿宋" w:hAnsi="仿宋" w:eastAsia="仿宋" w:cs="仿宋"/>
          <w:b w:val="0"/>
          <w:bCs w:val="0"/>
          <w:color w:val="000000"/>
          <w:spacing w:val="15"/>
          <w:kern w:val="0"/>
          <w:sz w:val="32"/>
          <w:szCs w:val="32"/>
        </w:rPr>
        <w:t>，电话0755-</w:t>
      </w:r>
      <w:r>
        <w:rPr>
          <w:rFonts w:hint="eastAsia" w:ascii="仿宋" w:hAnsi="仿宋" w:eastAsia="仿宋" w:cs="仿宋"/>
          <w:b w:val="0"/>
          <w:bCs w:val="0"/>
          <w:color w:val="000000"/>
          <w:spacing w:val="15"/>
          <w:kern w:val="0"/>
          <w:sz w:val="32"/>
          <w:szCs w:val="32"/>
          <w:lang w:val="en-US" w:eastAsia="zh-CN"/>
        </w:rPr>
        <w:t>82529804</w:t>
      </w:r>
      <w:r>
        <w:rPr>
          <w:rFonts w:hint="eastAsia" w:ascii="仿宋" w:hAnsi="仿宋" w:eastAsia="仿宋" w:cs="仿宋"/>
          <w:b w:val="0"/>
          <w:bCs w:val="0"/>
          <w:color w:val="000000"/>
          <w:spacing w:val="15"/>
          <w:kern w:val="0"/>
          <w:sz w:val="32"/>
          <w:szCs w:val="32"/>
        </w:rPr>
        <w:t>。</w:t>
      </w:r>
    </w:p>
    <w:p w14:paraId="40153395">
      <w:pPr>
        <w:keepNext w:val="0"/>
        <w:keepLines w:val="0"/>
        <w:pageBreakBefore w:val="0"/>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黑体" w:hAnsi="黑体" w:eastAsia="黑体" w:cs="黑体"/>
          <w:b w:val="0"/>
          <w:bCs w:val="0"/>
          <w:color w:val="3E3E3E"/>
          <w:spacing w:val="8"/>
          <w:kern w:val="0"/>
          <w:sz w:val="32"/>
          <w:szCs w:val="32"/>
        </w:rPr>
      </w:pPr>
      <w:r>
        <w:rPr>
          <w:rFonts w:hint="eastAsia" w:ascii="黑体" w:hAnsi="黑体" w:eastAsia="黑体" w:cs="黑体"/>
          <w:b w:val="0"/>
          <w:bCs w:val="0"/>
          <w:color w:val="000000"/>
          <w:spacing w:val="15"/>
          <w:kern w:val="0"/>
          <w:sz w:val="32"/>
          <w:szCs w:val="32"/>
          <w:lang w:eastAsia="zh-CN"/>
        </w:rPr>
        <w:t>七</w:t>
      </w:r>
      <w:r>
        <w:rPr>
          <w:rFonts w:hint="eastAsia" w:ascii="黑体" w:hAnsi="黑体" w:eastAsia="黑体" w:cs="黑体"/>
          <w:b w:val="0"/>
          <w:bCs w:val="0"/>
          <w:color w:val="000000"/>
          <w:spacing w:val="15"/>
          <w:kern w:val="0"/>
          <w:sz w:val="32"/>
          <w:szCs w:val="32"/>
        </w:rPr>
        <w:t>、机构选定</w:t>
      </w:r>
    </w:p>
    <w:p w14:paraId="1A3EEA8F">
      <w:pPr>
        <w:keepNext w:val="0"/>
        <w:keepLines w:val="0"/>
        <w:pageBreakBefore w:val="0"/>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000000"/>
          <w:spacing w:val="15"/>
          <w:kern w:val="0"/>
          <w:sz w:val="32"/>
          <w:szCs w:val="32"/>
        </w:rPr>
      </w:pPr>
      <w:r>
        <w:rPr>
          <w:rFonts w:hint="eastAsia" w:ascii="仿宋" w:hAnsi="仿宋" w:eastAsia="仿宋" w:cs="仿宋"/>
          <w:b w:val="0"/>
          <w:bCs w:val="0"/>
          <w:color w:val="000000"/>
          <w:spacing w:val="15"/>
          <w:kern w:val="0"/>
          <w:sz w:val="32"/>
          <w:szCs w:val="32"/>
        </w:rPr>
        <w:t>摇珠后，请中签的单位向管理人提交机构资质证明、营业执照、法定代表人身份证明、规模、破产案件审计经验、拟派人员配置及简历、承诺出具报告的时间、收费标准、报价、收费方式、报价是否可协商及最大折扣比例、服务方案、审计质量保证措施、参加审计人员资质证书、关于与</w:t>
      </w:r>
      <w:r>
        <w:rPr>
          <w:rFonts w:hint="eastAsia" w:ascii="仿宋" w:hAnsi="仿宋" w:eastAsia="仿宋" w:cs="仿宋"/>
          <w:b w:val="0"/>
          <w:bCs w:val="0"/>
          <w:color w:val="000000"/>
          <w:spacing w:val="15"/>
          <w:kern w:val="0"/>
          <w:sz w:val="32"/>
          <w:szCs w:val="32"/>
          <w:shd w:val="clear" w:color="auto" w:fill="FFFFFF"/>
          <w:lang w:eastAsia="zh-CN"/>
        </w:rPr>
        <w:t>合志和公司</w:t>
      </w:r>
      <w:r>
        <w:rPr>
          <w:rFonts w:hint="eastAsia" w:ascii="仿宋" w:hAnsi="仿宋" w:eastAsia="仿宋" w:cs="仿宋"/>
          <w:b w:val="0"/>
          <w:bCs w:val="0"/>
          <w:color w:val="000000"/>
          <w:spacing w:val="15"/>
          <w:kern w:val="0"/>
          <w:sz w:val="32"/>
          <w:szCs w:val="32"/>
        </w:rPr>
        <w:t>不存在利害关系的承诺书、关于对工作中接触的未公开信息进行</w:t>
      </w:r>
      <w:bookmarkStart w:id="0" w:name="_GoBack"/>
      <w:bookmarkEnd w:id="0"/>
      <w:r>
        <w:rPr>
          <w:rFonts w:hint="eastAsia" w:ascii="仿宋" w:hAnsi="仿宋" w:eastAsia="仿宋" w:cs="仿宋"/>
          <w:b w:val="0"/>
          <w:bCs w:val="0"/>
          <w:color w:val="000000"/>
          <w:spacing w:val="15"/>
          <w:kern w:val="0"/>
          <w:sz w:val="32"/>
          <w:szCs w:val="32"/>
        </w:rPr>
        <w:t>严格保密的承诺书等文件。</w:t>
      </w:r>
    </w:p>
    <w:p w14:paraId="31E4DABC">
      <w:pPr>
        <w:keepNext w:val="0"/>
        <w:keepLines w:val="0"/>
        <w:pageBreakBefore w:val="0"/>
        <w:shd w:val="clear" w:color="auto" w:fill="FFFFFF"/>
        <w:kinsoku/>
        <w:wordWrap/>
        <w:overflowPunct/>
        <w:topLinePunct w:val="0"/>
        <w:autoSpaceDE/>
        <w:autoSpaceDN/>
        <w:bidi w:val="0"/>
        <w:adjustRightInd/>
        <w:snapToGrid/>
        <w:spacing w:line="440" w:lineRule="exact"/>
        <w:ind w:firstLine="672"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3E3E3E"/>
          <w:spacing w:val="8"/>
          <w:kern w:val="0"/>
          <w:sz w:val="32"/>
          <w:szCs w:val="32"/>
        </w:rPr>
        <w:t>深圳市破产管理人协会摇珠选定服务机构后，管理人将综合考虑报名单位的资质、规模、经验、报价方案（应包括完成项目所发生的全部费用）、服务方案等事项综合考量后择优选定一家备选机构，管理人将在合理期限内通知被选定的服务机构，未被选聘者恕不另行通知，亦不退还其所递交的材料。</w:t>
      </w:r>
    </w:p>
    <w:p w14:paraId="5684C3CF">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00" w:firstLineChars="200"/>
        <w:textAlignment w:val="auto"/>
        <w:rPr>
          <w:rFonts w:hint="eastAsia" w:ascii="仿宋" w:hAnsi="仿宋" w:eastAsia="仿宋" w:cs="仿宋"/>
          <w:b w:val="0"/>
          <w:bCs w:val="0"/>
          <w:color w:val="3E3E3E"/>
          <w:spacing w:val="8"/>
          <w:kern w:val="0"/>
          <w:sz w:val="32"/>
          <w:szCs w:val="32"/>
        </w:rPr>
      </w:pPr>
      <w:r>
        <w:rPr>
          <w:rFonts w:hint="eastAsia" w:ascii="仿宋" w:hAnsi="仿宋" w:eastAsia="仿宋" w:cs="仿宋"/>
          <w:b w:val="0"/>
          <w:bCs w:val="0"/>
          <w:color w:val="000000"/>
          <w:spacing w:val="15"/>
          <w:kern w:val="0"/>
          <w:sz w:val="32"/>
          <w:szCs w:val="32"/>
        </w:rPr>
        <w:t>特此公告。</w:t>
      </w:r>
    </w:p>
    <w:p w14:paraId="4B489BDB">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600"/>
        <w:jc w:val="right"/>
        <w:textAlignment w:val="auto"/>
        <w:rPr>
          <w:rFonts w:hint="eastAsia" w:ascii="仿宋" w:hAnsi="仿宋" w:eastAsia="仿宋" w:cs="仿宋"/>
          <w:b w:val="0"/>
          <w:bCs w:val="0"/>
          <w:color w:val="3E3E3E"/>
          <w:spacing w:val="8"/>
          <w:kern w:val="0"/>
          <w:sz w:val="32"/>
          <w:szCs w:val="32"/>
        </w:rPr>
      </w:pPr>
    </w:p>
    <w:p w14:paraId="6529ECC9">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600"/>
        <w:jc w:val="right"/>
        <w:textAlignment w:val="auto"/>
        <w:rPr>
          <w:rFonts w:hint="eastAsia" w:ascii="仿宋" w:hAnsi="仿宋" w:eastAsia="仿宋" w:cs="仿宋"/>
          <w:b w:val="0"/>
          <w:bCs w:val="0"/>
          <w:color w:val="3E3E3E"/>
          <w:spacing w:val="8"/>
          <w:kern w:val="0"/>
          <w:sz w:val="32"/>
          <w:szCs w:val="32"/>
        </w:rPr>
      </w:pPr>
    </w:p>
    <w:p w14:paraId="64BAB719">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600"/>
        <w:jc w:val="right"/>
        <w:textAlignment w:val="auto"/>
        <w:rPr>
          <w:rFonts w:hint="eastAsia" w:ascii="仿宋" w:hAnsi="仿宋" w:eastAsia="仿宋" w:cs="仿宋"/>
          <w:b w:val="0"/>
          <w:bCs w:val="0"/>
          <w:color w:val="000000"/>
          <w:spacing w:val="15"/>
          <w:kern w:val="0"/>
          <w:sz w:val="32"/>
          <w:szCs w:val="32"/>
        </w:rPr>
      </w:pPr>
      <w:r>
        <w:rPr>
          <w:rFonts w:hint="eastAsia" w:ascii="仿宋" w:hAnsi="仿宋" w:eastAsia="仿宋" w:cs="仿宋"/>
          <w:b w:val="0"/>
          <w:bCs w:val="0"/>
          <w:color w:val="000000"/>
          <w:spacing w:val="15"/>
          <w:kern w:val="0"/>
          <w:sz w:val="32"/>
          <w:szCs w:val="32"/>
          <w:lang w:val="en-US" w:eastAsia="zh-CN"/>
        </w:rPr>
        <w:t>深圳市合志和实业发展有限公司</w:t>
      </w:r>
      <w:r>
        <w:rPr>
          <w:rFonts w:hint="eastAsia" w:ascii="仿宋" w:hAnsi="仿宋" w:eastAsia="仿宋" w:cs="仿宋"/>
          <w:b w:val="0"/>
          <w:bCs w:val="0"/>
          <w:color w:val="000000"/>
          <w:spacing w:val="15"/>
          <w:kern w:val="0"/>
          <w:sz w:val="32"/>
          <w:szCs w:val="32"/>
        </w:rPr>
        <w:t>管理人</w:t>
      </w:r>
    </w:p>
    <w:p w14:paraId="10E044B2">
      <w:pPr>
        <w:keepNext w:val="0"/>
        <w:keepLines w:val="0"/>
        <w:pageBreakBefore w:val="0"/>
        <w:kinsoku/>
        <w:wordWrap/>
        <w:overflowPunct/>
        <w:topLinePunct w:val="0"/>
        <w:autoSpaceDE/>
        <w:autoSpaceDN/>
        <w:bidi w:val="0"/>
        <w:adjustRightInd/>
        <w:snapToGrid/>
        <w:spacing w:line="440" w:lineRule="exact"/>
        <w:jc w:val="right"/>
        <w:textAlignment w:val="auto"/>
        <w:rPr>
          <w:rFonts w:hint="eastAsia" w:ascii="仿宋" w:hAnsi="仿宋" w:eastAsia="仿宋" w:cs="仿宋"/>
          <w:b w:val="0"/>
          <w:bCs w:val="0"/>
          <w:sz w:val="32"/>
          <w:szCs w:val="32"/>
        </w:rPr>
      </w:pPr>
      <w:r>
        <w:rPr>
          <w:rFonts w:hint="eastAsia" w:ascii="仿宋" w:hAnsi="仿宋" w:eastAsia="仿宋" w:cs="仿宋"/>
          <w:b w:val="0"/>
          <w:bCs w:val="0"/>
          <w:color w:val="000000"/>
          <w:spacing w:val="15"/>
          <w:kern w:val="0"/>
          <w:sz w:val="32"/>
          <w:szCs w:val="32"/>
        </w:rPr>
        <w:t>二〇二</w:t>
      </w:r>
      <w:r>
        <w:rPr>
          <w:rFonts w:hint="eastAsia" w:ascii="仿宋" w:hAnsi="仿宋" w:eastAsia="仿宋" w:cs="仿宋"/>
          <w:b w:val="0"/>
          <w:bCs w:val="0"/>
          <w:color w:val="000000"/>
          <w:spacing w:val="15"/>
          <w:kern w:val="0"/>
          <w:sz w:val="32"/>
          <w:szCs w:val="32"/>
          <w:lang w:eastAsia="zh-CN"/>
        </w:rPr>
        <w:t>四年</w:t>
      </w:r>
      <w:r>
        <w:rPr>
          <w:rFonts w:hint="eastAsia" w:ascii="仿宋" w:hAnsi="仿宋" w:eastAsia="仿宋" w:cs="仿宋"/>
          <w:b w:val="0"/>
          <w:bCs w:val="0"/>
          <w:color w:val="000000"/>
          <w:spacing w:val="15"/>
          <w:kern w:val="0"/>
          <w:sz w:val="32"/>
          <w:szCs w:val="32"/>
          <w:lang w:val="en-US" w:eastAsia="zh-CN"/>
        </w:rPr>
        <w:t>九月九</w:t>
      </w:r>
      <w:r>
        <w:rPr>
          <w:rFonts w:hint="eastAsia" w:ascii="仿宋" w:hAnsi="仿宋" w:eastAsia="仿宋" w:cs="仿宋"/>
          <w:b w:val="0"/>
          <w:bCs w:val="0"/>
          <w:color w:val="000000"/>
          <w:spacing w:val="15"/>
          <w:kern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wMjYzYmUyMTRjNjUwNTMzMzViMWFjODRjODBlNDQifQ=="/>
  </w:docVars>
  <w:rsids>
    <w:rsidRoot w:val="00A61A08"/>
    <w:rsid w:val="00083D35"/>
    <w:rsid w:val="000E68A9"/>
    <w:rsid w:val="001668E0"/>
    <w:rsid w:val="001869D3"/>
    <w:rsid w:val="0030590C"/>
    <w:rsid w:val="0035375C"/>
    <w:rsid w:val="004B5E05"/>
    <w:rsid w:val="0051501C"/>
    <w:rsid w:val="00573935"/>
    <w:rsid w:val="00605274"/>
    <w:rsid w:val="007A007F"/>
    <w:rsid w:val="008D7392"/>
    <w:rsid w:val="00A52587"/>
    <w:rsid w:val="00A61A08"/>
    <w:rsid w:val="00AA2606"/>
    <w:rsid w:val="00B52901"/>
    <w:rsid w:val="00C17A17"/>
    <w:rsid w:val="00CE5B3E"/>
    <w:rsid w:val="00DE713D"/>
    <w:rsid w:val="00EA4BC7"/>
    <w:rsid w:val="00EC22FA"/>
    <w:rsid w:val="00F15B6B"/>
    <w:rsid w:val="00F60CF0"/>
    <w:rsid w:val="00F754F6"/>
    <w:rsid w:val="00FC5A85"/>
    <w:rsid w:val="038E4B5D"/>
    <w:rsid w:val="05F46BA4"/>
    <w:rsid w:val="118920E5"/>
    <w:rsid w:val="21730DCE"/>
    <w:rsid w:val="2E3A0E36"/>
    <w:rsid w:val="2EA0733C"/>
    <w:rsid w:val="39000D78"/>
    <w:rsid w:val="40E051D9"/>
    <w:rsid w:val="43920686"/>
    <w:rsid w:val="439E1330"/>
    <w:rsid w:val="5ACF060A"/>
    <w:rsid w:val="68484F4A"/>
    <w:rsid w:val="6F0868A9"/>
    <w:rsid w:val="7A9E1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ind w:firstLine="640" w:firstLineChars="200"/>
    </w:pPr>
    <w:rPr>
      <w:rFonts w:ascii="Times New Roman" w:hAnsi="Times New Roman" w:eastAsia="宋体" w:cs="Times New Roman"/>
      <w:sz w:val="32"/>
    </w:rPr>
  </w:style>
  <w:style w:type="paragraph" w:styleId="4">
    <w:name w:val="Balloon Text"/>
    <w:basedOn w:val="1"/>
    <w:link w:val="12"/>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customStyle="1" w:styleId="11">
    <w:name w:val="标题 1 字符"/>
    <w:basedOn w:val="9"/>
    <w:link w:val="2"/>
    <w:qFormat/>
    <w:uiPriority w:val="9"/>
    <w:rPr>
      <w:rFonts w:ascii="宋体" w:hAnsi="宋体" w:eastAsia="宋体" w:cs="宋体"/>
      <w:b/>
      <w:bCs/>
      <w:kern w:val="36"/>
      <w:sz w:val="48"/>
      <w:szCs w:val="48"/>
    </w:rPr>
  </w:style>
  <w:style w:type="character" w:customStyle="1" w:styleId="12">
    <w:name w:val="批注框文本 字符"/>
    <w:basedOn w:val="9"/>
    <w:link w:val="4"/>
    <w:semiHidden/>
    <w:qFormat/>
    <w:uiPriority w:val="99"/>
    <w:rPr>
      <w:sz w:val="18"/>
      <w:szCs w:val="18"/>
    </w:rPr>
  </w:style>
  <w:style w:type="paragraph" w:customStyle="1" w:styleId="1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4">
    <w:name w:val="页眉 字符"/>
    <w:basedOn w:val="9"/>
    <w:link w:val="6"/>
    <w:qFormat/>
    <w:uiPriority w:val="99"/>
    <w:rPr>
      <w:sz w:val="18"/>
      <w:szCs w:val="18"/>
    </w:rPr>
  </w:style>
  <w:style w:type="character" w:customStyle="1" w:styleId="15">
    <w:name w:val="页脚 字符"/>
    <w:basedOn w:val="9"/>
    <w:link w:val="5"/>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2841</Words>
  <Characters>2964</Characters>
  <Lines>23</Lines>
  <Paragraphs>6</Paragraphs>
  <TotalTime>19</TotalTime>
  <ScaleCrop>false</ScaleCrop>
  <LinksUpToDate>false</LinksUpToDate>
  <CharactersWithSpaces>2964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2021-09-02T06:47:00Z</dcterms:created>
  <dc:creator>L KX</dc:creator>
  <cp:lastModifiedBy>LHZ</cp:lastModifiedBy>
  <cp:lastPrinted>2024-09-09T02:04:52Z</cp:lastPrinted>
  <dcterms:modified xsi:type="dcterms:W3CDTF">2024-09-09T02:05:16Z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B79CC73061D943169A58772C833B8F2E_13</vt:lpwstr>
  </property>
</Properties>
</file>