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89C76E">
      <w:pPr>
        <w:spacing w:line="52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广西海陆物流有限公司</w:t>
      </w:r>
      <w:r>
        <w:rPr>
          <w:rFonts w:hint="eastAsia" w:ascii="仿宋" w:hAnsi="仿宋" w:eastAsia="仿宋" w:cs="仿宋"/>
          <w:b/>
          <w:sz w:val="36"/>
          <w:szCs w:val="36"/>
        </w:rPr>
        <w:t>债权申报须知</w:t>
      </w:r>
    </w:p>
    <w:p w14:paraId="63C5FC21">
      <w:pPr>
        <w:spacing w:line="52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4ADB2C1E">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lang w:eastAsia="zh-CN"/>
        </w:rPr>
        <w:t>钦州市钦北区人民法院</w:t>
      </w:r>
      <w:r>
        <w:rPr>
          <w:rFonts w:hint="eastAsia" w:ascii="仿宋" w:hAnsi="仿宋" w:eastAsia="仿宋" w:cs="仿宋"/>
          <w:sz w:val="28"/>
          <w:szCs w:val="28"/>
        </w:rPr>
        <w:t>于</w:t>
      </w:r>
      <w:r>
        <w:rPr>
          <w:rFonts w:hint="eastAsia" w:ascii="仿宋" w:hAnsi="仿宋" w:eastAsia="仿宋" w:cs="仿宋"/>
          <w:sz w:val="28"/>
          <w:szCs w:val="28"/>
          <w:lang w:eastAsia="zh-CN"/>
        </w:rPr>
        <w:t>2024年</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日</w:t>
      </w:r>
      <w:r>
        <w:rPr>
          <w:rFonts w:hint="eastAsia" w:ascii="仿宋" w:hAnsi="仿宋" w:eastAsia="仿宋" w:cs="仿宋"/>
          <w:sz w:val="28"/>
          <w:szCs w:val="28"/>
        </w:rPr>
        <w:t>作出</w:t>
      </w:r>
      <w:r>
        <w:rPr>
          <w:rFonts w:hint="eastAsia" w:ascii="仿宋" w:hAnsi="仿宋" w:eastAsia="仿宋" w:cs="仿宋"/>
          <w:sz w:val="28"/>
          <w:szCs w:val="28"/>
          <w:lang w:eastAsia="zh-CN"/>
        </w:rPr>
        <w:t>（2024）桂0703</w:t>
      </w:r>
      <w:r>
        <w:rPr>
          <w:rFonts w:hint="eastAsia" w:ascii="仿宋" w:hAnsi="仿宋" w:eastAsia="仿宋" w:cs="仿宋"/>
          <w:sz w:val="28"/>
          <w:szCs w:val="28"/>
          <w:lang w:val="en-US" w:eastAsia="zh-CN"/>
        </w:rPr>
        <w:t>破申4</w:t>
      </w:r>
      <w:r>
        <w:rPr>
          <w:rFonts w:hint="eastAsia" w:ascii="仿宋" w:hAnsi="仿宋" w:eastAsia="仿宋" w:cs="仿宋"/>
          <w:sz w:val="28"/>
          <w:szCs w:val="28"/>
          <w:lang w:eastAsia="zh-CN"/>
        </w:rPr>
        <w:t>号</w:t>
      </w:r>
      <w:r>
        <w:rPr>
          <w:rFonts w:hint="eastAsia" w:ascii="仿宋" w:hAnsi="仿宋" w:eastAsia="仿宋" w:cs="仿宋"/>
          <w:sz w:val="28"/>
          <w:szCs w:val="28"/>
        </w:rPr>
        <w:t>《民事裁定书》，裁定受理韦东甫</w:t>
      </w:r>
      <w:r>
        <w:rPr>
          <w:rFonts w:hint="eastAsia" w:ascii="仿宋" w:hAnsi="仿宋" w:eastAsia="仿宋" w:cs="仿宋"/>
          <w:sz w:val="28"/>
          <w:szCs w:val="28"/>
          <w:lang w:eastAsia="zh-CN"/>
        </w:rPr>
        <w:t>、韦锑</w:t>
      </w:r>
      <w:r>
        <w:rPr>
          <w:rFonts w:hint="eastAsia" w:ascii="仿宋" w:hAnsi="仿宋" w:eastAsia="仿宋" w:cs="仿宋"/>
          <w:sz w:val="28"/>
          <w:szCs w:val="28"/>
        </w:rPr>
        <w:t>对</w:t>
      </w:r>
      <w:r>
        <w:rPr>
          <w:rFonts w:hint="eastAsia" w:ascii="仿宋" w:hAnsi="仿宋" w:eastAsia="仿宋" w:cs="仿宋"/>
          <w:sz w:val="28"/>
          <w:szCs w:val="28"/>
          <w:lang w:eastAsia="zh-CN"/>
        </w:rPr>
        <w:t>广西海陆物流有限公司</w:t>
      </w:r>
      <w:r>
        <w:rPr>
          <w:rFonts w:hint="eastAsia" w:ascii="仿宋" w:hAnsi="仿宋" w:eastAsia="仿宋" w:cs="仿宋"/>
          <w:sz w:val="28"/>
          <w:szCs w:val="28"/>
        </w:rPr>
        <w:t>的</w:t>
      </w:r>
      <w:r>
        <w:rPr>
          <w:rFonts w:hint="eastAsia" w:ascii="仿宋" w:hAnsi="仿宋" w:eastAsia="仿宋" w:cs="仿宋"/>
          <w:sz w:val="28"/>
          <w:szCs w:val="28"/>
          <w:lang w:val="en-US" w:eastAsia="zh-CN"/>
        </w:rPr>
        <w:t>破产清算</w:t>
      </w:r>
      <w:r>
        <w:rPr>
          <w:rFonts w:hint="eastAsia" w:ascii="仿宋" w:hAnsi="仿宋" w:eastAsia="仿宋" w:cs="仿宋"/>
          <w:sz w:val="28"/>
          <w:szCs w:val="28"/>
        </w:rPr>
        <w:t>申请，并于</w:t>
      </w:r>
      <w:r>
        <w:rPr>
          <w:rFonts w:hint="eastAsia" w:ascii="仿宋" w:hAnsi="仿宋" w:eastAsia="仿宋" w:cs="仿宋"/>
          <w:sz w:val="28"/>
          <w:szCs w:val="28"/>
          <w:lang w:eastAsia="zh-CN"/>
        </w:rPr>
        <w:t>2024年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日</w:t>
      </w:r>
      <w:r>
        <w:rPr>
          <w:rFonts w:hint="eastAsia" w:ascii="仿宋" w:hAnsi="仿宋" w:eastAsia="仿宋" w:cs="仿宋"/>
          <w:sz w:val="28"/>
          <w:szCs w:val="28"/>
        </w:rPr>
        <w:t>作出</w:t>
      </w:r>
      <w:r>
        <w:rPr>
          <w:rFonts w:hint="eastAsia" w:ascii="仿宋" w:hAnsi="仿宋" w:eastAsia="仿宋" w:cs="仿宋"/>
          <w:sz w:val="28"/>
          <w:szCs w:val="28"/>
          <w:lang w:eastAsia="zh-CN"/>
        </w:rPr>
        <w:t>（2024）桂0703</w:t>
      </w:r>
      <w:r>
        <w:rPr>
          <w:rFonts w:hint="eastAsia" w:ascii="仿宋" w:hAnsi="仿宋" w:eastAsia="仿宋" w:cs="仿宋"/>
          <w:sz w:val="28"/>
          <w:szCs w:val="28"/>
          <w:lang w:val="en-US" w:eastAsia="zh-CN"/>
        </w:rPr>
        <w:t>破1</w:t>
      </w:r>
      <w:r>
        <w:rPr>
          <w:rFonts w:hint="eastAsia" w:ascii="仿宋" w:hAnsi="仿宋" w:eastAsia="仿宋" w:cs="仿宋"/>
          <w:sz w:val="28"/>
          <w:szCs w:val="28"/>
          <w:lang w:eastAsia="zh-CN"/>
        </w:rPr>
        <w:t>号《决定书》</w:t>
      </w:r>
      <w:r>
        <w:rPr>
          <w:rFonts w:hint="eastAsia" w:ascii="仿宋" w:hAnsi="仿宋" w:eastAsia="仿宋" w:cs="仿宋"/>
          <w:sz w:val="28"/>
          <w:szCs w:val="28"/>
        </w:rPr>
        <w:t>，</w:t>
      </w:r>
      <w:r>
        <w:rPr>
          <w:rFonts w:hint="eastAsia" w:ascii="仿宋" w:hAnsi="仿宋" w:eastAsia="仿宋" w:cs="仿宋"/>
          <w:sz w:val="28"/>
          <w:szCs w:val="28"/>
          <w:lang w:val="en-US" w:eastAsia="zh-CN"/>
        </w:rPr>
        <w:t>指定</w:t>
      </w:r>
      <w:r>
        <w:rPr>
          <w:rFonts w:hint="eastAsia" w:ascii="仿宋" w:hAnsi="仿宋" w:eastAsia="仿宋" w:cs="仿宋"/>
          <w:sz w:val="28"/>
          <w:szCs w:val="28"/>
        </w:rPr>
        <w:t>由</w:t>
      </w:r>
      <w:r>
        <w:rPr>
          <w:rFonts w:hint="eastAsia" w:ascii="仿宋" w:hAnsi="仿宋" w:eastAsia="仿宋" w:cs="仿宋"/>
          <w:sz w:val="28"/>
          <w:szCs w:val="28"/>
          <w:lang w:val="en-US" w:eastAsia="zh-CN"/>
        </w:rPr>
        <w:t>广西桂三力律师事务所与</w:t>
      </w:r>
      <w:r>
        <w:rPr>
          <w:rFonts w:hint="eastAsia" w:ascii="仿宋" w:hAnsi="仿宋" w:eastAsia="仿宋" w:cs="仿宋"/>
          <w:sz w:val="28"/>
          <w:szCs w:val="28"/>
          <w:lang w:eastAsia="zh-CN"/>
        </w:rPr>
        <w:t>北京德恒（南宁）律师事务所</w:t>
      </w:r>
      <w:r>
        <w:rPr>
          <w:rFonts w:hint="eastAsia" w:ascii="仿宋" w:hAnsi="仿宋" w:eastAsia="仿宋" w:cs="仿宋"/>
          <w:sz w:val="28"/>
          <w:szCs w:val="28"/>
          <w:lang w:val="en-US" w:eastAsia="zh-CN"/>
        </w:rPr>
        <w:t>联合担任管理人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负责</w:t>
      </w:r>
      <w:r>
        <w:rPr>
          <w:rFonts w:hint="eastAsia" w:ascii="仿宋" w:hAnsi="仿宋" w:eastAsia="仿宋" w:cs="仿宋"/>
          <w:sz w:val="28"/>
          <w:szCs w:val="28"/>
          <w:lang w:eastAsia="zh-CN"/>
        </w:rPr>
        <w:t>广西海陆物流有限公司破产清算</w:t>
      </w:r>
      <w:r>
        <w:rPr>
          <w:rFonts w:hint="eastAsia" w:ascii="仿宋" w:hAnsi="仿宋" w:eastAsia="仿宋" w:cs="仿宋"/>
          <w:sz w:val="28"/>
          <w:szCs w:val="28"/>
          <w:lang w:val="en-US" w:eastAsia="zh-CN"/>
        </w:rPr>
        <w:t>工作</w:t>
      </w:r>
      <w:r>
        <w:rPr>
          <w:rFonts w:hint="eastAsia" w:ascii="仿宋" w:hAnsi="仿宋" w:eastAsia="仿宋" w:cs="仿宋"/>
          <w:kern w:val="0"/>
          <w:sz w:val="28"/>
          <w:szCs w:val="28"/>
          <w:lang w:val="en-US" w:eastAsia="zh-CN" w:bidi="ar"/>
        </w:rPr>
        <w:t>。</w:t>
      </w:r>
      <w:r>
        <w:rPr>
          <w:rFonts w:hint="eastAsia" w:ascii="仿宋" w:hAnsi="仿宋" w:eastAsia="仿宋" w:cs="仿宋"/>
          <w:kern w:val="0"/>
          <w:sz w:val="28"/>
          <w:szCs w:val="28"/>
        </w:rPr>
        <w:t>为使债权人了解债权申报程序，保证债权申报工作的顺利进行，</w:t>
      </w:r>
      <w:r>
        <w:rPr>
          <w:rFonts w:hint="eastAsia" w:ascii="仿宋" w:hAnsi="仿宋" w:eastAsia="仿宋" w:cs="仿宋"/>
          <w:kern w:val="0"/>
          <w:sz w:val="28"/>
          <w:szCs w:val="28"/>
          <w:lang w:eastAsia="zh-CN"/>
        </w:rPr>
        <w:t>管理人</w:t>
      </w:r>
      <w:r>
        <w:rPr>
          <w:rFonts w:hint="eastAsia" w:ascii="仿宋" w:hAnsi="仿宋" w:eastAsia="仿宋" w:cs="仿宋"/>
          <w:kern w:val="0"/>
          <w:sz w:val="28"/>
          <w:szCs w:val="28"/>
        </w:rPr>
        <w:t>就债权申报相关事宜说明如下：</w:t>
      </w:r>
    </w:p>
    <w:p w14:paraId="0B944309">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一、为保障债权人权益，债权人应当在</w:t>
      </w:r>
      <w:r>
        <w:rPr>
          <w:rFonts w:hint="eastAsia" w:ascii="仿宋" w:hAnsi="仿宋" w:eastAsia="仿宋" w:cs="仿宋"/>
          <w:color w:val="000000" w:themeColor="text1"/>
          <w:sz w:val="28"/>
          <w:szCs w:val="28"/>
          <w:lang w:val="en-US" w:eastAsia="zh-CN"/>
          <w14:textFill>
            <w14:solidFill>
              <w14:schemeClr w14:val="tx1"/>
            </w14:solidFill>
          </w14:textFill>
        </w:rPr>
        <w:t>钦州市钦北区人民法院</w:t>
      </w:r>
      <w:r>
        <w:rPr>
          <w:rFonts w:hint="eastAsia" w:ascii="仿宋" w:hAnsi="仿宋" w:eastAsia="仿宋" w:cs="仿宋"/>
          <w:color w:val="000000" w:themeColor="text1"/>
          <w:sz w:val="28"/>
          <w:szCs w:val="28"/>
          <w14:textFill>
            <w14:solidFill>
              <w14:schemeClr w14:val="tx1"/>
            </w14:solidFill>
          </w14:textFill>
        </w:rPr>
        <w:t xml:space="preserve">规定的申报期限内完成债权申报。 </w:t>
      </w:r>
    </w:p>
    <w:p w14:paraId="35387C60">
      <w:pPr>
        <w:widowControl/>
        <w:spacing w:line="560" w:lineRule="exact"/>
        <w:ind w:right="150" w:firstLine="48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二、债权人在申报债权时应当注意以下事项： </w:t>
      </w:r>
    </w:p>
    <w:p w14:paraId="2DD9F5E5">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 xml:space="preserve">未到期的债权，在破产申请受理时视为债权到期。 </w:t>
      </w:r>
    </w:p>
    <w:p w14:paraId="79BC387F">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 xml:space="preserve">附利息的债权，自破产申请受理时起停止计息。 </w:t>
      </w:r>
    </w:p>
    <w:p w14:paraId="5E19F065">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 xml:space="preserve">附条件、附期限的债权和诉讼、仲裁未决的债权，债权人可以申报。 </w:t>
      </w:r>
    </w:p>
    <w:p w14:paraId="3D38FE8E">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债权人申报债权时，应当书面说明债权的数额和有无财产担保情况，并提交有关证据。申报的债权是连带债权的，应当说明。</w:t>
      </w:r>
    </w:p>
    <w:p w14:paraId="7F951FC8">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 xml:space="preserve">连带债权人可以由其中一人代表全体连带债权人申报债权，也可以共同申报债权。 </w:t>
      </w:r>
    </w:p>
    <w:p w14:paraId="7AE0BAF5">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 xml:space="preserve">债务人的保证人或者其他连带债务人已经代替债务人清偿债务的，可就其对债务人的求偿权申报债权。 </w:t>
      </w:r>
    </w:p>
    <w:p w14:paraId="197AC1E4">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w:t>
      </w:r>
      <w:r>
        <w:rPr>
          <w:rFonts w:hint="eastAsia" w:ascii="仿宋" w:hAnsi="仿宋" w:eastAsia="仿宋" w:cs="仿宋"/>
          <w:color w:val="000000" w:themeColor="text1"/>
          <w:sz w:val="28"/>
          <w:szCs w:val="28"/>
          <w14:textFill>
            <w14:solidFill>
              <w14:schemeClr w14:val="tx1"/>
            </w14:solidFill>
          </w14:textFill>
        </w:rPr>
        <w:t xml:space="preserve">债务人的保证人或者其他连带债务人尚未代替债务人清偿债务的，以其对债务人的将来求偿权申报债权。但债权人已经向管理人申报全部债权的除外。 </w:t>
      </w:r>
    </w:p>
    <w:p w14:paraId="2A5356C9">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（八）</w:t>
      </w:r>
      <w:r>
        <w:rPr>
          <w:rFonts w:hint="eastAsia" w:ascii="仿宋" w:hAnsi="仿宋" w:eastAsia="仿宋" w:cs="仿宋"/>
          <w:color w:val="000000" w:themeColor="text1"/>
          <w:sz w:val="28"/>
          <w:szCs w:val="28"/>
          <w14:textFill>
            <w14:solidFill>
              <w14:schemeClr w14:val="tx1"/>
            </w14:solidFill>
          </w14:textFill>
        </w:rPr>
        <w:t xml:space="preserve">管理人依照《企业破产法》规定解除合同的，对方当事人以因合同解除所产生的损害赔偿请求权申报债权。 </w:t>
      </w:r>
    </w:p>
    <w:p w14:paraId="41EF9A47">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（九）</w:t>
      </w:r>
      <w:r>
        <w:rPr>
          <w:rFonts w:hint="eastAsia" w:ascii="仿宋" w:hAnsi="仿宋" w:eastAsia="仿宋" w:cs="仿宋"/>
          <w:color w:val="000000" w:themeColor="text1"/>
          <w:sz w:val="28"/>
          <w:szCs w:val="28"/>
          <w14:textFill>
            <w14:solidFill>
              <w14:schemeClr w14:val="tx1"/>
            </w14:solidFill>
          </w14:textFill>
        </w:rPr>
        <w:t xml:space="preserve">债务人是委托合同的委托人，受托人不知该委托人破产受理的事实，继续处理委托事务的，受托人以由此产生的请求权申报债权。 </w:t>
      </w:r>
    </w:p>
    <w:p w14:paraId="5481C493">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 xml:space="preserve">债务人是票据的出票人，被裁定破产受理的，该票据的付款人继续付款或者承兑的，付款人以由此产生的请求权申报债权。 </w:t>
      </w:r>
    </w:p>
    <w:p w14:paraId="55F39ABB">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（十一）</w:t>
      </w:r>
      <w:r>
        <w:rPr>
          <w:rFonts w:hint="eastAsia" w:ascii="仿宋" w:hAnsi="仿宋" w:eastAsia="仿宋" w:cs="仿宋"/>
          <w:color w:val="000000" w:themeColor="text1"/>
          <w:sz w:val="28"/>
          <w:szCs w:val="28"/>
          <w14:textFill>
            <w14:solidFill>
              <w14:schemeClr w14:val="tx1"/>
            </w14:solidFill>
          </w14:textFill>
        </w:rPr>
        <w:t xml:space="preserve">法律规定其它可以申报的债权，债权人应当予以申报。 </w:t>
      </w:r>
    </w:p>
    <w:p w14:paraId="61AD65AC">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三、债权申报材料</w:t>
      </w:r>
    </w:p>
    <w:p w14:paraId="7A5D005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债权人在</w:t>
      </w:r>
      <w:r>
        <w:rPr>
          <w:rFonts w:hint="eastAsia" w:ascii="仿宋" w:hAnsi="仿宋" w:eastAsia="仿宋" w:cs="仿宋"/>
          <w:sz w:val="28"/>
          <w:szCs w:val="28"/>
        </w:rPr>
        <w:t>申报债权</w:t>
      </w:r>
      <w:r>
        <w:rPr>
          <w:rFonts w:hint="eastAsia" w:ascii="仿宋" w:hAnsi="仿宋" w:eastAsia="仿宋" w:cs="仿宋"/>
          <w:sz w:val="28"/>
          <w:szCs w:val="28"/>
          <w:lang w:eastAsia="zh-Hans"/>
        </w:rPr>
        <w:t>时</w:t>
      </w:r>
      <w:r>
        <w:rPr>
          <w:rFonts w:hint="eastAsia" w:ascii="仿宋" w:hAnsi="仿宋" w:eastAsia="仿宋" w:cs="仿宋"/>
          <w:sz w:val="28"/>
          <w:szCs w:val="28"/>
        </w:rPr>
        <w:t>应当如实、详细填写债权申报文书并提供完整、真实有效的申报材料。申报债权应提供如下材料：</w:t>
      </w:r>
    </w:p>
    <w:p w14:paraId="0695A96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《债权申报登记表》、《送达地址确认书》、《送达回证》。</w:t>
      </w:r>
    </w:p>
    <w:p w14:paraId="2D45DE80">
      <w:pPr>
        <w:widowControl/>
        <w:spacing w:line="560" w:lineRule="exact"/>
        <w:ind w:right="15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申报人身份证明、授权委托文件。</w:t>
      </w:r>
      <w:r>
        <w:rPr>
          <w:rFonts w:hint="eastAsia" w:ascii="仿宋" w:hAnsi="仿宋" w:eastAsia="仿宋" w:cs="仿宋"/>
          <w:b/>
          <w:bCs/>
          <w:sz w:val="28"/>
          <w:szCs w:val="28"/>
        </w:rPr>
        <w:t>债权人为法人的</w:t>
      </w:r>
      <w:r>
        <w:rPr>
          <w:rFonts w:hint="eastAsia" w:ascii="仿宋" w:hAnsi="仿宋" w:eastAsia="仿宋" w:cs="仿宋"/>
          <w:sz w:val="28"/>
          <w:szCs w:val="28"/>
        </w:rPr>
        <w:t>，提供</w:t>
      </w:r>
      <w:r>
        <w:rPr>
          <w:rFonts w:hint="eastAsia" w:ascii="仿宋" w:hAnsi="仿宋" w:eastAsia="仿宋" w:cs="仿宋"/>
          <w:sz w:val="28"/>
          <w:szCs w:val="28"/>
          <w:lang w:eastAsia="zh-Hans"/>
        </w:rPr>
        <w:t>企业法人最新的</w:t>
      </w:r>
      <w:r>
        <w:rPr>
          <w:rFonts w:hint="eastAsia" w:ascii="仿宋" w:hAnsi="仿宋" w:eastAsia="仿宋" w:cs="仿宋"/>
          <w:sz w:val="28"/>
          <w:szCs w:val="28"/>
        </w:rPr>
        <w:t>营业执照复印件（</w:t>
      </w:r>
      <w:r>
        <w:rPr>
          <w:rFonts w:hint="eastAsia" w:ascii="仿宋" w:hAnsi="仿宋" w:eastAsia="仿宋" w:cs="仿宋"/>
          <w:sz w:val="28"/>
          <w:szCs w:val="28"/>
          <w:lang w:eastAsia="zh-Hans"/>
        </w:rPr>
        <w:t>需</w:t>
      </w:r>
      <w:r>
        <w:rPr>
          <w:rFonts w:hint="eastAsia" w:ascii="仿宋" w:hAnsi="仿宋" w:eastAsia="仿宋" w:cs="仿宋"/>
          <w:sz w:val="28"/>
          <w:szCs w:val="28"/>
        </w:rPr>
        <w:t>加盖公章）、《法定代表人（负责人）身份证明书》（原件）、法定代表人（负责人）身份证复印件（加盖公章并签字确认）</w:t>
      </w:r>
      <w:r>
        <w:rPr>
          <w:rFonts w:hint="eastAsia" w:ascii="仿宋" w:hAnsi="仿宋" w:eastAsia="仿宋" w:cs="仿宋"/>
          <w:sz w:val="28"/>
          <w:szCs w:val="28"/>
          <w:lang w:eastAsia="zh-CN"/>
        </w:rPr>
        <w:t>。</w:t>
      </w:r>
    </w:p>
    <w:p w14:paraId="5C4318F2">
      <w:pPr>
        <w:widowControl/>
        <w:spacing w:line="560" w:lineRule="exact"/>
        <w:ind w:right="150"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申报人身份证明、授权委托文件。</w:t>
      </w:r>
      <w:r>
        <w:rPr>
          <w:rFonts w:hint="eastAsia" w:ascii="仿宋" w:hAnsi="仿宋" w:eastAsia="仿宋" w:cs="仿宋"/>
          <w:b/>
          <w:bCs/>
          <w:sz w:val="28"/>
          <w:szCs w:val="28"/>
        </w:rPr>
        <w:t>债权人为自然人的</w:t>
      </w:r>
      <w:r>
        <w:rPr>
          <w:rFonts w:hint="eastAsia" w:ascii="仿宋" w:hAnsi="仿宋" w:eastAsia="仿宋" w:cs="仿宋"/>
          <w:sz w:val="28"/>
          <w:szCs w:val="28"/>
        </w:rPr>
        <w:t>，提供本人公民身份证复印件（签字确认）；委托代理人申报的，还应提供授权委托书（原件）及委托代理人身份证</w:t>
      </w:r>
      <w:r>
        <w:rPr>
          <w:rFonts w:hint="eastAsia" w:ascii="仿宋" w:hAnsi="仿宋" w:eastAsia="仿宋" w:cs="仿宋"/>
          <w:sz w:val="28"/>
          <w:szCs w:val="28"/>
          <w:lang w:eastAsia="zh-Hans"/>
        </w:rPr>
        <w:t>复印件（</w:t>
      </w:r>
      <w:r>
        <w:rPr>
          <w:rFonts w:hint="eastAsia" w:ascii="仿宋" w:hAnsi="仿宋" w:eastAsia="仿宋" w:cs="仿宋"/>
          <w:sz w:val="28"/>
          <w:szCs w:val="28"/>
        </w:rPr>
        <w:t>签字确认），委托代理人是律师的，还应提交律师事务所指派函原件</w:t>
      </w:r>
      <w:r>
        <w:rPr>
          <w:rFonts w:hint="eastAsia" w:ascii="仿宋" w:hAnsi="仿宋" w:eastAsia="仿宋" w:cs="仿宋"/>
          <w:sz w:val="28"/>
          <w:szCs w:val="28"/>
          <w:lang w:eastAsia="zh-Hans"/>
        </w:rPr>
        <w:t>以及律师执业证复印件</w:t>
      </w:r>
      <w:r>
        <w:rPr>
          <w:rFonts w:hint="eastAsia" w:ascii="仿宋" w:hAnsi="仿宋" w:eastAsia="仿宋" w:cs="仿宋"/>
          <w:sz w:val="28"/>
          <w:szCs w:val="28"/>
        </w:rPr>
        <w:t>。</w:t>
      </w:r>
    </w:p>
    <w:p w14:paraId="7CC17B77">
      <w:pPr>
        <w:widowControl/>
        <w:spacing w:line="560" w:lineRule="exact"/>
        <w:ind w:right="150"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债权人委托代理人为</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2人</w:t>
      </w:r>
      <w:r>
        <w:rPr>
          <w:rFonts w:hint="eastAsia" w:ascii="仿宋" w:hAnsi="仿宋" w:eastAsia="仿宋" w:cs="仿宋"/>
          <w:color w:val="000000" w:themeColor="text1"/>
          <w:sz w:val="28"/>
          <w:szCs w:val="28"/>
          <w:lang w:eastAsia="zh-CN"/>
          <w14:textFill>
            <w14:solidFill>
              <w14:schemeClr w14:val="tx1"/>
            </w14:solidFill>
          </w14:textFill>
        </w:rPr>
        <w:t>。</w:t>
      </w:r>
    </w:p>
    <w:p w14:paraId="0F6A9516">
      <w:pPr>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证明债权事实的相关证据材料。债权人</w:t>
      </w:r>
      <w:r>
        <w:rPr>
          <w:rFonts w:hint="eastAsia" w:ascii="仿宋" w:hAnsi="仿宋" w:eastAsia="仿宋" w:cs="仿宋"/>
          <w:sz w:val="28"/>
          <w:szCs w:val="28"/>
          <w:lang w:eastAsia="zh-Hans"/>
        </w:rPr>
        <w:t>提交的证据材料复印件应当与</w:t>
      </w:r>
      <w:r>
        <w:rPr>
          <w:rFonts w:hint="eastAsia" w:ascii="仿宋" w:hAnsi="仿宋" w:eastAsia="仿宋" w:cs="仿宋"/>
          <w:sz w:val="28"/>
          <w:szCs w:val="28"/>
        </w:rPr>
        <w:t>证据原件</w:t>
      </w:r>
      <w:r>
        <w:rPr>
          <w:rFonts w:hint="eastAsia" w:ascii="仿宋" w:hAnsi="仿宋" w:eastAsia="仿宋" w:cs="仿宋"/>
          <w:sz w:val="28"/>
          <w:szCs w:val="28"/>
          <w:lang w:eastAsia="zh-Hans"/>
        </w:rPr>
        <w:t>保持一致</w:t>
      </w:r>
      <w:r>
        <w:rPr>
          <w:rFonts w:hint="eastAsia" w:ascii="仿宋" w:hAnsi="仿宋" w:eastAsia="仿宋" w:cs="仿宋"/>
          <w:sz w:val="28"/>
          <w:szCs w:val="28"/>
        </w:rPr>
        <w:t>，证据材料应当附证据清单。证据材料包括但不限于协议、履行协议的证据、付款凭证、银行凭单、对账单、收货单、收据或发票、往来函件、权利登记证明文件、追收债权证明等；相关权利已经得到生效的裁判文书/仲裁裁决书确认的，应当提交相关法律文书，案件</w:t>
      </w:r>
      <w:r>
        <w:rPr>
          <w:rFonts w:hint="eastAsia" w:ascii="仿宋" w:hAnsi="仿宋" w:eastAsia="仿宋" w:cs="仿宋"/>
          <w:sz w:val="28"/>
          <w:szCs w:val="28"/>
          <w:lang w:eastAsia="zh-Hans"/>
        </w:rPr>
        <w:t>已生效的，</w:t>
      </w:r>
      <w:r>
        <w:rPr>
          <w:rFonts w:hint="eastAsia" w:ascii="仿宋" w:hAnsi="仿宋" w:eastAsia="仿宋" w:cs="仿宋"/>
          <w:sz w:val="28"/>
          <w:szCs w:val="28"/>
        </w:rPr>
        <w:t>还应提供法院出具的生效证明或案件已进入执行程序的证明；债权人申报的债权还有其他</w:t>
      </w:r>
      <w:r>
        <w:rPr>
          <w:rFonts w:hint="eastAsia" w:ascii="仿宋" w:hAnsi="仿宋" w:eastAsia="仿宋" w:cs="仿宋"/>
          <w:sz w:val="28"/>
          <w:szCs w:val="28"/>
          <w:lang w:eastAsia="zh-CN"/>
        </w:rPr>
        <w:t>清算企业</w:t>
      </w:r>
      <w:r>
        <w:rPr>
          <w:rFonts w:hint="eastAsia" w:ascii="仿宋" w:hAnsi="仿宋" w:eastAsia="仿宋" w:cs="仿宋"/>
          <w:sz w:val="28"/>
          <w:szCs w:val="28"/>
        </w:rPr>
        <w:t>的，应当说明其他</w:t>
      </w:r>
      <w:r>
        <w:rPr>
          <w:rFonts w:hint="eastAsia" w:ascii="仿宋" w:hAnsi="仿宋" w:eastAsia="仿宋" w:cs="仿宋"/>
          <w:sz w:val="28"/>
          <w:szCs w:val="28"/>
          <w:lang w:eastAsia="zh-CN"/>
        </w:rPr>
        <w:t>清算企业</w:t>
      </w:r>
      <w:r>
        <w:rPr>
          <w:rFonts w:hint="eastAsia" w:ascii="仿宋" w:hAnsi="仿宋" w:eastAsia="仿宋" w:cs="仿宋"/>
          <w:sz w:val="28"/>
          <w:szCs w:val="28"/>
        </w:rPr>
        <w:t>的履行情况。</w:t>
      </w:r>
    </w:p>
    <w:p w14:paraId="3AB3E64B">
      <w:pPr>
        <w:spacing w:line="520" w:lineRule="exact"/>
        <w:ind w:firstLine="562" w:firstLineChars="200"/>
        <w:textAlignment w:val="baseline"/>
        <w:rPr>
          <w:rFonts w:hint="eastAsia" w:ascii="仿宋" w:hAnsi="仿宋" w:eastAsia="仿宋" w:cs="仿宋"/>
          <w:b/>
          <w:bCs/>
          <w:sz w:val="28"/>
          <w:szCs w:val="28"/>
          <w:lang w:eastAsia="zh-Hans"/>
        </w:rPr>
      </w:pPr>
      <w:r>
        <w:rPr>
          <w:rFonts w:hint="eastAsia" w:ascii="仿宋" w:hAnsi="仿宋" w:eastAsia="仿宋" w:cs="仿宋"/>
          <w:b/>
          <w:bCs/>
          <w:sz w:val="28"/>
          <w:szCs w:val="28"/>
          <w:lang w:eastAsia="zh-Hans"/>
        </w:rPr>
        <w:t>上述材料均（包含证据材料）需提交一式二份</w:t>
      </w:r>
      <w:r>
        <w:rPr>
          <w:rFonts w:hint="eastAsia" w:ascii="仿宋" w:hAnsi="仿宋" w:eastAsia="仿宋" w:cs="仿宋"/>
          <w:b/>
          <w:bCs/>
          <w:sz w:val="28"/>
          <w:szCs w:val="28"/>
        </w:rPr>
        <w:t>，提供复印件的均需提供原件核对。</w:t>
      </w:r>
    </w:p>
    <w:p w14:paraId="301CA2AF">
      <w:pPr>
        <w:spacing w:line="520" w:lineRule="exact"/>
        <w:ind w:firstLine="562" w:firstLineChars="200"/>
        <w:textAlignment w:val="baseline"/>
        <w:rPr>
          <w:rFonts w:hint="eastAsia" w:ascii="仿宋" w:hAnsi="仿宋" w:eastAsia="仿宋" w:cs="仿宋"/>
          <w:b/>
          <w:sz w:val="28"/>
          <w:szCs w:val="28"/>
        </w:rPr>
      </w:pPr>
      <w:r>
        <w:rPr>
          <w:rFonts w:hint="eastAsia" w:ascii="仿宋" w:hAnsi="仿宋" w:eastAsia="仿宋" w:cs="仿宋"/>
          <w:b/>
          <w:sz w:val="28"/>
          <w:szCs w:val="28"/>
        </w:rPr>
        <w:t>四、提交资料注意事项</w:t>
      </w:r>
    </w:p>
    <w:p w14:paraId="61BBBD35">
      <w:pPr>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申报债权金额的填写：应当有明确的债权金额（同一个法人/自然人存在多笔</w:t>
      </w:r>
      <w:r>
        <w:rPr>
          <w:rFonts w:hint="eastAsia" w:ascii="仿宋" w:hAnsi="仿宋" w:eastAsia="仿宋" w:cs="仿宋"/>
          <w:sz w:val="28"/>
          <w:szCs w:val="28"/>
          <w:lang w:val="en-US" w:eastAsia="zh-CN"/>
        </w:rPr>
        <w:t>同类</w:t>
      </w:r>
      <w:r>
        <w:rPr>
          <w:rFonts w:hint="eastAsia" w:ascii="仿宋" w:hAnsi="仿宋" w:eastAsia="仿宋" w:cs="仿宋"/>
          <w:sz w:val="28"/>
          <w:szCs w:val="28"/>
        </w:rPr>
        <w:t>债权的，各项数额合计填写</w:t>
      </w:r>
      <w:r>
        <w:rPr>
          <w:rFonts w:hint="eastAsia" w:ascii="仿宋" w:hAnsi="仿宋" w:eastAsia="仿宋" w:cs="仿宋"/>
          <w:sz w:val="28"/>
          <w:szCs w:val="28"/>
          <w:lang w:eastAsia="zh-CN"/>
        </w:rPr>
        <w:t>；</w:t>
      </w:r>
      <w:r>
        <w:rPr>
          <w:rFonts w:hint="eastAsia" w:ascii="仿宋" w:hAnsi="仿宋" w:eastAsia="仿宋" w:cs="仿宋"/>
          <w:sz w:val="28"/>
          <w:szCs w:val="28"/>
        </w:rPr>
        <w:t>同一个法人/自然人存在多笔</w:t>
      </w:r>
      <w:r>
        <w:rPr>
          <w:rFonts w:hint="eastAsia" w:ascii="仿宋" w:hAnsi="仿宋" w:eastAsia="仿宋" w:cs="仿宋"/>
          <w:sz w:val="28"/>
          <w:szCs w:val="28"/>
          <w:lang w:val="en-US" w:eastAsia="zh-CN"/>
        </w:rPr>
        <w:t>不同类</w:t>
      </w:r>
      <w:r>
        <w:rPr>
          <w:rFonts w:hint="eastAsia" w:ascii="仿宋" w:hAnsi="仿宋" w:eastAsia="仿宋" w:cs="仿宋"/>
          <w:sz w:val="28"/>
          <w:szCs w:val="28"/>
        </w:rPr>
        <w:t>债权的，</w:t>
      </w:r>
      <w:r>
        <w:rPr>
          <w:rFonts w:hint="eastAsia" w:ascii="仿宋" w:hAnsi="仿宋" w:eastAsia="仿宋" w:cs="仿宋"/>
          <w:sz w:val="28"/>
          <w:szCs w:val="28"/>
          <w:lang w:val="en-US" w:eastAsia="zh-CN"/>
        </w:rPr>
        <w:t>需分开申报债权</w:t>
      </w:r>
      <w:r>
        <w:rPr>
          <w:rFonts w:hint="eastAsia" w:ascii="仿宋" w:hAnsi="仿宋" w:eastAsia="仿宋" w:cs="仿宋"/>
          <w:sz w:val="28"/>
          <w:szCs w:val="28"/>
        </w:rPr>
        <w:t>），债权以外币计价的，应换算成人民币计值，汇率以</w:t>
      </w:r>
      <w:r>
        <w:rPr>
          <w:rFonts w:hint="eastAsia" w:ascii="仿宋" w:hAnsi="仿宋" w:eastAsia="仿宋" w:cs="仿宋"/>
          <w:sz w:val="28"/>
          <w:szCs w:val="28"/>
          <w:lang w:eastAsia="zh-CN"/>
        </w:rPr>
        <w:t>破产清算</w:t>
      </w:r>
      <w:r>
        <w:rPr>
          <w:rFonts w:hint="eastAsia" w:ascii="仿宋" w:hAnsi="仿宋" w:eastAsia="仿宋" w:cs="仿宋"/>
          <w:sz w:val="28"/>
          <w:szCs w:val="28"/>
        </w:rPr>
        <w:t>申请受理</w:t>
      </w:r>
      <w:r>
        <w:rPr>
          <w:rFonts w:hint="eastAsia" w:ascii="仿宋" w:hAnsi="仿宋" w:eastAsia="仿宋" w:cs="仿宋"/>
          <w:sz w:val="28"/>
          <w:szCs w:val="28"/>
          <w:lang w:val="en-US" w:eastAsia="zh-CN"/>
        </w:rPr>
        <w:t>前一日</w:t>
      </w:r>
      <w:r>
        <w:rPr>
          <w:rFonts w:hint="eastAsia" w:ascii="仿宋" w:hAnsi="仿宋" w:eastAsia="仿宋" w:cs="仿宋"/>
          <w:sz w:val="28"/>
          <w:szCs w:val="28"/>
        </w:rPr>
        <w:t>（</w:t>
      </w:r>
      <w:r>
        <w:rPr>
          <w:rFonts w:hint="eastAsia" w:ascii="仿宋" w:hAnsi="仿宋" w:eastAsia="仿宋" w:cs="仿宋"/>
          <w:sz w:val="28"/>
          <w:szCs w:val="28"/>
          <w:lang w:val="en-US" w:eastAsia="zh-CN"/>
        </w:rPr>
        <w:t>即</w:t>
      </w:r>
      <w:r>
        <w:rPr>
          <w:rFonts w:hint="eastAsia" w:ascii="仿宋" w:hAnsi="仿宋" w:eastAsia="仿宋" w:cs="仿宋"/>
          <w:sz w:val="28"/>
          <w:szCs w:val="28"/>
          <w:lang w:eastAsia="zh-CN"/>
        </w:rPr>
        <w:t>2024年7月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w:t>
      </w:r>
      <w:r>
        <w:rPr>
          <w:rFonts w:hint="eastAsia" w:ascii="仿宋" w:hAnsi="仿宋" w:eastAsia="仿宋" w:cs="仿宋"/>
          <w:sz w:val="28"/>
          <w:szCs w:val="28"/>
        </w:rPr>
        <w:t>）国家外汇管理局公布的市场交易中间价为准（请提交银行出具的汇率证明）；</w:t>
      </w:r>
    </w:p>
    <w:p w14:paraId="1E68EFC2">
      <w:pPr>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利息、违约金、其他损失金额的填写：计算时间</w:t>
      </w:r>
      <w:r>
        <w:rPr>
          <w:rFonts w:hint="eastAsia" w:ascii="仿宋" w:hAnsi="仿宋" w:eastAsia="仿宋" w:cs="仿宋"/>
          <w:sz w:val="28"/>
          <w:szCs w:val="28"/>
          <w:lang w:val="en-US" w:eastAsia="zh-CN"/>
        </w:rPr>
        <w:t>只能计算至截止到</w:t>
      </w:r>
      <w:r>
        <w:rPr>
          <w:rFonts w:hint="eastAsia" w:ascii="仿宋" w:hAnsi="仿宋" w:eastAsia="仿宋" w:cs="仿宋"/>
          <w:sz w:val="28"/>
          <w:szCs w:val="28"/>
          <w:lang w:eastAsia="zh-CN"/>
        </w:rPr>
        <w:t>破产</w:t>
      </w:r>
      <w:bookmarkStart w:id="0" w:name="_GoBack"/>
      <w:r>
        <w:rPr>
          <w:rFonts w:hint="eastAsia" w:ascii="仿宋" w:hAnsi="仿宋" w:eastAsia="仿宋" w:cs="仿宋"/>
          <w:sz w:val="28"/>
          <w:szCs w:val="28"/>
          <w:lang w:eastAsia="zh-CN"/>
        </w:rPr>
        <w:t>清算</w:t>
      </w:r>
      <w:bookmarkEnd w:id="0"/>
      <w:r>
        <w:rPr>
          <w:rFonts w:hint="eastAsia" w:ascii="仿宋" w:hAnsi="仿宋" w:eastAsia="仿宋" w:cs="仿宋"/>
          <w:sz w:val="28"/>
          <w:szCs w:val="28"/>
        </w:rPr>
        <w:t>申请受理日</w:t>
      </w:r>
      <w:r>
        <w:rPr>
          <w:rFonts w:hint="eastAsia" w:ascii="仿宋" w:hAnsi="仿宋" w:eastAsia="仿宋" w:cs="仿宋"/>
          <w:sz w:val="28"/>
          <w:szCs w:val="28"/>
          <w:lang w:val="en-US" w:eastAsia="zh-CN"/>
        </w:rPr>
        <w:t>前一日（即2024年7月1日止）</w:t>
      </w:r>
      <w:r>
        <w:rPr>
          <w:rFonts w:hint="eastAsia" w:ascii="仿宋" w:hAnsi="仿宋" w:eastAsia="仿宋" w:cs="仿宋"/>
          <w:sz w:val="28"/>
          <w:szCs w:val="28"/>
        </w:rPr>
        <w:t>，且需提供详细计算过程表或者情况说明。如有判决书，需提供判决书生效章或者生效证明文件，以便</w:t>
      </w:r>
      <w:r>
        <w:rPr>
          <w:rFonts w:hint="eastAsia" w:ascii="仿宋" w:hAnsi="仿宋" w:eastAsia="仿宋" w:cs="仿宋"/>
          <w:sz w:val="28"/>
          <w:szCs w:val="28"/>
          <w:lang w:eastAsia="zh-CN"/>
        </w:rPr>
        <w:t>管理人</w:t>
      </w:r>
      <w:r>
        <w:rPr>
          <w:rFonts w:hint="eastAsia" w:ascii="仿宋" w:hAnsi="仿宋" w:eastAsia="仿宋" w:cs="仿宋"/>
          <w:sz w:val="28"/>
          <w:szCs w:val="28"/>
        </w:rPr>
        <w:t>核查债权，否则所造成债权审核结果为待定或者不予确认的后果由该债权人承担。</w:t>
      </w:r>
    </w:p>
    <w:p w14:paraId="58FDB2C8">
      <w:pPr>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基本事实：简要陈述该债权的形成经过</w:t>
      </w:r>
      <w:r>
        <w:rPr>
          <w:rFonts w:hint="eastAsia" w:ascii="仿宋" w:hAnsi="仿宋" w:eastAsia="仿宋" w:cs="仿宋"/>
          <w:sz w:val="28"/>
          <w:szCs w:val="28"/>
          <w:lang w:eastAsia="zh-Hans"/>
        </w:rPr>
        <w:t>并载明该</w:t>
      </w:r>
      <w:r>
        <w:rPr>
          <w:rFonts w:hint="eastAsia" w:ascii="仿宋" w:hAnsi="仿宋" w:eastAsia="仿宋" w:cs="仿宋"/>
          <w:sz w:val="28"/>
          <w:szCs w:val="28"/>
        </w:rPr>
        <w:t>债权债务</w:t>
      </w:r>
      <w:r>
        <w:rPr>
          <w:rFonts w:hint="eastAsia" w:ascii="仿宋" w:hAnsi="仿宋" w:eastAsia="仿宋" w:cs="仿宋"/>
          <w:sz w:val="28"/>
          <w:szCs w:val="28"/>
          <w:lang w:eastAsia="zh-Hans"/>
        </w:rPr>
        <w:t>的</w:t>
      </w:r>
      <w:r>
        <w:rPr>
          <w:rFonts w:hint="eastAsia" w:ascii="仿宋" w:hAnsi="仿宋" w:eastAsia="仿宋" w:cs="仿宋"/>
          <w:sz w:val="28"/>
          <w:szCs w:val="28"/>
        </w:rPr>
        <w:t>履行</w:t>
      </w:r>
      <w:r>
        <w:rPr>
          <w:rFonts w:hint="eastAsia" w:ascii="仿宋" w:hAnsi="仿宋" w:eastAsia="仿宋" w:cs="仿宋"/>
          <w:sz w:val="28"/>
          <w:szCs w:val="28"/>
          <w:lang w:eastAsia="zh-Hans"/>
        </w:rPr>
        <w:t>情况，</w:t>
      </w:r>
      <w:r>
        <w:rPr>
          <w:rFonts w:hint="eastAsia" w:ascii="仿宋" w:hAnsi="仿宋" w:eastAsia="仿宋" w:cs="仿宋"/>
          <w:sz w:val="28"/>
          <w:szCs w:val="28"/>
        </w:rPr>
        <w:t>同一个法人/自然人存在多笔债权的，</w:t>
      </w:r>
      <w:r>
        <w:rPr>
          <w:rFonts w:hint="eastAsia" w:ascii="仿宋" w:hAnsi="仿宋" w:eastAsia="仿宋" w:cs="仿宋"/>
          <w:sz w:val="28"/>
          <w:szCs w:val="28"/>
          <w:lang w:eastAsia="zh-Hans"/>
        </w:rPr>
        <w:t>应当分别对每笔债权债务情况进行描述。</w:t>
      </w:r>
    </w:p>
    <w:p w14:paraId="3D170D9D">
      <w:pPr>
        <w:widowControl/>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债权申报通知书的送达不构成</w:t>
      </w:r>
      <w:r>
        <w:rPr>
          <w:rFonts w:hint="eastAsia" w:ascii="仿宋" w:hAnsi="仿宋" w:eastAsia="仿宋" w:cs="仿宋"/>
          <w:kern w:val="0"/>
          <w:sz w:val="28"/>
          <w:szCs w:val="28"/>
          <w:lang w:eastAsia="zh-CN"/>
        </w:rPr>
        <w:t>管理人</w:t>
      </w:r>
      <w:r>
        <w:rPr>
          <w:rFonts w:hint="eastAsia" w:ascii="仿宋" w:hAnsi="仿宋" w:eastAsia="仿宋" w:cs="仿宋"/>
          <w:kern w:val="0"/>
          <w:sz w:val="28"/>
          <w:szCs w:val="28"/>
        </w:rPr>
        <w:t>对无效债权的重新确认，也不导致债权诉讼时效中止、中断或延长等法律后果。</w:t>
      </w:r>
    </w:p>
    <w:p w14:paraId="3390D8F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债权申报登记表为原件，由申报人签名并捺印，法人则应加盖公章，相关证据材料提交复印件，</w:t>
      </w:r>
      <w:r>
        <w:rPr>
          <w:rFonts w:hint="eastAsia" w:ascii="仿宋" w:hAnsi="仿宋" w:eastAsia="仿宋" w:cs="仿宋"/>
          <w:b/>
          <w:sz w:val="28"/>
          <w:szCs w:val="28"/>
        </w:rPr>
        <w:t>但应当提供原件供</w:t>
      </w:r>
      <w:r>
        <w:rPr>
          <w:rFonts w:hint="eastAsia" w:ascii="仿宋" w:hAnsi="仿宋" w:eastAsia="仿宋" w:cs="仿宋"/>
          <w:b/>
          <w:sz w:val="28"/>
          <w:szCs w:val="28"/>
          <w:lang w:eastAsia="zh-CN"/>
        </w:rPr>
        <w:t>管理人</w:t>
      </w:r>
      <w:r>
        <w:rPr>
          <w:rFonts w:hint="eastAsia" w:ascii="仿宋" w:hAnsi="仿宋" w:eastAsia="仿宋" w:cs="仿宋"/>
          <w:b/>
          <w:sz w:val="28"/>
          <w:szCs w:val="28"/>
        </w:rPr>
        <w:t>核对，并由提交人在复印件上签字</w:t>
      </w:r>
      <w:r>
        <w:rPr>
          <w:rFonts w:hint="eastAsia" w:ascii="仿宋" w:hAnsi="仿宋" w:eastAsia="仿宋" w:cs="仿宋"/>
          <w:sz w:val="28"/>
          <w:szCs w:val="28"/>
        </w:rPr>
        <w:t>；若债权人所提供的证据无法提供原件，应由提交人在复印件上注明并签字（</w:t>
      </w:r>
      <w:r>
        <w:rPr>
          <w:rFonts w:hint="eastAsia" w:ascii="仿宋" w:hAnsi="仿宋" w:eastAsia="仿宋" w:cs="仿宋"/>
          <w:b/>
          <w:bCs/>
          <w:sz w:val="28"/>
          <w:szCs w:val="28"/>
        </w:rPr>
        <w:t>申报表格中的“债权申报编号”均无需填写</w:t>
      </w:r>
      <w:r>
        <w:rPr>
          <w:rFonts w:hint="eastAsia" w:ascii="仿宋" w:hAnsi="仿宋" w:eastAsia="仿宋" w:cs="仿宋"/>
          <w:sz w:val="28"/>
          <w:szCs w:val="28"/>
        </w:rPr>
        <w:t>）</w:t>
      </w:r>
    </w:p>
    <w:p w14:paraId="706D9C9E">
      <w:pPr>
        <w:spacing w:line="52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债权人有多笔</w:t>
      </w:r>
      <w:r>
        <w:rPr>
          <w:rFonts w:hint="eastAsia" w:ascii="仿宋" w:hAnsi="仿宋" w:eastAsia="仿宋" w:cs="仿宋"/>
          <w:b/>
          <w:bCs/>
          <w:sz w:val="28"/>
          <w:szCs w:val="28"/>
          <w:lang w:val="en-US" w:eastAsia="zh-CN"/>
        </w:rPr>
        <w:t>同类</w:t>
      </w:r>
      <w:r>
        <w:rPr>
          <w:rFonts w:hint="eastAsia" w:ascii="仿宋" w:hAnsi="仿宋" w:eastAsia="仿宋" w:cs="仿宋"/>
          <w:b/>
          <w:bCs/>
          <w:sz w:val="28"/>
          <w:szCs w:val="28"/>
        </w:rPr>
        <w:t>债权的，</w:t>
      </w:r>
      <w:r>
        <w:rPr>
          <w:rFonts w:hint="eastAsia" w:ascii="仿宋" w:hAnsi="仿宋" w:eastAsia="仿宋" w:cs="仿宋"/>
          <w:b/>
          <w:bCs/>
          <w:sz w:val="28"/>
          <w:szCs w:val="28"/>
          <w:highlight w:val="none"/>
        </w:rPr>
        <w:t>应</w:t>
      </w:r>
      <w:r>
        <w:rPr>
          <w:rFonts w:hint="eastAsia" w:ascii="仿宋" w:hAnsi="仿宋" w:eastAsia="仿宋" w:cs="仿宋"/>
          <w:b/>
          <w:bCs/>
          <w:sz w:val="28"/>
          <w:szCs w:val="28"/>
          <w:highlight w:val="none"/>
          <w:lang w:eastAsia="zh-Hans"/>
        </w:rPr>
        <w:t>在</w:t>
      </w:r>
      <w:r>
        <w:rPr>
          <w:rFonts w:hint="eastAsia" w:ascii="仿宋" w:hAnsi="仿宋" w:eastAsia="仿宋" w:cs="仿宋"/>
          <w:b/>
          <w:bCs/>
          <w:sz w:val="28"/>
          <w:szCs w:val="28"/>
          <w:highlight w:val="none"/>
        </w:rPr>
        <w:t>同一份《债权申报登记表》</w:t>
      </w:r>
      <w:r>
        <w:rPr>
          <w:rFonts w:hint="eastAsia" w:ascii="仿宋" w:hAnsi="仿宋" w:eastAsia="仿宋" w:cs="仿宋"/>
          <w:b/>
          <w:bCs/>
          <w:sz w:val="28"/>
          <w:szCs w:val="28"/>
          <w:highlight w:val="none"/>
          <w:lang w:eastAsia="zh-Hans"/>
        </w:rPr>
        <w:t>中合计</w:t>
      </w:r>
      <w:r>
        <w:rPr>
          <w:rFonts w:hint="eastAsia" w:ascii="仿宋" w:hAnsi="仿宋" w:eastAsia="仿宋" w:cs="仿宋"/>
          <w:b/>
          <w:bCs/>
          <w:sz w:val="28"/>
          <w:szCs w:val="28"/>
          <w:highlight w:val="none"/>
        </w:rPr>
        <w:t>债权</w:t>
      </w:r>
      <w:r>
        <w:rPr>
          <w:rFonts w:hint="eastAsia" w:ascii="仿宋" w:hAnsi="仿宋" w:eastAsia="仿宋" w:cs="仿宋"/>
          <w:b/>
          <w:bCs/>
          <w:sz w:val="28"/>
          <w:szCs w:val="28"/>
          <w:highlight w:val="none"/>
          <w:lang w:eastAsia="zh-Hans"/>
        </w:rPr>
        <w:t>总额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Hans"/>
        </w:rPr>
        <w:t>并</w:t>
      </w:r>
      <w:r>
        <w:rPr>
          <w:rFonts w:hint="eastAsia" w:ascii="仿宋" w:hAnsi="仿宋" w:eastAsia="仿宋" w:cs="仿宋"/>
          <w:b/>
          <w:bCs/>
          <w:sz w:val="28"/>
          <w:szCs w:val="28"/>
          <w:highlight w:val="none"/>
        </w:rPr>
        <w:t>提交资料</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rPr>
        <w:t>债权人有多笔</w:t>
      </w:r>
      <w:r>
        <w:rPr>
          <w:rFonts w:hint="eastAsia" w:ascii="仿宋" w:hAnsi="仿宋" w:eastAsia="仿宋" w:cs="仿宋"/>
          <w:b/>
          <w:bCs/>
          <w:sz w:val="28"/>
          <w:szCs w:val="28"/>
          <w:lang w:val="en-US" w:eastAsia="zh-CN"/>
        </w:rPr>
        <w:t>不同类</w:t>
      </w:r>
      <w:r>
        <w:rPr>
          <w:rFonts w:hint="eastAsia" w:ascii="仿宋" w:hAnsi="仿宋" w:eastAsia="仿宋" w:cs="仿宋"/>
          <w:b/>
          <w:bCs/>
          <w:sz w:val="28"/>
          <w:szCs w:val="28"/>
        </w:rPr>
        <w:t>债权的，</w:t>
      </w:r>
      <w:r>
        <w:rPr>
          <w:rFonts w:hint="eastAsia" w:ascii="仿宋" w:hAnsi="仿宋" w:eastAsia="仿宋" w:cs="仿宋"/>
          <w:b/>
          <w:bCs/>
          <w:sz w:val="28"/>
          <w:szCs w:val="28"/>
          <w:highlight w:val="none"/>
        </w:rPr>
        <w:t>应</w:t>
      </w:r>
      <w:r>
        <w:rPr>
          <w:rFonts w:hint="eastAsia" w:ascii="仿宋" w:hAnsi="仿宋" w:eastAsia="仿宋" w:cs="仿宋"/>
          <w:b/>
          <w:bCs/>
          <w:sz w:val="28"/>
          <w:szCs w:val="28"/>
          <w:highlight w:val="none"/>
          <w:lang w:val="en-US" w:eastAsia="zh-CN"/>
        </w:rPr>
        <w:t>需分开填写</w:t>
      </w:r>
      <w:r>
        <w:rPr>
          <w:rFonts w:hint="eastAsia" w:ascii="仿宋" w:hAnsi="仿宋" w:eastAsia="仿宋" w:cs="仿宋"/>
          <w:b/>
          <w:bCs/>
          <w:sz w:val="28"/>
          <w:szCs w:val="28"/>
          <w:highlight w:val="none"/>
        </w:rPr>
        <w:t>《债权申报登记表》，</w:t>
      </w:r>
      <w:r>
        <w:rPr>
          <w:rFonts w:hint="eastAsia" w:ascii="仿宋" w:hAnsi="仿宋" w:eastAsia="仿宋" w:cs="仿宋"/>
          <w:b/>
          <w:bCs/>
          <w:sz w:val="28"/>
          <w:szCs w:val="28"/>
          <w:highlight w:val="none"/>
          <w:lang w:eastAsia="zh-Hans"/>
        </w:rPr>
        <w:t>并</w:t>
      </w:r>
      <w:r>
        <w:rPr>
          <w:rFonts w:hint="eastAsia" w:ascii="仿宋" w:hAnsi="仿宋" w:eastAsia="仿宋" w:cs="仿宋"/>
          <w:b/>
          <w:bCs/>
          <w:sz w:val="28"/>
          <w:szCs w:val="28"/>
          <w:highlight w:val="none"/>
        </w:rPr>
        <w:t>提交资料。</w:t>
      </w:r>
    </w:p>
    <w:p w14:paraId="10F5FC2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申报债权有担保时，申报人必须如实、准确填写有无其他担保、担保方式、担保人或担保物准确名称，</w:t>
      </w:r>
      <w:r>
        <w:rPr>
          <w:rFonts w:hint="eastAsia" w:ascii="仿宋" w:hAnsi="仿宋" w:eastAsia="仿宋" w:cs="仿宋"/>
          <w:sz w:val="28"/>
          <w:szCs w:val="28"/>
          <w:lang w:eastAsia="zh-Hans"/>
        </w:rPr>
        <w:t>并提交</w:t>
      </w:r>
      <w:r>
        <w:rPr>
          <w:rFonts w:hint="eastAsia" w:ascii="仿宋" w:hAnsi="仿宋" w:eastAsia="仿宋" w:cs="仿宋"/>
          <w:sz w:val="28"/>
          <w:szCs w:val="28"/>
        </w:rPr>
        <w:t>抵押或质押担保协议及登记手续和相关评估等文件。</w:t>
      </w:r>
    </w:p>
    <w:p w14:paraId="1FE65ED9">
      <w:pPr>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lang w:eastAsia="zh-Hans"/>
        </w:rPr>
        <w:t>债权人可通过现场</w:t>
      </w:r>
      <w:r>
        <w:rPr>
          <w:rFonts w:hint="eastAsia" w:ascii="仿宋" w:hAnsi="仿宋" w:eastAsia="仿宋" w:cs="仿宋"/>
          <w:sz w:val="28"/>
          <w:szCs w:val="28"/>
          <w:lang w:val="en-US" w:eastAsia="zh-CN"/>
        </w:rPr>
        <w:t>或</w:t>
      </w:r>
      <w:r>
        <w:rPr>
          <w:rFonts w:hint="eastAsia" w:ascii="仿宋" w:hAnsi="仿宋" w:eastAsia="仿宋" w:cs="仿宋"/>
          <w:sz w:val="28"/>
          <w:szCs w:val="28"/>
          <w:lang w:eastAsia="zh-Hans"/>
        </w:rPr>
        <w:t>电话联系等方式向</w:t>
      </w:r>
      <w:r>
        <w:rPr>
          <w:rFonts w:hint="eastAsia" w:ascii="仿宋" w:hAnsi="仿宋" w:eastAsia="仿宋" w:cs="仿宋"/>
          <w:sz w:val="28"/>
          <w:szCs w:val="28"/>
          <w:lang w:eastAsia="zh-CN"/>
        </w:rPr>
        <w:t>管理人</w:t>
      </w:r>
      <w:r>
        <w:rPr>
          <w:rFonts w:hint="eastAsia" w:ascii="仿宋" w:hAnsi="仿宋" w:eastAsia="仿宋" w:cs="仿宋"/>
          <w:sz w:val="28"/>
          <w:szCs w:val="28"/>
          <w:lang w:eastAsia="zh-Hans"/>
        </w:rPr>
        <w:t>咨询、</w:t>
      </w:r>
      <w:r>
        <w:rPr>
          <w:rFonts w:hint="eastAsia" w:ascii="仿宋" w:hAnsi="仿宋" w:eastAsia="仿宋" w:cs="仿宋"/>
          <w:sz w:val="28"/>
          <w:szCs w:val="28"/>
        </w:rPr>
        <w:t>领取申报材料文本</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债权人也可以通过电话或短信提供邮箱号码，管理人据此向该邮箱提供申报材料文本，</w:t>
      </w:r>
      <w:r>
        <w:rPr>
          <w:rFonts w:hint="eastAsia" w:ascii="仿宋" w:hAnsi="仿宋" w:eastAsia="仿宋" w:cs="仿宋"/>
          <w:sz w:val="28"/>
          <w:szCs w:val="28"/>
        </w:rPr>
        <w:t>以保证申报材料文本格式的统一、正规。</w:t>
      </w:r>
    </w:p>
    <w:p w14:paraId="43DA604E">
      <w:pPr>
        <w:keepNext w:val="0"/>
        <w:keepLines w:val="0"/>
        <w:pageBreakBefore w:val="0"/>
        <w:widowControl/>
        <w:kinsoku/>
        <w:wordWrap/>
        <w:overflowPunct/>
        <w:topLinePunct w:val="0"/>
        <w:autoSpaceDE/>
        <w:autoSpaceDN/>
        <w:bidi w:val="0"/>
        <w:adjustRightInd/>
        <w:snapToGrid/>
        <w:spacing w:line="560" w:lineRule="exact"/>
        <w:ind w:right="147"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 xml:space="preserve">、根据《企业破产法》规定，未申报或逾期申报债权的法律后果主要包括： </w:t>
      </w:r>
    </w:p>
    <w:p w14:paraId="578B5288">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 xml:space="preserve">债权人未申报债权，不得依照《企业破产法》规定的程序行使权利。 </w:t>
      </w:r>
    </w:p>
    <w:p w14:paraId="29B2E969">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 xml:space="preserve">债权人未按期申报，已分配的财产不对其补充分配。即使在破产财产最后分配前补充申报，此前已进行的分配仍不再补充分配，且债权人还应该承担因审查、确认补充债权的产生的相关费用。 </w:t>
      </w:r>
    </w:p>
    <w:p w14:paraId="5A63BEF0">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 xml:space="preserve">如债务人进入重整程序，债权人未按期申报债权，在重整计划执行期间债权人不得行使权利；在重整计划执行完毕后，债权人可以按照重整计划规定的同类债权的清偿条件行使权利。 </w:t>
      </w:r>
    </w:p>
    <w:p w14:paraId="2FDFC8A0">
      <w:pPr>
        <w:widowControl/>
        <w:spacing w:line="560" w:lineRule="exact"/>
        <w:ind w:right="150"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 xml:space="preserve">如债务人进入破产和解程序，债权人未按期申报债权，在和解协议计划执行期间债权人不得行使权利；债权人在和解协议执行完毕后，可以按照和解协议规定的清偿条件行使权利。 </w:t>
      </w:r>
    </w:p>
    <w:p w14:paraId="1DF4E33C">
      <w:pPr>
        <w:spacing w:line="520" w:lineRule="exact"/>
        <w:ind w:firstLine="562" w:firstLineChars="200"/>
        <w:textAlignment w:val="baseline"/>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、特别提示</w:t>
      </w:r>
    </w:p>
    <w:p w14:paraId="25F00E5A">
      <w:pPr>
        <w:spacing w:line="520" w:lineRule="exact"/>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本须知</w:t>
      </w:r>
      <w:r>
        <w:rPr>
          <w:rFonts w:hint="eastAsia" w:ascii="仿宋" w:hAnsi="仿宋" w:eastAsia="仿宋" w:cs="仿宋"/>
          <w:b/>
          <w:bCs/>
          <w:sz w:val="28"/>
          <w:szCs w:val="28"/>
          <w:lang w:eastAsia="zh-Hans"/>
        </w:rPr>
        <w:t>仅</w:t>
      </w:r>
      <w:r>
        <w:rPr>
          <w:rFonts w:hint="eastAsia" w:ascii="仿宋" w:hAnsi="仿宋" w:eastAsia="仿宋" w:cs="仿宋"/>
          <w:b/>
          <w:bCs/>
          <w:sz w:val="28"/>
          <w:szCs w:val="28"/>
        </w:rPr>
        <w:t>针对申报债权时注意事项及风险告知的特别提示，文本中加粗字体请债权人予以合理关注。本须知不视为出具给债权人的法律意见。</w:t>
      </w:r>
    </w:p>
    <w:p w14:paraId="04845642">
      <w:pPr>
        <w:spacing w:line="520" w:lineRule="exact"/>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债权人应在必要时考虑在法律、财务等专业人士的协助下申报债权。</w:t>
      </w:r>
    </w:p>
    <w:p w14:paraId="3132BB31">
      <w:pPr>
        <w:spacing w:line="520" w:lineRule="exact"/>
        <w:ind w:firstLine="562" w:firstLineChars="200"/>
        <w:textAlignment w:val="baseline"/>
        <w:rPr>
          <w:rFonts w:hint="eastAsia" w:ascii="仿宋" w:hAnsi="仿宋" w:eastAsia="仿宋" w:cs="仿宋"/>
          <w:b/>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lang w:eastAsia="zh-Hans"/>
        </w:rPr>
        <w:t>若</w:t>
      </w:r>
      <w:r>
        <w:rPr>
          <w:rFonts w:hint="eastAsia" w:ascii="仿宋" w:hAnsi="仿宋" w:eastAsia="仿宋" w:cs="仿宋"/>
          <w:b/>
          <w:bCs/>
          <w:sz w:val="28"/>
          <w:szCs w:val="28"/>
        </w:rPr>
        <w:t>债权人虚假申报债权或者提供虚假申报文件，损害其他债权人利益的，</w:t>
      </w:r>
      <w:r>
        <w:rPr>
          <w:rFonts w:hint="eastAsia" w:ascii="仿宋" w:hAnsi="仿宋" w:eastAsia="仿宋" w:cs="仿宋"/>
          <w:b/>
          <w:bCs/>
          <w:sz w:val="28"/>
          <w:szCs w:val="28"/>
          <w:lang w:eastAsia="zh-CN"/>
        </w:rPr>
        <w:t>管理人</w:t>
      </w:r>
      <w:r>
        <w:rPr>
          <w:rFonts w:hint="eastAsia" w:ascii="仿宋" w:hAnsi="仿宋" w:eastAsia="仿宋" w:cs="仿宋"/>
          <w:b/>
          <w:bCs/>
          <w:sz w:val="28"/>
          <w:szCs w:val="28"/>
          <w:lang w:eastAsia="zh-Hans"/>
        </w:rPr>
        <w:t>在发现上述情况后</w:t>
      </w:r>
      <w:r>
        <w:rPr>
          <w:rFonts w:hint="eastAsia" w:ascii="仿宋" w:hAnsi="仿宋" w:eastAsia="仿宋" w:cs="仿宋"/>
          <w:b/>
          <w:bCs/>
          <w:sz w:val="28"/>
          <w:szCs w:val="28"/>
        </w:rPr>
        <w:t>将依法移送人民法院或公安机关，追究其法律责任。</w:t>
      </w:r>
    </w:p>
    <w:p w14:paraId="67A7DC83">
      <w:pPr>
        <w:widowControl/>
        <w:spacing w:line="520" w:lineRule="exact"/>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通讯</w:t>
      </w:r>
      <w:r>
        <w:rPr>
          <w:rFonts w:hint="eastAsia" w:ascii="仿宋" w:hAnsi="仿宋" w:eastAsia="仿宋" w:cs="仿宋"/>
          <w:b/>
          <w:kern w:val="0"/>
          <w:sz w:val="28"/>
          <w:szCs w:val="28"/>
        </w:rPr>
        <w:t>地址：</w:t>
      </w:r>
      <w:r>
        <w:rPr>
          <w:rFonts w:ascii="仿宋" w:hAnsi="仿宋" w:eastAsia="仿宋" w:cs="仿宋"/>
          <w:color w:val="000000"/>
          <w:kern w:val="0"/>
          <w:sz w:val="28"/>
          <w:szCs w:val="28"/>
          <w:lang w:val="en-US" w:eastAsia="zh-CN" w:bidi="ar"/>
        </w:rPr>
        <w:t>广西南宁市青秀区金浦路 22 号名都大厦 1501 室</w:t>
      </w:r>
      <w:r>
        <w:rPr>
          <w:rFonts w:hint="eastAsia" w:ascii="仿宋" w:hAnsi="仿宋" w:eastAsia="仿宋" w:cs="仿宋"/>
          <w:color w:val="000000"/>
          <w:kern w:val="0"/>
          <w:sz w:val="28"/>
          <w:szCs w:val="28"/>
          <w:lang w:val="en-US" w:eastAsia="zh-CN" w:bidi="ar"/>
        </w:rPr>
        <w:t>广西桂三力律师事务所、</w:t>
      </w:r>
      <w:r>
        <w:rPr>
          <w:rFonts w:hint="eastAsia" w:ascii="仿宋" w:hAnsi="仿宋" w:eastAsia="仿宋" w:cs="仿宋"/>
          <w:sz w:val="28"/>
          <w:szCs w:val="28"/>
        </w:rPr>
        <w:t>广西南宁市良庆区</w:t>
      </w:r>
      <w:r>
        <w:rPr>
          <w:rFonts w:hint="eastAsia" w:ascii="仿宋" w:hAnsi="仿宋" w:eastAsia="仿宋" w:cs="仿宋"/>
          <w:sz w:val="28"/>
          <w:szCs w:val="28"/>
          <w:lang w:val="en-US" w:eastAsia="zh-CN"/>
        </w:rPr>
        <w:t>凯旋路15号绿地中心8号楼</w:t>
      </w:r>
      <w:r>
        <w:rPr>
          <w:rFonts w:hint="eastAsia" w:ascii="仿宋" w:hAnsi="仿宋" w:eastAsia="仿宋" w:cs="仿宋"/>
          <w:sz w:val="28"/>
          <w:szCs w:val="28"/>
        </w:rPr>
        <w:t>三十一层</w:t>
      </w:r>
      <w:r>
        <w:rPr>
          <w:rFonts w:hint="eastAsia" w:ascii="仿宋" w:hAnsi="仿宋" w:eastAsia="仿宋" w:cs="仿宋"/>
          <w:sz w:val="28"/>
          <w:szCs w:val="28"/>
          <w:lang w:eastAsia="zh-CN"/>
        </w:rPr>
        <w:t>北京德恒（南宁）律师事务所</w:t>
      </w:r>
      <w:r>
        <w:rPr>
          <w:rFonts w:hint="eastAsia" w:ascii="仿宋" w:hAnsi="仿宋" w:eastAsia="仿宋" w:cs="仿宋"/>
          <w:b/>
          <w:kern w:val="0"/>
          <w:sz w:val="28"/>
          <w:szCs w:val="28"/>
        </w:rPr>
        <w:t>。</w:t>
      </w:r>
    </w:p>
    <w:p w14:paraId="5D6BC3AF">
      <w:pPr>
        <w:widowControl/>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w:t>
      </w:r>
      <w:r>
        <w:rPr>
          <w:rFonts w:hint="eastAsia" w:ascii="仿宋" w:hAnsi="仿宋" w:eastAsia="仿宋" w:cs="仿宋"/>
          <w:kern w:val="0"/>
          <w:sz w:val="28"/>
          <w:szCs w:val="28"/>
          <w:highlight w:val="none"/>
          <w:lang w:val="en-US" w:eastAsia="zh-CN" w:bidi="ar"/>
        </w:rPr>
        <w:t>周律师（电话：</w:t>
      </w:r>
      <w:r>
        <w:rPr>
          <w:rFonts w:hint="eastAsia" w:ascii="仿宋" w:hAnsi="仿宋" w:eastAsia="仿宋" w:cs="仿宋"/>
          <w:kern w:val="0"/>
          <w:sz w:val="28"/>
          <w:szCs w:val="28"/>
          <w:highlight w:val="none"/>
          <w:lang w:val="en-US" w:eastAsia="zh-CN"/>
        </w:rPr>
        <w:t>15678369291</w:t>
      </w:r>
      <w:r>
        <w:rPr>
          <w:rFonts w:hint="eastAsia" w:ascii="仿宋" w:hAnsi="仿宋" w:eastAsia="仿宋" w:cs="仿宋"/>
          <w:kern w:val="0"/>
          <w:sz w:val="28"/>
          <w:szCs w:val="28"/>
          <w:highlight w:val="none"/>
          <w:lang w:val="en-US" w:eastAsia="zh-CN" w:bidi="ar"/>
        </w:rPr>
        <w:t>）、</w:t>
      </w:r>
      <w:r>
        <w:rPr>
          <w:rFonts w:hint="eastAsia" w:ascii="仿宋" w:hAnsi="仿宋" w:eastAsia="仿宋" w:cs="仿宋"/>
          <w:sz w:val="28"/>
          <w:szCs w:val="28"/>
          <w:lang w:val="en-US" w:eastAsia="zh-CN"/>
        </w:rPr>
        <w:t>梁律师（电话：</w:t>
      </w:r>
      <w:r>
        <w:rPr>
          <w:rFonts w:hint="eastAsia" w:ascii="仿宋" w:hAnsi="仿宋" w:eastAsia="仿宋" w:cs="仿宋"/>
          <w:kern w:val="0"/>
          <w:sz w:val="28"/>
          <w:szCs w:val="28"/>
          <w:highlight w:val="none"/>
          <w:lang w:val="en-US" w:eastAsia="zh-CN" w:bidi="ar"/>
        </w:rPr>
        <w:t>19163968736</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14:paraId="43863309">
      <w:pPr>
        <w:widowControl/>
        <w:spacing w:line="560" w:lineRule="exact"/>
        <w:ind w:right="150" w:firstLine="560" w:firstLineChars="200"/>
        <w:jc w:val="right"/>
        <w:textAlignment w:val="baseline"/>
        <w:rPr>
          <w:rFonts w:ascii="仿宋" w:hAnsi="仿宋" w:eastAsia="仿宋" w:cs="仿宋"/>
          <w:color w:val="000000" w:themeColor="text1"/>
          <w:sz w:val="28"/>
          <w:szCs w:val="28"/>
          <w14:textFill>
            <w14:solidFill>
              <w14:schemeClr w14:val="tx1"/>
            </w14:solidFill>
          </w14:textFill>
        </w:rPr>
      </w:pPr>
    </w:p>
    <w:p w14:paraId="4E1AE8EB">
      <w:pPr>
        <w:widowControl/>
        <w:spacing w:line="520" w:lineRule="exact"/>
        <w:ind w:firstLine="560" w:firstLineChars="200"/>
        <w:rPr>
          <w:rFonts w:hint="eastAsia" w:ascii="仿宋" w:hAnsi="仿宋" w:eastAsia="仿宋" w:cs="仿宋"/>
          <w:sz w:val="28"/>
          <w:szCs w:val="28"/>
          <w:lang w:eastAsia="zh-CN"/>
        </w:rPr>
      </w:pPr>
    </w:p>
    <w:p w14:paraId="428401E9">
      <w:pPr>
        <w:widowControl/>
        <w:spacing w:line="520" w:lineRule="exact"/>
        <w:ind w:firstLine="560" w:firstLineChars="200"/>
        <w:rPr>
          <w:rFonts w:hint="eastAsia" w:ascii="仿宋" w:hAnsi="仿宋" w:eastAsia="仿宋" w:cs="仿宋"/>
          <w:sz w:val="28"/>
          <w:szCs w:val="28"/>
        </w:rPr>
      </w:pPr>
    </w:p>
    <w:p w14:paraId="1E6D8AAF">
      <w:pPr>
        <w:spacing w:line="520" w:lineRule="exact"/>
        <w:ind w:firstLine="560" w:firstLineChars="200"/>
        <w:jc w:val="right"/>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w:t>
      </w:r>
    </w:p>
    <w:p w14:paraId="3822BA07">
      <w:pPr>
        <w:spacing w:line="520" w:lineRule="exact"/>
        <w:jc w:val="center"/>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二〇二</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十二</w:t>
      </w:r>
      <w:r>
        <w:rPr>
          <w:rFonts w:hint="eastAsia" w:ascii="仿宋" w:hAnsi="仿宋" w:eastAsia="仿宋" w:cs="仿宋"/>
          <w:sz w:val="28"/>
          <w:szCs w:val="28"/>
          <w:highlight w:val="non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418" w:bottom="1077" w:left="1418" w:header="765"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A124">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A4FB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8A4FB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92DB">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48B7251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B0F8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C891">
    <w:pPr>
      <w:pBdr>
        <w:bottom w:val="single" w:color="auto" w:sz="6" w:space="1"/>
      </w:pBdr>
      <w:tabs>
        <w:tab w:val="center" w:pos="4153"/>
        <w:tab w:val="right" w:pos="8306"/>
      </w:tabs>
      <w:snapToGrid w:val="0"/>
      <w:jc w:val="left"/>
      <w:rPr>
        <w:b/>
        <w:i/>
        <w:sz w:val="18"/>
        <w:szCs w:val="18"/>
      </w:rPr>
    </w:pPr>
    <w:r>
      <w:rPr>
        <w:rFonts w:hint="eastAsia" w:ascii="仿宋" w:hAnsi="仿宋" w:eastAsia="仿宋" w:cs="仿宋"/>
        <w:b/>
        <w:sz w:val="21"/>
        <w:szCs w:val="21"/>
        <w:lang w:val="en-US" w:eastAsia="zh-CN"/>
      </w:rPr>
      <w:t>广西海陆物流有限公司</w:t>
    </w:r>
    <w:r>
      <w:rPr>
        <w:rFonts w:hint="eastAsia" w:ascii="仿宋" w:hAnsi="仿宋" w:eastAsia="仿宋" w:cs="仿宋"/>
        <w:b/>
        <w:sz w:val="21"/>
        <w:szCs w:val="21"/>
      </w:rPr>
      <w:t>债权申报资料</w:t>
    </w:r>
    <w:r>
      <w:rPr>
        <w:rFonts w:hint="eastAsia" w:ascii="仿宋" w:hAnsi="仿宋" w:eastAsia="仿宋" w:cs="仿宋"/>
        <w:b/>
        <w:i/>
        <w:sz w:val="21"/>
        <w:szCs w:val="21"/>
      </w:rPr>
      <w:t xml:space="preserve">                           </w:t>
    </w:r>
    <w:r>
      <w:rPr>
        <w:rFonts w:hint="eastAsia" w:ascii="仿宋" w:hAnsi="仿宋" w:eastAsia="仿宋" w:cs="仿宋"/>
        <w:b/>
        <w:i/>
        <w:sz w:val="21"/>
        <w:szCs w:val="21"/>
        <w:lang w:val="en-US" w:eastAsia="zh-CN"/>
      </w:rPr>
      <w:t xml:space="preserve">      </w:t>
    </w:r>
    <w:r>
      <w:rPr>
        <w:rFonts w:hint="eastAsia" w:ascii="仿宋" w:hAnsi="仿宋" w:eastAsia="仿宋" w:cs="仿宋"/>
        <w:b/>
        <w:i/>
        <w:sz w:val="21"/>
        <w:szCs w:val="21"/>
      </w:rPr>
      <w:t xml:space="preserve"> </w:t>
    </w:r>
    <w:r>
      <w:rPr>
        <w:rFonts w:hint="eastAsia" w:ascii="仿宋" w:hAnsi="仿宋" w:eastAsia="仿宋" w:cs="仿宋"/>
        <w:b/>
        <w:sz w:val="21"/>
        <w:szCs w:val="21"/>
        <w:lang w:val="en-US" w:eastAsia="zh-CN"/>
      </w:rPr>
      <w:t>1</w:t>
    </w:r>
    <w:r>
      <w:rPr>
        <w:rFonts w:hint="eastAsia" w:ascii="仿宋" w:hAnsi="仿宋" w:eastAsia="仿宋" w:cs="仿宋"/>
        <w:b/>
        <w:sz w:val="21"/>
        <w:szCs w:val="21"/>
      </w:rPr>
      <w:t>– 债权申报须知</w:t>
    </w:r>
    <w:r>
      <w:rPr>
        <w:b/>
        <w:i/>
        <w:sz w:val="18"/>
        <w:szCs w:val="18"/>
      </w:rPr>
      <w:t xml:space="preserve">  </w:t>
    </w:r>
  </w:p>
  <w:p w14:paraId="1696E134">
    <w:pPr>
      <w:pStyle w:val="5"/>
      <w:tabs>
        <w:tab w:val="left" w:pos="6653"/>
        <w:tab w:val="clear" w:pos="4153"/>
      </w:tabs>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C9A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49A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jk5ZjBiNjI4OTIxZmE5ODU4YmVhY2RmNDZhZjgifQ=="/>
    <w:docVar w:name="KSO_WPS_MARK_KEY" w:val="19b66feb-68f4-491f-aa63-4ac03885af9b"/>
  </w:docVars>
  <w:rsids>
    <w:rsidRoot w:val="00172A27"/>
    <w:rsid w:val="00024120"/>
    <w:rsid w:val="00043541"/>
    <w:rsid w:val="0005427A"/>
    <w:rsid w:val="00091C8A"/>
    <w:rsid w:val="00092151"/>
    <w:rsid w:val="000D10EB"/>
    <w:rsid w:val="000F4A08"/>
    <w:rsid w:val="0011364C"/>
    <w:rsid w:val="001250D6"/>
    <w:rsid w:val="00156493"/>
    <w:rsid w:val="00172A27"/>
    <w:rsid w:val="00174FD3"/>
    <w:rsid w:val="001A5806"/>
    <w:rsid w:val="00201B21"/>
    <w:rsid w:val="00225ADB"/>
    <w:rsid w:val="00230A44"/>
    <w:rsid w:val="00256FEF"/>
    <w:rsid w:val="002A4675"/>
    <w:rsid w:val="002B3A36"/>
    <w:rsid w:val="002D0281"/>
    <w:rsid w:val="002D1FF2"/>
    <w:rsid w:val="00305C2C"/>
    <w:rsid w:val="0032128D"/>
    <w:rsid w:val="00334079"/>
    <w:rsid w:val="00341FDD"/>
    <w:rsid w:val="003B04C2"/>
    <w:rsid w:val="003E02AC"/>
    <w:rsid w:val="003E69B6"/>
    <w:rsid w:val="003F14D8"/>
    <w:rsid w:val="003F480A"/>
    <w:rsid w:val="00401BD2"/>
    <w:rsid w:val="004406B0"/>
    <w:rsid w:val="00444A7E"/>
    <w:rsid w:val="004A483F"/>
    <w:rsid w:val="004C305D"/>
    <w:rsid w:val="004F76A3"/>
    <w:rsid w:val="00525267"/>
    <w:rsid w:val="00526168"/>
    <w:rsid w:val="00552CCB"/>
    <w:rsid w:val="00570DFF"/>
    <w:rsid w:val="005C2887"/>
    <w:rsid w:val="005E47B3"/>
    <w:rsid w:val="0064692E"/>
    <w:rsid w:val="006524E1"/>
    <w:rsid w:val="00654DDC"/>
    <w:rsid w:val="006639C0"/>
    <w:rsid w:val="006666EF"/>
    <w:rsid w:val="0067147A"/>
    <w:rsid w:val="006B354D"/>
    <w:rsid w:val="006E3BC1"/>
    <w:rsid w:val="0073382D"/>
    <w:rsid w:val="00733B43"/>
    <w:rsid w:val="007400F3"/>
    <w:rsid w:val="00752830"/>
    <w:rsid w:val="007D0EE0"/>
    <w:rsid w:val="007D42A1"/>
    <w:rsid w:val="00830C5C"/>
    <w:rsid w:val="008B5532"/>
    <w:rsid w:val="008C2BF5"/>
    <w:rsid w:val="008E5667"/>
    <w:rsid w:val="008F6F00"/>
    <w:rsid w:val="00905174"/>
    <w:rsid w:val="00933D89"/>
    <w:rsid w:val="009955B1"/>
    <w:rsid w:val="009A3092"/>
    <w:rsid w:val="009D2708"/>
    <w:rsid w:val="00A0770F"/>
    <w:rsid w:val="00A10AD0"/>
    <w:rsid w:val="00A25680"/>
    <w:rsid w:val="00A76EBC"/>
    <w:rsid w:val="00A818E5"/>
    <w:rsid w:val="00AA0931"/>
    <w:rsid w:val="00AD144B"/>
    <w:rsid w:val="00AE0A3E"/>
    <w:rsid w:val="00B1577D"/>
    <w:rsid w:val="00B307F9"/>
    <w:rsid w:val="00B46074"/>
    <w:rsid w:val="00B46CFE"/>
    <w:rsid w:val="00B90917"/>
    <w:rsid w:val="00B91510"/>
    <w:rsid w:val="00BA024C"/>
    <w:rsid w:val="00C005A8"/>
    <w:rsid w:val="00C15972"/>
    <w:rsid w:val="00C174E1"/>
    <w:rsid w:val="00C33A42"/>
    <w:rsid w:val="00C46FC2"/>
    <w:rsid w:val="00C5433C"/>
    <w:rsid w:val="00C7704C"/>
    <w:rsid w:val="00C829FC"/>
    <w:rsid w:val="00CB6EC2"/>
    <w:rsid w:val="00CF47E8"/>
    <w:rsid w:val="00CF47F9"/>
    <w:rsid w:val="00D10D00"/>
    <w:rsid w:val="00D1299A"/>
    <w:rsid w:val="00D16E57"/>
    <w:rsid w:val="00D20BA6"/>
    <w:rsid w:val="00D2792D"/>
    <w:rsid w:val="00D4486F"/>
    <w:rsid w:val="00D85A77"/>
    <w:rsid w:val="00DC6254"/>
    <w:rsid w:val="00DF32A3"/>
    <w:rsid w:val="00E12421"/>
    <w:rsid w:val="00E430A1"/>
    <w:rsid w:val="00E55CBD"/>
    <w:rsid w:val="00EA07D2"/>
    <w:rsid w:val="00EA6539"/>
    <w:rsid w:val="00EE34D1"/>
    <w:rsid w:val="00F90620"/>
    <w:rsid w:val="00F971D8"/>
    <w:rsid w:val="00FC267C"/>
    <w:rsid w:val="025739FF"/>
    <w:rsid w:val="0763438E"/>
    <w:rsid w:val="079F0BA6"/>
    <w:rsid w:val="08F90845"/>
    <w:rsid w:val="09F52FAB"/>
    <w:rsid w:val="0DBF5B34"/>
    <w:rsid w:val="12680D14"/>
    <w:rsid w:val="18100235"/>
    <w:rsid w:val="18EB6CFA"/>
    <w:rsid w:val="1A75297E"/>
    <w:rsid w:val="1DBC7203"/>
    <w:rsid w:val="20D57742"/>
    <w:rsid w:val="2D536E7A"/>
    <w:rsid w:val="2F2FB014"/>
    <w:rsid w:val="32D070EF"/>
    <w:rsid w:val="34C21794"/>
    <w:rsid w:val="381A3346"/>
    <w:rsid w:val="392C45A0"/>
    <w:rsid w:val="3A046439"/>
    <w:rsid w:val="3D5501A0"/>
    <w:rsid w:val="3FD8628B"/>
    <w:rsid w:val="40784CBD"/>
    <w:rsid w:val="4346114E"/>
    <w:rsid w:val="4A263138"/>
    <w:rsid w:val="50053258"/>
    <w:rsid w:val="51075592"/>
    <w:rsid w:val="52EC263C"/>
    <w:rsid w:val="545A047C"/>
    <w:rsid w:val="55DE4F34"/>
    <w:rsid w:val="568A7142"/>
    <w:rsid w:val="59670E54"/>
    <w:rsid w:val="5F4B52BE"/>
    <w:rsid w:val="5F661D01"/>
    <w:rsid w:val="63B86060"/>
    <w:rsid w:val="63F07242"/>
    <w:rsid w:val="6534582B"/>
    <w:rsid w:val="6604631A"/>
    <w:rsid w:val="691F5968"/>
    <w:rsid w:val="6B5B2C46"/>
    <w:rsid w:val="6F034D08"/>
    <w:rsid w:val="76674885"/>
    <w:rsid w:val="76DF2E34"/>
    <w:rsid w:val="777D8D66"/>
    <w:rsid w:val="78F4AE5F"/>
    <w:rsid w:val="78FF0DA9"/>
    <w:rsid w:val="7DFB4B50"/>
    <w:rsid w:val="7EE84B64"/>
    <w:rsid w:val="7FC034C5"/>
    <w:rsid w:val="7FFFA75A"/>
    <w:rsid w:val="7FFFF365"/>
    <w:rsid w:val="DB771985"/>
    <w:rsid w:val="DF7FD292"/>
    <w:rsid w:val="F6EFB35C"/>
    <w:rsid w:val="F9F4F2A3"/>
    <w:rsid w:val="FEFFB5F9"/>
    <w:rsid w:val="FF76289F"/>
    <w:rsid w:val="FF7FC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widowControl/>
      <w:spacing w:line="480" w:lineRule="exact"/>
      <w:ind w:firstLine="461" w:firstLineChars="192"/>
      <w:jc w:val="left"/>
    </w:pPr>
    <w:rPr>
      <w:rFonts w:ascii="宋体" w:hAnsi="宋体"/>
      <w:sz w:val="24"/>
    </w:r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宋体" w:hAnsi="宋体"/>
      <w:kern w:val="0"/>
      <w:sz w:val="24"/>
    </w:rPr>
  </w:style>
  <w:style w:type="character" w:styleId="9">
    <w:name w:val="page number"/>
    <w:basedOn w:val="8"/>
    <w:qFormat/>
    <w:uiPriority w:val="0"/>
  </w:style>
  <w:style w:type="character" w:styleId="10">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2745</Words>
  <Characters>2795</Characters>
  <Lines>15</Lines>
  <Paragraphs>4</Paragraphs>
  <TotalTime>3</TotalTime>
  <ScaleCrop>false</ScaleCrop>
  <LinksUpToDate>false</LinksUpToDate>
  <CharactersWithSpaces>2880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2018-10-24T20:36:00Z</dcterms:created>
  <dc:creator>ibm</dc:creator>
  <cp:lastModifiedBy>律师</cp:lastModifiedBy>
  <cp:lastPrinted>2024-10-12T09:21:56Z</cp:lastPrinted>
  <dcterms:modified xsi:type="dcterms:W3CDTF">2024-10-12T09:40:18Z</dcterms:modified>
  <dc:title>债权申报须知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440D35857CB640C091A4B7C52ADFD781_13</vt:lpwstr>
  </property>
</Properties>
</file>