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2B6E5">
      <w:pPr>
        <w:spacing w:line="360" w:lineRule="auto"/>
        <w:jc w:val="center"/>
        <w:rPr>
          <w:rFonts w:asciiTheme="minorEastAsia" w:hAnsiTheme="minorEastAsia"/>
          <w:b/>
          <w:sz w:val="36"/>
          <w:szCs w:val="36"/>
        </w:rPr>
      </w:pPr>
      <w:bookmarkStart w:id="2" w:name="_GoBack"/>
      <w:bookmarkEnd w:id="2"/>
      <w:r>
        <w:rPr>
          <w:rFonts w:hint="eastAsia" w:asciiTheme="minorEastAsia" w:hAnsiTheme="minorEastAsia"/>
          <w:b/>
          <w:sz w:val="36"/>
          <w:szCs w:val="36"/>
        </w:rPr>
        <w:t>关于河北力昂管业有限公司名下设备及地上物的</w:t>
      </w:r>
    </w:p>
    <w:p w14:paraId="35B7B8CC">
      <w:pPr>
        <w:spacing w:line="360" w:lineRule="auto"/>
        <w:jc w:val="center"/>
        <w:rPr>
          <w:rFonts w:asciiTheme="minorEastAsia" w:hAnsiTheme="minorEastAsia"/>
          <w:b/>
          <w:sz w:val="36"/>
          <w:szCs w:val="36"/>
        </w:rPr>
      </w:pPr>
      <w:r>
        <w:rPr>
          <w:rFonts w:hint="eastAsia" w:asciiTheme="minorEastAsia" w:hAnsiTheme="minorEastAsia"/>
          <w:b/>
          <w:sz w:val="36"/>
          <w:szCs w:val="36"/>
        </w:rPr>
        <w:t>竞买公告</w:t>
      </w:r>
    </w:p>
    <w:p w14:paraId="6CECDE5E">
      <w:pPr>
        <w:spacing w:line="360" w:lineRule="auto"/>
        <w:jc w:val="center"/>
        <w:rPr>
          <w:rFonts w:asciiTheme="minorEastAsia" w:hAnsiTheme="minorEastAsia"/>
          <w:sz w:val="24"/>
          <w:szCs w:val="24"/>
        </w:rPr>
      </w:pPr>
    </w:p>
    <w:p w14:paraId="0614C26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河北力昂管业有限公司（以下简称“力昂管业”）管理人将于</w:t>
      </w:r>
      <w:r>
        <w:rPr>
          <w:rFonts w:hint="eastAsia" w:asciiTheme="minorEastAsia" w:hAnsiTheme="minorEastAsia"/>
          <w:sz w:val="24"/>
          <w:szCs w:val="24"/>
          <w:lang w:eastAsia="zh-CN"/>
        </w:rPr>
        <w:t>2024年10月8日10时至2024年10月9日10时止</w:t>
      </w:r>
      <w:r>
        <w:rPr>
          <w:rFonts w:hint="eastAsia" w:asciiTheme="minorEastAsia" w:hAnsiTheme="minorEastAsia"/>
          <w:sz w:val="24"/>
          <w:szCs w:val="24"/>
        </w:rPr>
        <w:t>（延时的除外）在阿里拍卖破产清算网络平台上（网址：https://zc-paimai.taobao.com/）进行公开拍卖活动，现公告如下：</w:t>
      </w:r>
    </w:p>
    <w:p w14:paraId="4210522B">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592EC893">
      <w:pPr>
        <w:spacing w:line="360" w:lineRule="auto"/>
        <w:ind w:left="482"/>
        <w:rPr>
          <w:rFonts w:asciiTheme="minorEastAsia" w:hAnsiTheme="minorEastAsia"/>
          <w:b/>
          <w:sz w:val="24"/>
          <w:szCs w:val="24"/>
        </w:rPr>
      </w:pPr>
      <w:r>
        <w:rPr>
          <w:rFonts w:hint="eastAsia" w:asciiTheme="minorEastAsia" w:hAnsiTheme="minorEastAsia"/>
          <w:b/>
          <w:sz w:val="24"/>
          <w:szCs w:val="24"/>
        </w:rPr>
        <w:t>1、标的物具体情况</w:t>
      </w:r>
    </w:p>
    <w:p w14:paraId="7F46A181">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河北力昂管业有限公司名下设备及地上物</w:t>
      </w:r>
    </w:p>
    <w:p w14:paraId="32B1981F">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rPr>
        <w:t>433,440.72</w:t>
      </w:r>
      <w:r>
        <w:rPr>
          <w:rFonts w:hint="eastAsia" w:asciiTheme="minorEastAsia" w:hAnsiTheme="minorEastAsia"/>
          <w:sz w:val="24"/>
          <w:szCs w:val="24"/>
        </w:rPr>
        <w:t>元，保证金：</w:t>
      </w:r>
      <w:r>
        <w:rPr>
          <w:rFonts w:hint="eastAsia" w:asciiTheme="minorEastAsia" w:hAnsiTheme="minorEastAsia"/>
          <w:b/>
          <w:bCs/>
          <w:color w:val="FF0000"/>
          <w:sz w:val="24"/>
          <w:szCs w:val="24"/>
        </w:rPr>
        <w:t>86,6</w:t>
      </w:r>
      <w:r>
        <w:rPr>
          <w:rFonts w:hint="eastAsia" w:asciiTheme="minorEastAsia" w:hAnsiTheme="minorEastAsia"/>
          <w:b/>
          <w:bCs/>
          <w:color w:val="FF0000"/>
          <w:sz w:val="24"/>
          <w:szCs w:val="24"/>
          <w:lang w:val="en-US" w:eastAsia="zh-CN"/>
        </w:rPr>
        <w:t>90</w:t>
      </w:r>
      <w:r>
        <w:rPr>
          <w:rFonts w:hint="eastAsia" w:asciiTheme="minorEastAsia" w:hAnsiTheme="minorEastAsia"/>
          <w:sz w:val="24"/>
          <w:szCs w:val="24"/>
        </w:rPr>
        <w:t>元，增价幅度：</w:t>
      </w:r>
      <w:r>
        <w:rPr>
          <w:rFonts w:hint="eastAsia" w:asciiTheme="minorEastAsia" w:hAnsiTheme="minorEastAsia"/>
          <w:b/>
          <w:bCs/>
          <w:color w:val="FF0000"/>
          <w:sz w:val="24"/>
          <w:szCs w:val="24"/>
          <w:lang w:val="en-US" w:eastAsia="zh-CN"/>
        </w:rPr>
        <w:t>4</w:t>
      </w:r>
      <w:r>
        <w:rPr>
          <w:rFonts w:hint="eastAsia" w:asciiTheme="minorEastAsia" w:hAnsiTheme="minorEastAsia"/>
          <w:b/>
          <w:bCs/>
          <w:color w:val="FF0000"/>
          <w:sz w:val="24"/>
          <w:szCs w:val="24"/>
        </w:rPr>
        <w:t>,</w:t>
      </w:r>
      <w:r>
        <w:rPr>
          <w:rFonts w:hint="eastAsia" w:asciiTheme="minorEastAsia" w:hAnsiTheme="minorEastAsia"/>
          <w:b/>
          <w:bCs/>
          <w:color w:val="FF0000"/>
          <w:sz w:val="24"/>
          <w:szCs w:val="24"/>
          <w:lang w:val="en-US" w:eastAsia="zh-CN"/>
        </w:rPr>
        <w:t>5</w:t>
      </w:r>
      <w:r>
        <w:rPr>
          <w:rFonts w:hint="eastAsia" w:asciiTheme="minorEastAsia" w:hAnsiTheme="minorEastAsia"/>
          <w:b/>
          <w:bCs/>
          <w:color w:val="FF0000"/>
          <w:sz w:val="24"/>
          <w:szCs w:val="24"/>
        </w:rPr>
        <w:t>00</w:t>
      </w:r>
      <w:r>
        <w:rPr>
          <w:rFonts w:hint="eastAsia" w:asciiTheme="minorEastAsia" w:hAnsiTheme="minorEastAsia"/>
          <w:sz w:val="24"/>
          <w:szCs w:val="24"/>
        </w:rPr>
        <w:t>元（或整倍数）。</w:t>
      </w:r>
    </w:p>
    <w:p w14:paraId="43D1E39F">
      <w:pPr>
        <w:numPr>
          <w:ilvl w:val="0"/>
          <w:numId w:val="2"/>
        </w:numPr>
        <w:spacing w:line="360" w:lineRule="auto"/>
        <w:rPr>
          <w:rFonts w:asciiTheme="minorEastAsia" w:hAnsiTheme="minorEastAsia"/>
          <w:b/>
          <w:bCs/>
          <w:color w:val="FF0000"/>
          <w:sz w:val="24"/>
          <w:szCs w:val="24"/>
        </w:rPr>
      </w:pPr>
      <w:r>
        <w:rPr>
          <w:rFonts w:hint="eastAsia" w:asciiTheme="minorEastAsia" w:hAnsiTheme="minorEastAsia"/>
          <w:b/>
          <w:bCs/>
          <w:color w:val="FF0000"/>
          <w:sz w:val="24"/>
          <w:szCs w:val="24"/>
        </w:rPr>
        <w:t>地上物具体情况：</w:t>
      </w:r>
    </w:p>
    <w:tbl>
      <w:tblPr>
        <w:tblStyle w:val="7"/>
        <w:tblW w:w="8032" w:type="dxa"/>
        <w:tblInd w:w="98" w:type="dxa"/>
        <w:tblLayout w:type="fixed"/>
        <w:tblCellMar>
          <w:top w:w="0" w:type="dxa"/>
          <w:left w:w="108" w:type="dxa"/>
          <w:bottom w:w="0" w:type="dxa"/>
          <w:right w:w="108" w:type="dxa"/>
        </w:tblCellMar>
      </w:tblPr>
      <w:tblGrid>
        <w:gridCol w:w="596"/>
        <w:gridCol w:w="1676"/>
        <w:gridCol w:w="782"/>
        <w:gridCol w:w="1651"/>
        <w:gridCol w:w="1655"/>
        <w:gridCol w:w="1672"/>
      </w:tblGrid>
      <w:tr w14:paraId="7D252B0E">
        <w:tblPrEx>
          <w:tblCellMar>
            <w:top w:w="0" w:type="dxa"/>
            <w:left w:w="108" w:type="dxa"/>
            <w:bottom w:w="0" w:type="dxa"/>
            <w:right w:w="108" w:type="dxa"/>
          </w:tblCellMar>
        </w:tblPrEx>
        <w:trPr>
          <w:trHeight w:val="604" w:hRule="atLeast"/>
        </w:trPr>
        <w:tc>
          <w:tcPr>
            <w:tcW w:w="596"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384391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序号</w:t>
            </w:r>
          </w:p>
        </w:tc>
        <w:tc>
          <w:tcPr>
            <w:tcW w:w="1676"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7EC6DA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建筑物名称</w:t>
            </w:r>
          </w:p>
        </w:tc>
        <w:tc>
          <w:tcPr>
            <w:tcW w:w="782"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72C71018">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结构</w:t>
            </w:r>
          </w:p>
        </w:tc>
        <w:tc>
          <w:tcPr>
            <w:tcW w:w="1651" w:type="dxa"/>
            <w:tcBorders>
              <w:top w:val="single" w:color="auto" w:sz="4" w:space="0"/>
              <w:left w:val="single" w:color="000000" w:sz="4" w:space="0"/>
              <w:bottom w:val="single" w:color="auto" w:sz="4" w:space="0"/>
              <w:right w:val="single" w:color="000000" w:sz="4" w:space="0"/>
            </w:tcBorders>
            <w:shd w:val="clear" w:color="auto" w:fill="auto"/>
            <w:vAlign w:val="center"/>
          </w:tcPr>
          <w:p w14:paraId="35703EA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建筑面积体积数量m²或m³</w:t>
            </w:r>
          </w:p>
        </w:tc>
        <w:tc>
          <w:tcPr>
            <w:tcW w:w="165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3427A3">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评估价</w:t>
            </w:r>
          </w:p>
        </w:tc>
        <w:tc>
          <w:tcPr>
            <w:tcW w:w="1672" w:type="dxa"/>
            <w:tcBorders>
              <w:top w:val="single" w:color="auto" w:sz="4" w:space="0"/>
              <w:left w:val="single" w:color="000000" w:sz="4" w:space="0"/>
              <w:bottom w:val="single" w:color="000000" w:sz="4" w:space="0"/>
              <w:right w:val="single" w:color="000000" w:sz="4" w:space="0"/>
            </w:tcBorders>
            <w:shd w:val="clear" w:color="auto" w:fill="auto"/>
            <w:vAlign w:val="center"/>
          </w:tcPr>
          <w:p w14:paraId="258C4CE1">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备注</w:t>
            </w:r>
          </w:p>
        </w:tc>
      </w:tr>
      <w:tr w14:paraId="77A545A4">
        <w:tblPrEx>
          <w:tblCellMar>
            <w:top w:w="0" w:type="dxa"/>
            <w:left w:w="108" w:type="dxa"/>
            <w:bottom w:w="0" w:type="dxa"/>
            <w:right w:w="108" w:type="dxa"/>
          </w:tblCellMar>
        </w:tblPrEx>
        <w:trPr>
          <w:trHeight w:val="35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DEEBA">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1 </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40024">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车间外地面</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186E">
            <w:pPr>
              <w:widowControl/>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砼</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C231">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224.00 </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7DFE">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13,440.00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8D792">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厚10cm</w:t>
            </w:r>
          </w:p>
        </w:tc>
      </w:tr>
      <w:tr w14:paraId="7749989E">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3664C">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2 </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87169">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小房</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47F1C">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轻钢</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0D04E">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190.20 </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8EED">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11,412.00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F5588">
            <w:pPr>
              <w:widowControl/>
              <w:jc w:val="center"/>
              <w:textAlignment w:val="center"/>
              <w:rPr>
                <w:rFonts w:ascii="Times New Roman" w:hAnsi="Times New Roman" w:eastAsia="宋体" w:cs="Times New Roman"/>
                <w:color w:val="000000"/>
                <w:kern w:val="0"/>
                <w:sz w:val="18"/>
                <w:szCs w:val="18"/>
                <w:lang w:bidi="ar"/>
              </w:rPr>
            </w:pPr>
          </w:p>
        </w:tc>
      </w:tr>
      <w:tr w14:paraId="3F8B0F69">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0553">
            <w:pPr>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698D5">
            <w:pPr>
              <w:jc w:val="left"/>
              <w:rPr>
                <w:rFonts w:ascii="宋体" w:hAnsi="宋体" w:eastAsia="宋体" w:cs="宋体"/>
                <w:color w:val="000000"/>
                <w:sz w:val="18"/>
                <w:szCs w:val="18"/>
              </w:rPr>
            </w:pPr>
            <w:r>
              <w:rPr>
                <w:rFonts w:hint="eastAsia" w:ascii="宋体" w:hAnsi="宋体" w:eastAsia="宋体" w:cs="宋体"/>
                <w:color w:val="000000"/>
                <w:sz w:val="18"/>
                <w:szCs w:val="18"/>
              </w:rPr>
              <w:t>车库门</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831A">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E6B1">
            <w:pPr>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套</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01177">
            <w:pPr>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1, 500.00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D14D2">
            <w:pPr>
              <w:jc w:val="center"/>
              <w:rPr>
                <w:rFonts w:ascii="Times New Roman" w:hAnsi="Times New Roman" w:eastAsia="宋体" w:cs="Times New Roman"/>
                <w:color w:val="000000"/>
                <w:sz w:val="18"/>
                <w:szCs w:val="18"/>
              </w:rPr>
            </w:pPr>
          </w:p>
        </w:tc>
      </w:tr>
      <w:tr w14:paraId="6CF36444">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00C16">
            <w:pPr>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4</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674D4">
            <w:pPr>
              <w:jc w:val="left"/>
              <w:rPr>
                <w:rFonts w:ascii="宋体" w:hAnsi="宋体" w:eastAsia="宋体" w:cs="宋体"/>
                <w:color w:val="000000"/>
                <w:sz w:val="18"/>
                <w:szCs w:val="18"/>
              </w:rPr>
            </w:pPr>
            <w:r>
              <w:rPr>
                <w:rFonts w:hint="eastAsia" w:ascii="宋体" w:hAnsi="宋体" w:eastAsia="宋体" w:cs="宋体"/>
                <w:color w:val="000000"/>
                <w:sz w:val="18"/>
                <w:szCs w:val="18"/>
              </w:rPr>
              <w:t>焊接车间</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F697">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轻钢</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00E2">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1293.73</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0C18B">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588,647.15</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0A31">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高8.5米</w:t>
            </w:r>
          </w:p>
        </w:tc>
      </w:tr>
      <w:tr w14:paraId="4AEE84C1">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28D1">
            <w:pPr>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5</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45D7">
            <w:pPr>
              <w:jc w:val="left"/>
              <w:rPr>
                <w:rFonts w:ascii="宋体" w:hAnsi="宋体" w:eastAsia="宋体" w:cs="宋体"/>
                <w:color w:val="000000"/>
                <w:sz w:val="18"/>
                <w:szCs w:val="18"/>
              </w:rPr>
            </w:pPr>
            <w:r>
              <w:rPr>
                <w:rFonts w:hint="eastAsia" w:ascii="宋体" w:hAnsi="宋体" w:eastAsia="宋体" w:cs="宋体"/>
                <w:color w:val="000000"/>
                <w:sz w:val="18"/>
                <w:szCs w:val="18"/>
              </w:rPr>
              <w:t>配电室</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7BEC">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混合</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561F7">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115.95</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5056">
            <w:pPr>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48,699.00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5256">
            <w:pPr>
              <w:jc w:val="center"/>
              <w:rPr>
                <w:rFonts w:ascii="Times New Roman" w:hAnsi="Times New Roman" w:eastAsia="宋体" w:cs="Times New Roman"/>
                <w:color w:val="000000"/>
                <w:sz w:val="18"/>
                <w:szCs w:val="18"/>
              </w:rPr>
            </w:pPr>
          </w:p>
        </w:tc>
      </w:tr>
      <w:tr w14:paraId="11AE86FC">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817F">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6</w:t>
            </w:r>
            <w:r>
              <w:rPr>
                <w:rFonts w:ascii="Times New Roman" w:hAnsi="Times New Roman" w:eastAsia="宋体" w:cs="Times New Roman"/>
                <w:color w:val="000000"/>
                <w:kern w:val="0"/>
                <w:sz w:val="18"/>
                <w:szCs w:val="18"/>
                <w:lang w:bidi="ar"/>
              </w:rPr>
              <w:t xml:space="preserve"> </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C63C2">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车棚 </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8816F">
            <w:pPr>
              <w:jc w:val="left"/>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简易</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5FCCB">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86.40</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76C84">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4,665.60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9261C">
            <w:pPr>
              <w:widowControl/>
              <w:jc w:val="center"/>
              <w:textAlignment w:val="center"/>
              <w:rPr>
                <w:rFonts w:ascii="Times New Roman" w:hAnsi="Times New Roman" w:eastAsia="宋体" w:cs="Times New Roman"/>
                <w:color w:val="000000"/>
                <w:kern w:val="0"/>
                <w:sz w:val="18"/>
                <w:szCs w:val="18"/>
                <w:lang w:bidi="ar"/>
              </w:rPr>
            </w:pPr>
          </w:p>
        </w:tc>
      </w:tr>
      <w:tr w14:paraId="5319389E">
        <w:tblPrEx>
          <w:tblCellMar>
            <w:top w:w="0" w:type="dxa"/>
            <w:left w:w="108" w:type="dxa"/>
            <w:bottom w:w="0" w:type="dxa"/>
            <w:right w:w="108" w:type="dxa"/>
          </w:tblCellMar>
        </w:tblPrEx>
        <w:trPr>
          <w:trHeight w:val="315"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420C2">
            <w:pPr>
              <w:jc w:val="center"/>
              <w:rPr>
                <w:rFonts w:ascii="宋体" w:hAnsi="宋体" w:eastAsia="宋体" w:cs="宋体"/>
                <w:color w:val="000000"/>
                <w:sz w:val="18"/>
                <w:szCs w:val="18"/>
              </w:rPr>
            </w:pPr>
            <w:r>
              <w:rPr>
                <w:rFonts w:hint="eastAsia" w:ascii="宋体" w:hAnsi="宋体" w:eastAsia="宋体" w:cs="宋体"/>
                <w:color w:val="000000"/>
                <w:sz w:val="18"/>
                <w:szCs w:val="18"/>
              </w:rPr>
              <w:t>7</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C7BDA">
            <w:pPr>
              <w:jc w:val="left"/>
              <w:rPr>
                <w:rFonts w:ascii="宋体" w:hAnsi="宋体" w:eastAsia="宋体" w:cs="宋体"/>
                <w:color w:val="000000"/>
                <w:sz w:val="18"/>
                <w:szCs w:val="18"/>
              </w:rPr>
            </w:pPr>
            <w:r>
              <w:rPr>
                <w:rFonts w:hint="eastAsia" w:ascii="宋体" w:hAnsi="宋体" w:eastAsia="宋体" w:cs="宋体"/>
                <w:color w:val="000000"/>
                <w:sz w:val="18"/>
                <w:szCs w:val="18"/>
              </w:rPr>
              <w:t>西车间内小屋</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F27D">
            <w:pPr>
              <w:widowControl/>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彩钢</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3AB9">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25.44</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C0FFF">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1. 526. 40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647F">
            <w:pPr>
              <w:widowControl/>
              <w:jc w:val="center"/>
              <w:textAlignment w:val="center"/>
              <w:rPr>
                <w:rFonts w:ascii="Times New Roman" w:hAnsi="Times New Roman" w:eastAsia="宋体" w:cs="Times New Roman"/>
                <w:color w:val="000000"/>
                <w:kern w:val="0"/>
                <w:sz w:val="18"/>
                <w:szCs w:val="18"/>
                <w:lang w:bidi="ar"/>
              </w:rPr>
            </w:pPr>
          </w:p>
        </w:tc>
      </w:tr>
      <w:tr w14:paraId="26D528D9">
        <w:tblPrEx>
          <w:tblCellMar>
            <w:top w:w="0" w:type="dxa"/>
            <w:left w:w="108" w:type="dxa"/>
            <w:bottom w:w="0" w:type="dxa"/>
            <w:right w:w="108" w:type="dxa"/>
          </w:tblCellMar>
        </w:tblPrEx>
        <w:trPr>
          <w:trHeight w:val="398"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B89E4">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8</w:t>
            </w:r>
            <w:r>
              <w:rPr>
                <w:rFonts w:ascii="Times New Roman" w:hAnsi="Times New Roman" w:eastAsia="宋体" w:cs="Times New Roman"/>
                <w:color w:val="000000"/>
                <w:kern w:val="0"/>
                <w:sz w:val="18"/>
                <w:szCs w:val="18"/>
                <w:lang w:bidi="ar"/>
              </w:rPr>
              <w:t xml:space="preserve"> </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3B9DF">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除锈车间 </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4F1CC">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轻钢</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EE14">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 1517.34</w:t>
            </w:r>
            <w:r>
              <w:rPr>
                <w:rFonts w:hint="eastAsia" w:ascii="宋体" w:hAnsi="宋体" w:eastAsia="宋体" w:cs="宋体"/>
                <w:color w:val="000000"/>
                <w:kern w:val="0"/>
                <w:sz w:val="18"/>
                <w:szCs w:val="18"/>
                <w:lang w:bidi="ar"/>
              </w:rPr>
              <w:t>m²</w:t>
            </w:r>
            <w:r>
              <w:rPr>
                <w:rFonts w:ascii="Times New Roman" w:hAnsi="Times New Roman" w:eastAsia="宋体" w:cs="Times New Roman"/>
                <w:color w:val="000000"/>
                <w:kern w:val="0"/>
                <w:sz w:val="18"/>
                <w:szCs w:val="18"/>
                <w:lang w:bidi="ar"/>
              </w:rPr>
              <w:t xml:space="preserve"> </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60240">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690,389.70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ABEA5">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高8.5米</w:t>
            </w:r>
          </w:p>
        </w:tc>
      </w:tr>
      <w:tr w14:paraId="066F7913">
        <w:tblPrEx>
          <w:tblCellMar>
            <w:top w:w="0" w:type="dxa"/>
            <w:left w:w="108" w:type="dxa"/>
            <w:bottom w:w="0" w:type="dxa"/>
            <w:right w:w="108" w:type="dxa"/>
          </w:tblCellMar>
        </w:tblPrEx>
        <w:trPr>
          <w:trHeight w:val="398" w:hRule="atLeast"/>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52A05">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9</w:t>
            </w:r>
          </w:p>
        </w:tc>
        <w:tc>
          <w:tcPr>
            <w:tcW w:w="16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7C2F4">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厂房</w:t>
            </w:r>
          </w:p>
        </w:tc>
        <w:tc>
          <w:tcPr>
            <w:tcW w:w="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1584">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轻钢</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87E9">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1116.18</w:t>
            </w:r>
            <w:r>
              <w:rPr>
                <w:rFonts w:hint="eastAsia" w:ascii="宋体" w:hAnsi="宋体" w:eastAsia="宋体" w:cs="宋体"/>
                <w:color w:val="000000"/>
                <w:kern w:val="0"/>
                <w:sz w:val="18"/>
                <w:szCs w:val="18"/>
                <w:lang w:bidi="ar"/>
              </w:rPr>
              <w:t>m²</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EFA0E">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362,758.50</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5FE6C">
            <w:pPr>
              <w:widowControl/>
              <w:jc w:val="center"/>
              <w:textAlignment w:val="center"/>
              <w:rPr>
                <w:rFonts w:ascii="Times New Roman" w:hAnsi="Times New Roman" w:eastAsia="宋体" w:cs="Times New Roman"/>
                <w:color w:val="000000"/>
                <w:kern w:val="0"/>
                <w:sz w:val="18"/>
                <w:szCs w:val="18"/>
                <w:lang w:bidi="ar"/>
              </w:rPr>
            </w:pPr>
          </w:p>
        </w:tc>
      </w:tr>
    </w:tbl>
    <w:p w14:paraId="70BAA1B5">
      <w:pPr>
        <w:spacing w:line="360" w:lineRule="auto"/>
        <w:rPr>
          <w:rFonts w:asciiTheme="minorEastAsia" w:hAnsiTheme="minorEastAsia"/>
          <w:b/>
          <w:bCs/>
          <w:sz w:val="24"/>
          <w:szCs w:val="24"/>
        </w:rPr>
      </w:pPr>
      <w:r>
        <w:rPr>
          <w:rFonts w:hint="eastAsia" w:asciiTheme="minorEastAsia" w:hAnsiTheme="minorEastAsia"/>
          <w:b/>
          <w:bCs/>
          <w:sz w:val="24"/>
          <w:szCs w:val="24"/>
        </w:rPr>
        <w:t>特别情况说明：</w:t>
      </w:r>
    </w:p>
    <w:p w14:paraId="0D01CB8E">
      <w:pPr>
        <w:numPr>
          <w:ilvl w:val="0"/>
          <w:numId w:val="3"/>
        </w:num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color w:val="FF0000"/>
          <w:sz w:val="24"/>
          <w:szCs w:val="24"/>
        </w:rPr>
        <w:t>地上物均未办理产权证，须对地上物进行拆除，竞买人需于竞拍前3日内提交相关拆除资质手续。</w:t>
      </w:r>
    </w:p>
    <w:p w14:paraId="36AF40DC">
      <w:pPr>
        <w:numPr>
          <w:ilvl w:val="0"/>
          <w:numId w:val="3"/>
        </w:num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竞买人需是符合国家相应标准和资质的企业，并在拆除后将地面墙体恢复原样。买受人应支付由此产生的一切费用，并承担本标的物可能发生的损毁、灭失等后果。</w:t>
      </w:r>
    </w:p>
    <w:p w14:paraId="2F8BD755">
      <w:pPr>
        <w:numPr>
          <w:ilvl w:val="0"/>
          <w:numId w:val="3"/>
        </w:num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sz w:val="24"/>
          <w:szCs w:val="24"/>
          <w:u w:val="single"/>
        </w:rPr>
        <w:t>除标的物尾款外，买受人需另行缴纳10万元“提货保证金”至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77A8293B">
      <w:p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4、其他未尽事宜由买受人自行了解。</w:t>
      </w:r>
    </w:p>
    <w:p w14:paraId="39DD9865">
      <w:pPr>
        <w:spacing w:line="360" w:lineRule="auto"/>
        <w:ind w:firstLine="482" w:firstLineChars="200"/>
        <w:rPr>
          <w:rFonts w:asciiTheme="minorEastAsia" w:hAnsiTheme="minorEastAsia"/>
          <w:b/>
          <w:bCs/>
          <w:sz w:val="24"/>
          <w:szCs w:val="24"/>
        </w:rPr>
      </w:pPr>
    </w:p>
    <w:p w14:paraId="7AB43D91">
      <w:pPr>
        <w:numPr>
          <w:ilvl w:val="0"/>
          <w:numId w:val="2"/>
        </w:numPr>
        <w:spacing w:line="360" w:lineRule="auto"/>
        <w:rPr>
          <w:rFonts w:asciiTheme="minorEastAsia" w:hAnsiTheme="minorEastAsia"/>
          <w:b/>
          <w:bCs/>
          <w:sz w:val="24"/>
          <w:szCs w:val="24"/>
        </w:rPr>
      </w:pPr>
      <w:r>
        <w:rPr>
          <w:rFonts w:hint="eastAsia" w:asciiTheme="minorEastAsia" w:hAnsiTheme="minorEastAsia"/>
          <w:b/>
          <w:bCs/>
          <w:color w:val="FF0000"/>
          <w:sz w:val="24"/>
          <w:szCs w:val="24"/>
        </w:rPr>
        <w:t>设备情况：</w:t>
      </w:r>
    </w:p>
    <w:tbl>
      <w:tblPr>
        <w:tblStyle w:val="7"/>
        <w:tblpPr w:leftFromText="180" w:rightFromText="180" w:vertAnchor="text" w:horzAnchor="page" w:tblpX="1809" w:tblpY="464"/>
        <w:tblOverlap w:val="never"/>
        <w:tblW w:w="8096" w:type="dxa"/>
        <w:tblInd w:w="0" w:type="dxa"/>
        <w:tblLayout w:type="fixed"/>
        <w:tblCellMar>
          <w:top w:w="0" w:type="dxa"/>
          <w:left w:w="108" w:type="dxa"/>
          <w:bottom w:w="0" w:type="dxa"/>
          <w:right w:w="108" w:type="dxa"/>
        </w:tblCellMar>
      </w:tblPr>
      <w:tblGrid>
        <w:gridCol w:w="2420"/>
        <w:gridCol w:w="2340"/>
        <w:gridCol w:w="1176"/>
        <w:gridCol w:w="1287"/>
        <w:gridCol w:w="873"/>
      </w:tblGrid>
      <w:tr w14:paraId="0A6EDFF6">
        <w:tblPrEx>
          <w:tblCellMar>
            <w:top w:w="0" w:type="dxa"/>
            <w:left w:w="108" w:type="dxa"/>
            <w:bottom w:w="0" w:type="dxa"/>
            <w:right w:w="108" w:type="dxa"/>
          </w:tblCellMar>
        </w:tblPrEx>
        <w:trPr>
          <w:trHeight w:val="285" w:hRule="atLeast"/>
        </w:trPr>
        <w:tc>
          <w:tcPr>
            <w:tcW w:w="2420" w:type="dxa"/>
            <w:tcBorders>
              <w:top w:val="single" w:color="auto" w:sz="4" w:space="0"/>
              <w:left w:val="single" w:color="auto" w:sz="4" w:space="0"/>
              <w:bottom w:val="single" w:color="auto" w:sz="4" w:space="0"/>
              <w:right w:val="single" w:color="auto" w:sz="4" w:space="0"/>
            </w:tcBorders>
            <w:noWrap/>
            <w:vAlign w:val="center"/>
          </w:tcPr>
          <w:p w14:paraId="1F686FEC">
            <w:pPr>
              <w:widowControl/>
              <w:jc w:val="center"/>
              <w:rPr>
                <w:rFonts w:ascii="宋体" w:hAnsi="宋体" w:cs="宋体"/>
                <w:kern w:val="0"/>
                <w:sz w:val="24"/>
                <w:szCs w:val="24"/>
              </w:rPr>
            </w:pPr>
            <w:r>
              <w:rPr>
                <w:rFonts w:hint="eastAsia" w:ascii="宋体" w:hAnsi="宋体" w:cs="宋体"/>
                <w:kern w:val="0"/>
                <w:sz w:val="24"/>
                <w:szCs w:val="24"/>
              </w:rPr>
              <w:t>标的名称</w:t>
            </w:r>
          </w:p>
        </w:tc>
        <w:tc>
          <w:tcPr>
            <w:tcW w:w="2340" w:type="dxa"/>
            <w:tcBorders>
              <w:top w:val="single" w:color="auto" w:sz="4" w:space="0"/>
              <w:left w:val="nil"/>
              <w:bottom w:val="single" w:color="auto" w:sz="4" w:space="0"/>
              <w:right w:val="single" w:color="auto" w:sz="4" w:space="0"/>
            </w:tcBorders>
            <w:noWrap/>
            <w:vAlign w:val="center"/>
          </w:tcPr>
          <w:p w14:paraId="38116992">
            <w:pPr>
              <w:widowControl/>
              <w:jc w:val="center"/>
              <w:rPr>
                <w:rFonts w:ascii="宋体" w:hAnsi="宋体" w:cs="宋体"/>
                <w:kern w:val="0"/>
                <w:sz w:val="24"/>
                <w:szCs w:val="24"/>
              </w:rPr>
            </w:pPr>
            <w:r>
              <w:rPr>
                <w:rFonts w:hint="eastAsia" w:ascii="宋体" w:hAnsi="宋体" w:cs="宋体"/>
                <w:kern w:val="0"/>
                <w:sz w:val="24"/>
                <w:szCs w:val="24"/>
              </w:rPr>
              <w:t>设备名称</w:t>
            </w:r>
          </w:p>
        </w:tc>
        <w:tc>
          <w:tcPr>
            <w:tcW w:w="1176" w:type="dxa"/>
            <w:tcBorders>
              <w:top w:val="single" w:color="auto" w:sz="4" w:space="0"/>
              <w:left w:val="nil"/>
              <w:bottom w:val="single" w:color="auto" w:sz="4" w:space="0"/>
              <w:right w:val="single" w:color="auto" w:sz="4" w:space="0"/>
            </w:tcBorders>
            <w:noWrap/>
            <w:vAlign w:val="center"/>
          </w:tcPr>
          <w:p w14:paraId="598FC449">
            <w:pPr>
              <w:widowControl/>
              <w:jc w:val="center"/>
              <w:rPr>
                <w:rFonts w:ascii="宋体" w:hAnsi="宋体" w:cs="宋体"/>
                <w:kern w:val="0"/>
                <w:sz w:val="24"/>
                <w:szCs w:val="24"/>
              </w:rPr>
            </w:pPr>
            <w:r>
              <w:rPr>
                <w:rFonts w:hint="eastAsia" w:ascii="宋体" w:hAnsi="宋体" w:cs="宋体"/>
                <w:kern w:val="0"/>
                <w:sz w:val="24"/>
                <w:szCs w:val="24"/>
              </w:rPr>
              <w:t>规格型号</w:t>
            </w:r>
          </w:p>
        </w:tc>
        <w:tc>
          <w:tcPr>
            <w:tcW w:w="1287" w:type="dxa"/>
            <w:tcBorders>
              <w:top w:val="single" w:color="auto" w:sz="4" w:space="0"/>
              <w:left w:val="nil"/>
              <w:bottom w:val="single" w:color="auto" w:sz="4" w:space="0"/>
              <w:right w:val="single" w:color="auto" w:sz="4" w:space="0"/>
            </w:tcBorders>
            <w:vAlign w:val="center"/>
          </w:tcPr>
          <w:p w14:paraId="1BA39B52">
            <w:pPr>
              <w:widowControl/>
              <w:jc w:val="center"/>
              <w:rPr>
                <w:rFonts w:ascii="宋体" w:hAnsi="宋体" w:cs="宋体"/>
                <w:kern w:val="0"/>
                <w:sz w:val="24"/>
                <w:szCs w:val="24"/>
              </w:rPr>
            </w:pPr>
            <w:r>
              <w:rPr>
                <w:rFonts w:hint="eastAsia" w:ascii="宋体" w:hAnsi="宋体" w:cs="宋体"/>
                <w:kern w:val="0"/>
                <w:sz w:val="24"/>
                <w:szCs w:val="24"/>
              </w:rPr>
              <w:t>计量单位</w:t>
            </w:r>
          </w:p>
        </w:tc>
        <w:tc>
          <w:tcPr>
            <w:tcW w:w="873" w:type="dxa"/>
            <w:tcBorders>
              <w:top w:val="single" w:color="auto" w:sz="4" w:space="0"/>
              <w:left w:val="nil"/>
              <w:bottom w:val="single" w:color="auto" w:sz="4" w:space="0"/>
              <w:right w:val="single" w:color="auto" w:sz="4" w:space="0"/>
            </w:tcBorders>
            <w:noWrap/>
            <w:vAlign w:val="center"/>
          </w:tcPr>
          <w:p w14:paraId="11BE15C6">
            <w:pPr>
              <w:widowControl/>
              <w:jc w:val="center"/>
              <w:rPr>
                <w:rFonts w:ascii="宋体" w:hAnsi="宋体" w:cs="宋体"/>
                <w:kern w:val="0"/>
                <w:sz w:val="24"/>
                <w:szCs w:val="24"/>
              </w:rPr>
            </w:pPr>
            <w:r>
              <w:rPr>
                <w:rFonts w:hint="eastAsia" w:ascii="宋体" w:hAnsi="宋体" w:cs="宋体"/>
                <w:kern w:val="0"/>
                <w:sz w:val="24"/>
                <w:szCs w:val="24"/>
              </w:rPr>
              <w:t>数量</w:t>
            </w:r>
          </w:p>
        </w:tc>
      </w:tr>
      <w:tr w14:paraId="06FA3EFE">
        <w:tblPrEx>
          <w:tblCellMar>
            <w:top w:w="0" w:type="dxa"/>
            <w:left w:w="108" w:type="dxa"/>
            <w:bottom w:w="0" w:type="dxa"/>
            <w:right w:w="108" w:type="dxa"/>
          </w:tblCellMar>
        </w:tblPrEx>
        <w:trPr>
          <w:trHeight w:val="285" w:hRule="atLeast"/>
        </w:trPr>
        <w:tc>
          <w:tcPr>
            <w:tcW w:w="2420" w:type="dxa"/>
            <w:vMerge w:val="restart"/>
            <w:tcBorders>
              <w:top w:val="nil"/>
              <w:left w:val="single" w:color="auto" w:sz="4" w:space="0"/>
              <w:bottom w:val="single" w:color="000000" w:sz="8" w:space="0"/>
              <w:right w:val="single" w:color="auto" w:sz="4" w:space="0"/>
            </w:tcBorders>
            <w:shd w:val="clear" w:color="000000" w:fill="D9E1F2"/>
            <w:noWrap/>
            <w:vAlign w:val="center"/>
          </w:tcPr>
          <w:p w14:paraId="26A560B1">
            <w:pPr>
              <w:widowControl/>
              <w:jc w:val="left"/>
              <w:rPr>
                <w:rFonts w:ascii="宋体" w:hAnsi="宋体" w:cs="宋体"/>
                <w:kern w:val="0"/>
                <w:sz w:val="24"/>
                <w:szCs w:val="24"/>
              </w:rPr>
            </w:pPr>
            <w:r>
              <w:rPr>
                <w:rFonts w:hint="eastAsia" w:ascii="宋体" w:hAnsi="宋体" w:cs="宋体"/>
                <w:kern w:val="0"/>
                <w:sz w:val="24"/>
                <w:szCs w:val="24"/>
              </w:rPr>
              <w:t>1、变压器及配电</w:t>
            </w:r>
          </w:p>
        </w:tc>
        <w:tc>
          <w:tcPr>
            <w:tcW w:w="2340" w:type="dxa"/>
            <w:tcBorders>
              <w:top w:val="nil"/>
              <w:left w:val="nil"/>
              <w:bottom w:val="single" w:color="auto" w:sz="4" w:space="0"/>
              <w:right w:val="single" w:color="auto" w:sz="4" w:space="0"/>
            </w:tcBorders>
            <w:shd w:val="clear" w:color="000000" w:fill="D9E1F2"/>
            <w:noWrap/>
            <w:vAlign w:val="center"/>
          </w:tcPr>
          <w:p w14:paraId="3BE12DBE">
            <w:pPr>
              <w:widowControl/>
              <w:jc w:val="left"/>
              <w:rPr>
                <w:rFonts w:ascii="宋体" w:hAnsi="宋体" w:cs="宋体"/>
                <w:kern w:val="0"/>
                <w:sz w:val="24"/>
                <w:szCs w:val="24"/>
              </w:rPr>
            </w:pPr>
            <w:r>
              <w:rPr>
                <w:rFonts w:hint="eastAsia" w:ascii="宋体" w:hAnsi="宋体" w:cs="宋体"/>
                <w:kern w:val="0"/>
                <w:sz w:val="24"/>
                <w:szCs w:val="24"/>
              </w:rPr>
              <w:t>配电柜</w:t>
            </w:r>
          </w:p>
        </w:tc>
        <w:tc>
          <w:tcPr>
            <w:tcW w:w="1176" w:type="dxa"/>
            <w:tcBorders>
              <w:top w:val="nil"/>
              <w:left w:val="nil"/>
              <w:bottom w:val="single" w:color="auto" w:sz="4" w:space="0"/>
              <w:right w:val="single" w:color="auto" w:sz="4" w:space="0"/>
            </w:tcBorders>
            <w:shd w:val="clear" w:color="000000" w:fill="D9E1F2"/>
            <w:noWrap/>
            <w:vAlign w:val="center"/>
          </w:tcPr>
          <w:p w14:paraId="0FCADCC4">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D9E1F2"/>
            <w:noWrap/>
            <w:vAlign w:val="center"/>
          </w:tcPr>
          <w:p w14:paraId="2F12F94D">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D9E1F2"/>
            <w:noWrap/>
            <w:vAlign w:val="center"/>
          </w:tcPr>
          <w:p w14:paraId="4A8C53B0">
            <w:pPr>
              <w:widowControl/>
              <w:jc w:val="center"/>
              <w:rPr>
                <w:rFonts w:ascii="宋体" w:hAnsi="宋体" w:cs="宋体"/>
                <w:kern w:val="0"/>
                <w:sz w:val="24"/>
                <w:szCs w:val="24"/>
              </w:rPr>
            </w:pPr>
            <w:r>
              <w:rPr>
                <w:rFonts w:hint="eastAsia" w:ascii="宋体" w:hAnsi="宋体" w:cs="宋体"/>
                <w:kern w:val="0"/>
                <w:sz w:val="24"/>
                <w:szCs w:val="24"/>
              </w:rPr>
              <w:t>3</w:t>
            </w:r>
          </w:p>
        </w:tc>
      </w:tr>
      <w:tr w14:paraId="38BAAF5D">
        <w:tblPrEx>
          <w:tblCellMar>
            <w:top w:w="0" w:type="dxa"/>
            <w:left w:w="108" w:type="dxa"/>
            <w:bottom w:w="0" w:type="dxa"/>
            <w:right w:w="108" w:type="dxa"/>
          </w:tblCellMar>
        </w:tblPrEx>
        <w:trPr>
          <w:trHeight w:val="300"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25F771A4">
            <w:pPr>
              <w:widowControl/>
              <w:jc w:val="left"/>
              <w:rPr>
                <w:rFonts w:ascii="宋体" w:hAnsi="宋体" w:cs="宋体"/>
                <w:kern w:val="0"/>
                <w:sz w:val="24"/>
                <w:szCs w:val="24"/>
              </w:rPr>
            </w:pPr>
          </w:p>
        </w:tc>
        <w:tc>
          <w:tcPr>
            <w:tcW w:w="2340" w:type="dxa"/>
            <w:tcBorders>
              <w:top w:val="nil"/>
              <w:left w:val="nil"/>
              <w:bottom w:val="single" w:color="auto" w:sz="8" w:space="0"/>
              <w:right w:val="single" w:color="auto" w:sz="4" w:space="0"/>
            </w:tcBorders>
            <w:shd w:val="clear" w:color="000000" w:fill="D9E1F2"/>
            <w:noWrap/>
            <w:vAlign w:val="center"/>
          </w:tcPr>
          <w:p w14:paraId="0D1EBD3E">
            <w:pPr>
              <w:widowControl/>
              <w:jc w:val="left"/>
              <w:rPr>
                <w:rFonts w:ascii="宋体" w:hAnsi="宋体" w:cs="宋体"/>
                <w:kern w:val="0"/>
                <w:sz w:val="24"/>
                <w:szCs w:val="24"/>
              </w:rPr>
            </w:pPr>
            <w:r>
              <w:rPr>
                <w:rFonts w:hint="eastAsia" w:ascii="宋体" w:hAnsi="宋体" w:cs="宋体"/>
                <w:kern w:val="0"/>
                <w:sz w:val="24"/>
                <w:szCs w:val="24"/>
              </w:rPr>
              <w:t>变压器</w:t>
            </w:r>
          </w:p>
        </w:tc>
        <w:tc>
          <w:tcPr>
            <w:tcW w:w="1176" w:type="dxa"/>
            <w:tcBorders>
              <w:top w:val="nil"/>
              <w:left w:val="nil"/>
              <w:bottom w:val="single" w:color="auto" w:sz="8" w:space="0"/>
              <w:right w:val="single" w:color="auto" w:sz="4" w:space="0"/>
            </w:tcBorders>
            <w:shd w:val="clear" w:color="000000" w:fill="D9E1F2"/>
            <w:noWrap/>
            <w:vAlign w:val="center"/>
          </w:tcPr>
          <w:p w14:paraId="5513A7E8">
            <w:pPr>
              <w:widowControl/>
              <w:jc w:val="left"/>
              <w:rPr>
                <w:rFonts w:ascii="宋体" w:hAnsi="宋体" w:cs="宋体"/>
                <w:kern w:val="0"/>
                <w:sz w:val="24"/>
                <w:szCs w:val="24"/>
              </w:rPr>
            </w:pPr>
            <w:r>
              <w:rPr>
                <w:rFonts w:hint="eastAsia" w:ascii="宋体" w:hAnsi="宋体" w:cs="宋体"/>
                <w:kern w:val="0"/>
                <w:sz w:val="24"/>
                <w:szCs w:val="24"/>
              </w:rPr>
              <w:t>315KVA</w:t>
            </w:r>
          </w:p>
        </w:tc>
        <w:tc>
          <w:tcPr>
            <w:tcW w:w="1287" w:type="dxa"/>
            <w:tcBorders>
              <w:top w:val="nil"/>
              <w:left w:val="nil"/>
              <w:bottom w:val="single" w:color="auto" w:sz="8" w:space="0"/>
              <w:right w:val="single" w:color="auto" w:sz="4" w:space="0"/>
            </w:tcBorders>
            <w:shd w:val="clear" w:color="000000" w:fill="D9E1F2"/>
            <w:noWrap/>
            <w:vAlign w:val="center"/>
          </w:tcPr>
          <w:p w14:paraId="653299F7">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8" w:space="0"/>
              <w:right w:val="single" w:color="auto" w:sz="4" w:space="0"/>
            </w:tcBorders>
            <w:shd w:val="clear" w:color="000000" w:fill="D9E1F2"/>
            <w:noWrap/>
            <w:vAlign w:val="center"/>
          </w:tcPr>
          <w:p w14:paraId="5E8D9AD5">
            <w:pPr>
              <w:widowControl/>
              <w:jc w:val="center"/>
              <w:rPr>
                <w:rFonts w:ascii="宋体" w:hAnsi="宋体" w:cs="宋体"/>
                <w:kern w:val="0"/>
                <w:sz w:val="24"/>
                <w:szCs w:val="24"/>
              </w:rPr>
            </w:pPr>
            <w:r>
              <w:rPr>
                <w:rFonts w:hint="eastAsia" w:ascii="宋体" w:hAnsi="宋体" w:cs="宋体"/>
                <w:kern w:val="0"/>
                <w:sz w:val="24"/>
                <w:szCs w:val="24"/>
              </w:rPr>
              <w:t>2</w:t>
            </w:r>
          </w:p>
        </w:tc>
      </w:tr>
      <w:tr w14:paraId="18C1CF37">
        <w:tblPrEx>
          <w:tblCellMar>
            <w:top w:w="0" w:type="dxa"/>
            <w:left w:w="108" w:type="dxa"/>
            <w:bottom w:w="0" w:type="dxa"/>
            <w:right w:w="108" w:type="dxa"/>
          </w:tblCellMar>
        </w:tblPrEx>
        <w:trPr>
          <w:trHeight w:val="285" w:hRule="atLeast"/>
        </w:trPr>
        <w:tc>
          <w:tcPr>
            <w:tcW w:w="2420" w:type="dxa"/>
            <w:vMerge w:val="restart"/>
            <w:tcBorders>
              <w:top w:val="nil"/>
              <w:left w:val="single" w:color="auto" w:sz="4" w:space="0"/>
              <w:bottom w:val="single" w:color="000000" w:sz="8" w:space="0"/>
              <w:right w:val="single" w:color="auto" w:sz="4" w:space="0"/>
            </w:tcBorders>
            <w:shd w:val="clear" w:color="000000" w:fill="E2EFDA"/>
            <w:noWrap/>
            <w:vAlign w:val="center"/>
          </w:tcPr>
          <w:p w14:paraId="2757F651">
            <w:pPr>
              <w:widowControl/>
              <w:jc w:val="left"/>
              <w:rPr>
                <w:rFonts w:ascii="宋体" w:hAnsi="宋体" w:cs="宋体"/>
                <w:kern w:val="0"/>
                <w:sz w:val="24"/>
                <w:szCs w:val="24"/>
              </w:rPr>
            </w:pPr>
            <w:r>
              <w:rPr>
                <w:rFonts w:hint="eastAsia" w:ascii="宋体" w:hAnsi="宋体" w:cs="宋体"/>
                <w:kern w:val="0"/>
                <w:sz w:val="24"/>
                <w:szCs w:val="24"/>
              </w:rPr>
              <w:t>2、钢管表面处理设备</w:t>
            </w:r>
          </w:p>
        </w:tc>
        <w:tc>
          <w:tcPr>
            <w:tcW w:w="2340" w:type="dxa"/>
            <w:tcBorders>
              <w:top w:val="nil"/>
              <w:left w:val="nil"/>
              <w:bottom w:val="single" w:color="auto" w:sz="4" w:space="0"/>
              <w:right w:val="single" w:color="auto" w:sz="4" w:space="0"/>
            </w:tcBorders>
            <w:shd w:val="clear" w:color="000000" w:fill="E2EFDA"/>
            <w:noWrap/>
            <w:vAlign w:val="center"/>
          </w:tcPr>
          <w:p w14:paraId="27F790D7">
            <w:pPr>
              <w:widowControl/>
              <w:jc w:val="left"/>
              <w:rPr>
                <w:rFonts w:ascii="宋体" w:hAnsi="宋体" w:cs="宋体"/>
                <w:kern w:val="0"/>
                <w:sz w:val="24"/>
                <w:szCs w:val="24"/>
              </w:rPr>
            </w:pPr>
            <w:r>
              <w:rPr>
                <w:rFonts w:hint="eastAsia" w:ascii="宋体" w:hAnsi="宋体" w:cs="宋体"/>
                <w:kern w:val="0"/>
                <w:sz w:val="24"/>
                <w:szCs w:val="24"/>
              </w:rPr>
              <w:t>喷砂机</w:t>
            </w:r>
          </w:p>
        </w:tc>
        <w:tc>
          <w:tcPr>
            <w:tcW w:w="1176" w:type="dxa"/>
            <w:tcBorders>
              <w:top w:val="nil"/>
              <w:left w:val="nil"/>
              <w:bottom w:val="single" w:color="auto" w:sz="4" w:space="0"/>
              <w:right w:val="single" w:color="auto" w:sz="4" w:space="0"/>
            </w:tcBorders>
            <w:shd w:val="clear" w:color="000000" w:fill="E2EFDA"/>
            <w:noWrap/>
            <w:vAlign w:val="center"/>
          </w:tcPr>
          <w:p w14:paraId="7172C215">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E2EFDA"/>
            <w:noWrap/>
            <w:vAlign w:val="center"/>
          </w:tcPr>
          <w:p w14:paraId="5A10E4A8">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E2EFDA"/>
            <w:noWrap/>
            <w:vAlign w:val="center"/>
          </w:tcPr>
          <w:p w14:paraId="396508C3">
            <w:pPr>
              <w:widowControl/>
              <w:jc w:val="center"/>
              <w:rPr>
                <w:rFonts w:ascii="宋体" w:hAnsi="宋体" w:cs="宋体"/>
                <w:kern w:val="0"/>
                <w:sz w:val="24"/>
                <w:szCs w:val="24"/>
              </w:rPr>
            </w:pPr>
            <w:r>
              <w:rPr>
                <w:rFonts w:hint="eastAsia" w:ascii="宋体" w:hAnsi="宋体" w:cs="宋体"/>
                <w:kern w:val="0"/>
                <w:sz w:val="24"/>
                <w:szCs w:val="24"/>
              </w:rPr>
              <w:t>1</w:t>
            </w:r>
          </w:p>
        </w:tc>
      </w:tr>
      <w:tr w14:paraId="7A596C85">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11E657FA">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E2EFDA"/>
            <w:noWrap/>
            <w:vAlign w:val="center"/>
          </w:tcPr>
          <w:p w14:paraId="6616D53D">
            <w:pPr>
              <w:widowControl/>
              <w:jc w:val="left"/>
              <w:rPr>
                <w:rFonts w:ascii="宋体" w:hAnsi="宋体" w:cs="宋体"/>
                <w:kern w:val="0"/>
                <w:sz w:val="24"/>
                <w:szCs w:val="24"/>
              </w:rPr>
            </w:pPr>
            <w:r>
              <w:rPr>
                <w:rFonts w:hint="eastAsia" w:ascii="宋体" w:hAnsi="宋体" w:cs="宋体"/>
                <w:kern w:val="0"/>
                <w:sz w:val="24"/>
                <w:szCs w:val="24"/>
              </w:rPr>
              <w:t>钢管外壁除锈机</w:t>
            </w:r>
          </w:p>
        </w:tc>
        <w:tc>
          <w:tcPr>
            <w:tcW w:w="1176" w:type="dxa"/>
            <w:tcBorders>
              <w:top w:val="nil"/>
              <w:left w:val="nil"/>
              <w:bottom w:val="single" w:color="auto" w:sz="4" w:space="0"/>
              <w:right w:val="single" w:color="auto" w:sz="4" w:space="0"/>
            </w:tcBorders>
            <w:shd w:val="clear" w:color="000000" w:fill="E2EFDA"/>
            <w:noWrap/>
            <w:vAlign w:val="center"/>
          </w:tcPr>
          <w:p w14:paraId="6A7D4BAA">
            <w:pPr>
              <w:widowControl/>
              <w:jc w:val="left"/>
              <w:rPr>
                <w:rFonts w:ascii="宋体" w:hAnsi="宋体" w:cs="宋体"/>
                <w:kern w:val="0"/>
                <w:sz w:val="24"/>
                <w:szCs w:val="24"/>
              </w:rPr>
            </w:pPr>
            <w:r>
              <w:rPr>
                <w:rFonts w:hint="eastAsia" w:ascii="宋体" w:hAnsi="宋体" w:cs="宋体"/>
                <w:kern w:val="0"/>
                <w:sz w:val="24"/>
                <w:szCs w:val="24"/>
              </w:rPr>
              <w:t>QG1200</w:t>
            </w:r>
          </w:p>
        </w:tc>
        <w:tc>
          <w:tcPr>
            <w:tcW w:w="1287" w:type="dxa"/>
            <w:tcBorders>
              <w:top w:val="nil"/>
              <w:left w:val="nil"/>
              <w:bottom w:val="single" w:color="auto" w:sz="4" w:space="0"/>
              <w:right w:val="single" w:color="auto" w:sz="4" w:space="0"/>
            </w:tcBorders>
            <w:shd w:val="clear" w:color="000000" w:fill="E2EFDA"/>
            <w:noWrap/>
            <w:vAlign w:val="center"/>
          </w:tcPr>
          <w:p w14:paraId="3961D20A">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4" w:space="0"/>
              <w:right w:val="single" w:color="auto" w:sz="4" w:space="0"/>
            </w:tcBorders>
            <w:shd w:val="clear" w:color="000000" w:fill="E2EFDA"/>
            <w:noWrap/>
            <w:vAlign w:val="center"/>
          </w:tcPr>
          <w:p w14:paraId="484C2A2E">
            <w:pPr>
              <w:widowControl/>
              <w:jc w:val="center"/>
              <w:rPr>
                <w:rFonts w:ascii="宋体" w:hAnsi="宋体" w:cs="宋体"/>
                <w:kern w:val="0"/>
                <w:sz w:val="24"/>
                <w:szCs w:val="24"/>
              </w:rPr>
            </w:pPr>
            <w:r>
              <w:rPr>
                <w:rFonts w:hint="eastAsia" w:ascii="宋体" w:hAnsi="宋体" w:cs="宋体"/>
                <w:kern w:val="0"/>
                <w:sz w:val="24"/>
                <w:szCs w:val="24"/>
              </w:rPr>
              <w:t>1</w:t>
            </w:r>
          </w:p>
        </w:tc>
      </w:tr>
      <w:tr w14:paraId="7E03F800">
        <w:tblPrEx>
          <w:tblCellMar>
            <w:top w:w="0" w:type="dxa"/>
            <w:left w:w="108" w:type="dxa"/>
            <w:bottom w:w="0" w:type="dxa"/>
            <w:right w:w="108" w:type="dxa"/>
          </w:tblCellMar>
        </w:tblPrEx>
        <w:trPr>
          <w:trHeight w:val="300"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35C9590B">
            <w:pPr>
              <w:widowControl/>
              <w:jc w:val="left"/>
              <w:rPr>
                <w:rFonts w:ascii="宋体" w:hAnsi="宋体" w:cs="宋体"/>
                <w:kern w:val="0"/>
                <w:sz w:val="24"/>
                <w:szCs w:val="24"/>
              </w:rPr>
            </w:pPr>
          </w:p>
        </w:tc>
        <w:tc>
          <w:tcPr>
            <w:tcW w:w="2340" w:type="dxa"/>
            <w:tcBorders>
              <w:top w:val="nil"/>
              <w:left w:val="nil"/>
              <w:bottom w:val="single" w:color="auto" w:sz="8" w:space="0"/>
              <w:right w:val="single" w:color="auto" w:sz="4" w:space="0"/>
            </w:tcBorders>
            <w:shd w:val="clear" w:color="000000" w:fill="E2EFDA"/>
            <w:noWrap/>
            <w:vAlign w:val="center"/>
          </w:tcPr>
          <w:p w14:paraId="453D95B5">
            <w:pPr>
              <w:widowControl/>
              <w:jc w:val="left"/>
              <w:rPr>
                <w:rFonts w:ascii="宋体" w:hAnsi="宋体" w:cs="宋体"/>
                <w:kern w:val="0"/>
                <w:sz w:val="24"/>
                <w:szCs w:val="24"/>
              </w:rPr>
            </w:pPr>
            <w:r>
              <w:rPr>
                <w:rFonts w:hint="eastAsia" w:ascii="宋体" w:hAnsi="宋体" w:cs="宋体"/>
                <w:kern w:val="0"/>
                <w:sz w:val="24"/>
                <w:szCs w:val="24"/>
              </w:rPr>
              <w:t>钢管内壁喷砂机</w:t>
            </w:r>
          </w:p>
        </w:tc>
        <w:tc>
          <w:tcPr>
            <w:tcW w:w="1176" w:type="dxa"/>
            <w:tcBorders>
              <w:top w:val="nil"/>
              <w:left w:val="nil"/>
              <w:bottom w:val="single" w:color="auto" w:sz="8" w:space="0"/>
              <w:right w:val="single" w:color="auto" w:sz="4" w:space="0"/>
            </w:tcBorders>
            <w:shd w:val="clear" w:color="000000" w:fill="E2EFDA"/>
            <w:noWrap/>
            <w:vAlign w:val="center"/>
          </w:tcPr>
          <w:p w14:paraId="4B32A7BF">
            <w:pPr>
              <w:widowControl/>
              <w:jc w:val="left"/>
              <w:rPr>
                <w:rFonts w:ascii="宋体" w:hAnsi="宋体" w:cs="宋体"/>
                <w:kern w:val="0"/>
                <w:sz w:val="24"/>
                <w:szCs w:val="24"/>
              </w:rPr>
            </w:pPr>
            <w:r>
              <w:rPr>
                <w:rFonts w:hint="eastAsia" w:ascii="宋体" w:hAnsi="宋体" w:cs="宋体"/>
                <w:kern w:val="0"/>
                <w:sz w:val="24"/>
                <w:szCs w:val="24"/>
              </w:rPr>
              <w:t>QGN1200</w:t>
            </w:r>
          </w:p>
        </w:tc>
        <w:tc>
          <w:tcPr>
            <w:tcW w:w="1287" w:type="dxa"/>
            <w:tcBorders>
              <w:top w:val="nil"/>
              <w:left w:val="nil"/>
              <w:bottom w:val="single" w:color="auto" w:sz="8" w:space="0"/>
              <w:right w:val="single" w:color="auto" w:sz="4" w:space="0"/>
            </w:tcBorders>
            <w:shd w:val="clear" w:color="000000" w:fill="E2EFDA"/>
            <w:noWrap/>
            <w:vAlign w:val="center"/>
          </w:tcPr>
          <w:p w14:paraId="687CB490">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8" w:space="0"/>
              <w:right w:val="single" w:color="auto" w:sz="4" w:space="0"/>
            </w:tcBorders>
            <w:shd w:val="clear" w:color="000000" w:fill="E2EFDA"/>
            <w:noWrap/>
            <w:vAlign w:val="center"/>
          </w:tcPr>
          <w:p w14:paraId="508392AB">
            <w:pPr>
              <w:widowControl/>
              <w:jc w:val="center"/>
              <w:rPr>
                <w:rFonts w:ascii="宋体" w:hAnsi="宋体" w:cs="宋体"/>
                <w:kern w:val="0"/>
                <w:sz w:val="24"/>
                <w:szCs w:val="24"/>
              </w:rPr>
            </w:pPr>
            <w:r>
              <w:rPr>
                <w:rFonts w:hint="eastAsia" w:ascii="宋体" w:hAnsi="宋体" w:cs="宋体"/>
                <w:kern w:val="0"/>
                <w:sz w:val="24"/>
                <w:szCs w:val="24"/>
              </w:rPr>
              <w:t>1</w:t>
            </w:r>
          </w:p>
        </w:tc>
      </w:tr>
      <w:tr w14:paraId="3B6778A9">
        <w:tblPrEx>
          <w:tblCellMar>
            <w:top w:w="0" w:type="dxa"/>
            <w:left w:w="108" w:type="dxa"/>
            <w:bottom w:w="0" w:type="dxa"/>
            <w:right w:w="108" w:type="dxa"/>
          </w:tblCellMar>
        </w:tblPrEx>
        <w:trPr>
          <w:trHeight w:val="285" w:hRule="atLeast"/>
        </w:trPr>
        <w:tc>
          <w:tcPr>
            <w:tcW w:w="2420" w:type="dxa"/>
            <w:vMerge w:val="restart"/>
            <w:tcBorders>
              <w:top w:val="nil"/>
              <w:left w:val="single" w:color="auto" w:sz="4" w:space="0"/>
              <w:bottom w:val="single" w:color="000000" w:sz="8" w:space="0"/>
              <w:right w:val="single" w:color="auto" w:sz="4" w:space="0"/>
            </w:tcBorders>
            <w:shd w:val="clear" w:color="000000" w:fill="FFF2CC"/>
            <w:vAlign w:val="center"/>
          </w:tcPr>
          <w:p w14:paraId="3EC402FF">
            <w:pPr>
              <w:widowControl/>
              <w:jc w:val="left"/>
              <w:rPr>
                <w:rFonts w:ascii="宋体" w:hAnsi="宋体" w:cs="宋体"/>
                <w:kern w:val="0"/>
                <w:sz w:val="24"/>
                <w:szCs w:val="24"/>
              </w:rPr>
            </w:pPr>
            <w:r>
              <w:rPr>
                <w:rFonts w:hint="eastAsia" w:ascii="宋体" w:hAnsi="宋体" w:cs="宋体"/>
                <w:kern w:val="0"/>
                <w:sz w:val="24"/>
                <w:szCs w:val="24"/>
              </w:rPr>
              <w:t>3、钢管扩口及压槽、试压设备</w:t>
            </w:r>
          </w:p>
        </w:tc>
        <w:tc>
          <w:tcPr>
            <w:tcW w:w="2340" w:type="dxa"/>
            <w:tcBorders>
              <w:top w:val="nil"/>
              <w:left w:val="nil"/>
              <w:bottom w:val="single" w:color="auto" w:sz="4" w:space="0"/>
              <w:right w:val="single" w:color="auto" w:sz="4" w:space="0"/>
            </w:tcBorders>
            <w:shd w:val="clear" w:color="000000" w:fill="FFF2CC"/>
            <w:noWrap/>
            <w:vAlign w:val="center"/>
          </w:tcPr>
          <w:p w14:paraId="60B02196">
            <w:pPr>
              <w:widowControl/>
              <w:jc w:val="left"/>
              <w:rPr>
                <w:rFonts w:ascii="宋体" w:hAnsi="宋体" w:cs="宋体"/>
                <w:kern w:val="0"/>
                <w:sz w:val="24"/>
                <w:szCs w:val="24"/>
              </w:rPr>
            </w:pPr>
            <w:r>
              <w:rPr>
                <w:rFonts w:hint="eastAsia" w:ascii="宋体" w:hAnsi="宋体" w:cs="宋体"/>
                <w:kern w:val="0"/>
                <w:sz w:val="24"/>
                <w:szCs w:val="24"/>
              </w:rPr>
              <w:t>扩口机</w:t>
            </w:r>
          </w:p>
        </w:tc>
        <w:tc>
          <w:tcPr>
            <w:tcW w:w="1176" w:type="dxa"/>
            <w:tcBorders>
              <w:top w:val="nil"/>
              <w:left w:val="nil"/>
              <w:bottom w:val="single" w:color="auto" w:sz="4" w:space="0"/>
              <w:right w:val="single" w:color="auto" w:sz="4" w:space="0"/>
            </w:tcBorders>
            <w:shd w:val="clear" w:color="000000" w:fill="FFF2CC"/>
            <w:noWrap/>
            <w:vAlign w:val="center"/>
          </w:tcPr>
          <w:p w14:paraId="6744F03A">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FF2CC"/>
            <w:noWrap/>
            <w:vAlign w:val="center"/>
          </w:tcPr>
          <w:p w14:paraId="24AC7136">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FF2CC"/>
            <w:noWrap/>
            <w:vAlign w:val="center"/>
          </w:tcPr>
          <w:p w14:paraId="41DC1499">
            <w:pPr>
              <w:widowControl/>
              <w:jc w:val="center"/>
              <w:rPr>
                <w:rFonts w:ascii="宋体" w:hAnsi="宋体" w:cs="宋体"/>
                <w:kern w:val="0"/>
                <w:sz w:val="24"/>
                <w:szCs w:val="24"/>
              </w:rPr>
            </w:pPr>
            <w:r>
              <w:rPr>
                <w:rFonts w:hint="eastAsia" w:ascii="宋体" w:hAnsi="宋体" w:cs="宋体"/>
                <w:kern w:val="0"/>
                <w:sz w:val="24"/>
                <w:szCs w:val="24"/>
              </w:rPr>
              <w:t>1</w:t>
            </w:r>
          </w:p>
        </w:tc>
      </w:tr>
      <w:tr w14:paraId="75E448FA">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5B5E340D">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FF2CC"/>
            <w:noWrap/>
            <w:vAlign w:val="center"/>
          </w:tcPr>
          <w:p w14:paraId="2C8D6742">
            <w:pPr>
              <w:widowControl/>
              <w:jc w:val="left"/>
              <w:rPr>
                <w:rFonts w:ascii="宋体" w:hAnsi="宋体" w:cs="宋体"/>
                <w:kern w:val="0"/>
                <w:sz w:val="24"/>
                <w:szCs w:val="24"/>
              </w:rPr>
            </w:pPr>
            <w:r>
              <w:rPr>
                <w:rFonts w:hint="eastAsia" w:ascii="宋体" w:hAnsi="宋体" w:cs="宋体"/>
                <w:kern w:val="0"/>
                <w:sz w:val="24"/>
                <w:szCs w:val="24"/>
              </w:rPr>
              <w:t>扩口机用液压缸</w:t>
            </w:r>
          </w:p>
        </w:tc>
        <w:tc>
          <w:tcPr>
            <w:tcW w:w="1176" w:type="dxa"/>
            <w:tcBorders>
              <w:top w:val="nil"/>
              <w:left w:val="nil"/>
              <w:bottom w:val="single" w:color="auto" w:sz="4" w:space="0"/>
              <w:right w:val="single" w:color="auto" w:sz="4" w:space="0"/>
            </w:tcBorders>
            <w:shd w:val="clear" w:color="000000" w:fill="FFF2CC"/>
            <w:noWrap/>
            <w:vAlign w:val="center"/>
          </w:tcPr>
          <w:p w14:paraId="4DEF5D0C">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FF2CC"/>
            <w:noWrap/>
            <w:vAlign w:val="center"/>
          </w:tcPr>
          <w:p w14:paraId="1E1D9CF4">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FF2CC"/>
            <w:noWrap/>
            <w:vAlign w:val="center"/>
          </w:tcPr>
          <w:p w14:paraId="02588003">
            <w:pPr>
              <w:widowControl/>
              <w:jc w:val="center"/>
              <w:rPr>
                <w:rFonts w:ascii="宋体" w:hAnsi="宋体" w:cs="宋体"/>
                <w:kern w:val="0"/>
                <w:sz w:val="24"/>
                <w:szCs w:val="24"/>
              </w:rPr>
            </w:pPr>
            <w:r>
              <w:rPr>
                <w:rFonts w:hint="eastAsia" w:ascii="宋体" w:hAnsi="宋体" w:cs="宋体"/>
                <w:kern w:val="0"/>
                <w:sz w:val="24"/>
                <w:szCs w:val="24"/>
              </w:rPr>
              <w:t>1</w:t>
            </w:r>
          </w:p>
        </w:tc>
      </w:tr>
      <w:tr w14:paraId="68888362">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2AA2D816">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FF2CC"/>
            <w:noWrap/>
            <w:vAlign w:val="center"/>
          </w:tcPr>
          <w:p w14:paraId="53EE025F">
            <w:pPr>
              <w:widowControl/>
              <w:jc w:val="left"/>
              <w:rPr>
                <w:rFonts w:ascii="宋体" w:hAnsi="宋体" w:cs="宋体"/>
                <w:kern w:val="0"/>
                <w:sz w:val="24"/>
                <w:szCs w:val="24"/>
              </w:rPr>
            </w:pPr>
            <w:r>
              <w:rPr>
                <w:rFonts w:hint="eastAsia" w:ascii="宋体" w:hAnsi="宋体" w:cs="宋体"/>
                <w:kern w:val="0"/>
                <w:sz w:val="24"/>
                <w:szCs w:val="24"/>
              </w:rPr>
              <w:t>液压滚槽机</w:t>
            </w:r>
          </w:p>
        </w:tc>
        <w:tc>
          <w:tcPr>
            <w:tcW w:w="1176" w:type="dxa"/>
            <w:tcBorders>
              <w:top w:val="nil"/>
              <w:left w:val="nil"/>
              <w:bottom w:val="single" w:color="auto" w:sz="4" w:space="0"/>
              <w:right w:val="single" w:color="auto" w:sz="4" w:space="0"/>
            </w:tcBorders>
            <w:shd w:val="clear" w:color="000000" w:fill="FFF2CC"/>
            <w:noWrap/>
            <w:vAlign w:val="center"/>
          </w:tcPr>
          <w:p w14:paraId="50212F62">
            <w:pPr>
              <w:widowControl/>
              <w:jc w:val="left"/>
              <w:rPr>
                <w:rFonts w:ascii="宋体" w:hAnsi="宋体" w:cs="宋体"/>
                <w:kern w:val="0"/>
                <w:sz w:val="24"/>
                <w:szCs w:val="24"/>
              </w:rPr>
            </w:pPr>
            <w:r>
              <w:rPr>
                <w:rFonts w:hint="eastAsia" w:ascii="宋体" w:hAnsi="宋体" w:cs="宋体"/>
                <w:kern w:val="0"/>
                <w:sz w:val="24"/>
                <w:szCs w:val="24"/>
              </w:rPr>
              <w:t>TWG-2</w:t>
            </w:r>
          </w:p>
        </w:tc>
        <w:tc>
          <w:tcPr>
            <w:tcW w:w="1287" w:type="dxa"/>
            <w:tcBorders>
              <w:top w:val="nil"/>
              <w:left w:val="nil"/>
              <w:bottom w:val="single" w:color="auto" w:sz="4" w:space="0"/>
              <w:right w:val="single" w:color="auto" w:sz="4" w:space="0"/>
            </w:tcBorders>
            <w:shd w:val="clear" w:color="000000" w:fill="FFF2CC"/>
            <w:noWrap/>
            <w:vAlign w:val="center"/>
          </w:tcPr>
          <w:p w14:paraId="3C017E3C">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FF2CC"/>
            <w:noWrap/>
            <w:vAlign w:val="center"/>
          </w:tcPr>
          <w:p w14:paraId="488BC8CF">
            <w:pPr>
              <w:widowControl/>
              <w:jc w:val="center"/>
              <w:rPr>
                <w:rFonts w:ascii="宋体" w:hAnsi="宋体" w:cs="宋体"/>
                <w:kern w:val="0"/>
                <w:sz w:val="24"/>
                <w:szCs w:val="24"/>
              </w:rPr>
            </w:pPr>
            <w:r>
              <w:rPr>
                <w:rFonts w:hint="eastAsia" w:ascii="宋体" w:hAnsi="宋体" w:cs="宋体"/>
                <w:kern w:val="0"/>
                <w:sz w:val="24"/>
                <w:szCs w:val="24"/>
              </w:rPr>
              <w:t>1</w:t>
            </w:r>
          </w:p>
        </w:tc>
      </w:tr>
      <w:tr w14:paraId="43CCC7E4">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6BB0A093">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FF2CC"/>
            <w:noWrap/>
            <w:vAlign w:val="center"/>
          </w:tcPr>
          <w:p w14:paraId="5580B23A">
            <w:pPr>
              <w:widowControl/>
              <w:jc w:val="left"/>
              <w:rPr>
                <w:rFonts w:ascii="宋体" w:hAnsi="宋体" w:cs="宋体"/>
                <w:kern w:val="0"/>
                <w:sz w:val="24"/>
                <w:szCs w:val="24"/>
              </w:rPr>
            </w:pPr>
            <w:r>
              <w:rPr>
                <w:rFonts w:hint="eastAsia" w:ascii="宋体" w:hAnsi="宋体" w:cs="宋体"/>
                <w:kern w:val="0"/>
                <w:sz w:val="24"/>
                <w:szCs w:val="24"/>
              </w:rPr>
              <w:t>泵开机</w:t>
            </w:r>
          </w:p>
        </w:tc>
        <w:tc>
          <w:tcPr>
            <w:tcW w:w="1176" w:type="dxa"/>
            <w:tcBorders>
              <w:top w:val="nil"/>
              <w:left w:val="nil"/>
              <w:bottom w:val="single" w:color="auto" w:sz="4" w:space="0"/>
              <w:right w:val="single" w:color="auto" w:sz="4" w:space="0"/>
            </w:tcBorders>
            <w:shd w:val="clear" w:color="000000" w:fill="FFF2CC"/>
            <w:noWrap/>
            <w:vAlign w:val="center"/>
          </w:tcPr>
          <w:p w14:paraId="4B75ABE2">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FF2CC"/>
            <w:noWrap/>
            <w:vAlign w:val="center"/>
          </w:tcPr>
          <w:p w14:paraId="65865EB1">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FF2CC"/>
            <w:noWrap/>
            <w:vAlign w:val="center"/>
          </w:tcPr>
          <w:p w14:paraId="571B55A2">
            <w:pPr>
              <w:widowControl/>
              <w:jc w:val="center"/>
              <w:rPr>
                <w:rFonts w:ascii="宋体" w:hAnsi="宋体" w:cs="宋体"/>
                <w:kern w:val="0"/>
                <w:sz w:val="24"/>
                <w:szCs w:val="24"/>
              </w:rPr>
            </w:pPr>
            <w:r>
              <w:rPr>
                <w:rFonts w:hint="eastAsia" w:ascii="宋体" w:hAnsi="宋体" w:cs="宋体"/>
                <w:kern w:val="0"/>
                <w:sz w:val="24"/>
                <w:szCs w:val="24"/>
              </w:rPr>
              <w:t>1</w:t>
            </w:r>
          </w:p>
        </w:tc>
      </w:tr>
      <w:tr w14:paraId="44BEF858">
        <w:tblPrEx>
          <w:tblCellMar>
            <w:top w:w="0" w:type="dxa"/>
            <w:left w:w="108" w:type="dxa"/>
            <w:bottom w:w="0" w:type="dxa"/>
            <w:right w:w="108" w:type="dxa"/>
          </w:tblCellMar>
        </w:tblPrEx>
        <w:trPr>
          <w:trHeight w:val="300"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1963DC8B">
            <w:pPr>
              <w:widowControl/>
              <w:jc w:val="left"/>
              <w:rPr>
                <w:rFonts w:ascii="宋体" w:hAnsi="宋体" w:cs="宋体"/>
                <w:kern w:val="0"/>
                <w:sz w:val="24"/>
                <w:szCs w:val="24"/>
              </w:rPr>
            </w:pPr>
          </w:p>
        </w:tc>
        <w:tc>
          <w:tcPr>
            <w:tcW w:w="2340" w:type="dxa"/>
            <w:tcBorders>
              <w:top w:val="nil"/>
              <w:left w:val="nil"/>
              <w:bottom w:val="single" w:color="auto" w:sz="8" w:space="0"/>
              <w:right w:val="single" w:color="auto" w:sz="4" w:space="0"/>
            </w:tcBorders>
            <w:shd w:val="clear" w:color="000000" w:fill="FFF2CC"/>
            <w:noWrap/>
            <w:vAlign w:val="center"/>
          </w:tcPr>
          <w:p w14:paraId="6515B150">
            <w:pPr>
              <w:widowControl/>
              <w:jc w:val="left"/>
              <w:rPr>
                <w:rFonts w:ascii="宋体" w:hAnsi="宋体" w:cs="宋体"/>
                <w:kern w:val="0"/>
                <w:sz w:val="24"/>
                <w:szCs w:val="24"/>
              </w:rPr>
            </w:pPr>
            <w:r>
              <w:rPr>
                <w:rFonts w:hint="eastAsia" w:ascii="宋体" w:hAnsi="宋体" w:cs="宋体"/>
                <w:kern w:val="0"/>
                <w:sz w:val="24"/>
                <w:szCs w:val="24"/>
              </w:rPr>
              <w:t>电动试压泵</w:t>
            </w:r>
          </w:p>
        </w:tc>
        <w:tc>
          <w:tcPr>
            <w:tcW w:w="1176" w:type="dxa"/>
            <w:tcBorders>
              <w:top w:val="nil"/>
              <w:left w:val="nil"/>
              <w:bottom w:val="single" w:color="auto" w:sz="8" w:space="0"/>
              <w:right w:val="single" w:color="auto" w:sz="4" w:space="0"/>
            </w:tcBorders>
            <w:shd w:val="clear" w:color="000000" w:fill="FFF2CC"/>
            <w:noWrap/>
            <w:vAlign w:val="center"/>
          </w:tcPr>
          <w:p w14:paraId="60DD692C">
            <w:pPr>
              <w:widowControl/>
              <w:jc w:val="left"/>
              <w:rPr>
                <w:rFonts w:ascii="宋体" w:hAnsi="宋体" w:cs="宋体"/>
                <w:kern w:val="0"/>
                <w:sz w:val="24"/>
                <w:szCs w:val="24"/>
              </w:rPr>
            </w:pPr>
            <w:r>
              <w:rPr>
                <w:rFonts w:hint="eastAsia" w:ascii="宋体" w:hAnsi="宋体" w:cs="宋体"/>
                <w:kern w:val="0"/>
                <w:sz w:val="24"/>
                <w:szCs w:val="24"/>
              </w:rPr>
              <w:t>4DSB40</w:t>
            </w:r>
          </w:p>
        </w:tc>
        <w:tc>
          <w:tcPr>
            <w:tcW w:w="1287" w:type="dxa"/>
            <w:tcBorders>
              <w:top w:val="nil"/>
              <w:left w:val="nil"/>
              <w:bottom w:val="single" w:color="auto" w:sz="8" w:space="0"/>
              <w:right w:val="single" w:color="auto" w:sz="4" w:space="0"/>
            </w:tcBorders>
            <w:shd w:val="clear" w:color="000000" w:fill="FFF2CC"/>
            <w:noWrap/>
            <w:vAlign w:val="center"/>
          </w:tcPr>
          <w:p w14:paraId="27136BF8">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8" w:space="0"/>
              <w:right w:val="single" w:color="auto" w:sz="4" w:space="0"/>
            </w:tcBorders>
            <w:shd w:val="clear" w:color="000000" w:fill="FFF2CC"/>
            <w:noWrap/>
            <w:vAlign w:val="center"/>
          </w:tcPr>
          <w:p w14:paraId="1CF785BF">
            <w:pPr>
              <w:widowControl/>
              <w:jc w:val="center"/>
              <w:rPr>
                <w:rFonts w:ascii="宋体" w:hAnsi="宋体" w:cs="宋体"/>
                <w:kern w:val="0"/>
                <w:sz w:val="24"/>
                <w:szCs w:val="24"/>
              </w:rPr>
            </w:pPr>
            <w:r>
              <w:rPr>
                <w:rFonts w:hint="eastAsia" w:ascii="宋体" w:hAnsi="宋体" w:cs="宋体"/>
                <w:kern w:val="0"/>
                <w:sz w:val="24"/>
                <w:szCs w:val="24"/>
              </w:rPr>
              <w:t>1</w:t>
            </w:r>
          </w:p>
        </w:tc>
      </w:tr>
      <w:tr w14:paraId="75B8AA3C">
        <w:tblPrEx>
          <w:tblCellMar>
            <w:top w:w="0" w:type="dxa"/>
            <w:left w:w="108" w:type="dxa"/>
            <w:bottom w:w="0" w:type="dxa"/>
            <w:right w:w="108" w:type="dxa"/>
          </w:tblCellMar>
        </w:tblPrEx>
        <w:trPr>
          <w:trHeight w:val="285" w:hRule="atLeast"/>
        </w:trPr>
        <w:tc>
          <w:tcPr>
            <w:tcW w:w="2420" w:type="dxa"/>
            <w:vMerge w:val="restart"/>
            <w:tcBorders>
              <w:top w:val="nil"/>
              <w:left w:val="single" w:color="auto" w:sz="4" w:space="0"/>
              <w:bottom w:val="single" w:color="000000" w:sz="8" w:space="0"/>
              <w:right w:val="single" w:color="auto" w:sz="4" w:space="0"/>
            </w:tcBorders>
            <w:shd w:val="clear" w:color="000000" w:fill="FCE4D6"/>
            <w:noWrap/>
            <w:vAlign w:val="center"/>
          </w:tcPr>
          <w:p w14:paraId="10D6575B">
            <w:pPr>
              <w:widowControl/>
              <w:jc w:val="left"/>
              <w:rPr>
                <w:rFonts w:ascii="宋体" w:hAnsi="宋体" w:cs="宋体"/>
                <w:kern w:val="0"/>
                <w:sz w:val="24"/>
                <w:szCs w:val="24"/>
              </w:rPr>
            </w:pPr>
            <w:r>
              <w:rPr>
                <w:rFonts w:hint="eastAsia" w:ascii="宋体" w:hAnsi="宋体" w:cs="宋体"/>
                <w:kern w:val="0"/>
                <w:sz w:val="24"/>
                <w:szCs w:val="24"/>
              </w:rPr>
              <w:t>4、钢管涂塑成套设备</w:t>
            </w:r>
          </w:p>
        </w:tc>
        <w:tc>
          <w:tcPr>
            <w:tcW w:w="2340" w:type="dxa"/>
            <w:tcBorders>
              <w:top w:val="nil"/>
              <w:left w:val="nil"/>
              <w:bottom w:val="single" w:color="auto" w:sz="4" w:space="0"/>
              <w:right w:val="single" w:color="auto" w:sz="4" w:space="0"/>
            </w:tcBorders>
            <w:shd w:val="clear" w:color="000000" w:fill="FCE4D6"/>
            <w:noWrap/>
            <w:vAlign w:val="center"/>
          </w:tcPr>
          <w:p w14:paraId="3923647F">
            <w:pPr>
              <w:widowControl/>
              <w:jc w:val="left"/>
              <w:rPr>
                <w:rFonts w:ascii="宋体" w:hAnsi="宋体" w:cs="宋体"/>
                <w:kern w:val="0"/>
                <w:sz w:val="24"/>
                <w:szCs w:val="24"/>
              </w:rPr>
            </w:pPr>
            <w:r>
              <w:rPr>
                <w:rFonts w:hint="eastAsia" w:ascii="宋体" w:hAnsi="宋体" w:cs="宋体"/>
                <w:kern w:val="0"/>
                <w:sz w:val="24"/>
                <w:szCs w:val="24"/>
              </w:rPr>
              <w:t>燃气管道配套设施</w:t>
            </w:r>
          </w:p>
        </w:tc>
        <w:tc>
          <w:tcPr>
            <w:tcW w:w="1176" w:type="dxa"/>
            <w:tcBorders>
              <w:top w:val="nil"/>
              <w:left w:val="nil"/>
              <w:bottom w:val="single" w:color="auto" w:sz="4" w:space="0"/>
              <w:right w:val="single" w:color="auto" w:sz="4" w:space="0"/>
            </w:tcBorders>
            <w:shd w:val="clear" w:color="000000" w:fill="FCE4D6"/>
            <w:noWrap/>
            <w:vAlign w:val="center"/>
          </w:tcPr>
          <w:p w14:paraId="386265EA">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441BA0C0">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4" w:space="0"/>
              <w:right w:val="single" w:color="auto" w:sz="4" w:space="0"/>
            </w:tcBorders>
            <w:shd w:val="clear" w:color="000000" w:fill="FCE4D6"/>
            <w:noWrap/>
            <w:vAlign w:val="center"/>
          </w:tcPr>
          <w:p w14:paraId="6AB17146">
            <w:pPr>
              <w:widowControl/>
              <w:jc w:val="center"/>
              <w:rPr>
                <w:rFonts w:ascii="宋体" w:hAnsi="宋体" w:cs="宋体"/>
                <w:kern w:val="0"/>
                <w:sz w:val="24"/>
                <w:szCs w:val="24"/>
              </w:rPr>
            </w:pPr>
            <w:r>
              <w:rPr>
                <w:rFonts w:hint="eastAsia" w:ascii="宋体" w:hAnsi="宋体" w:cs="宋体"/>
                <w:kern w:val="0"/>
                <w:sz w:val="24"/>
                <w:szCs w:val="24"/>
              </w:rPr>
              <w:t>1</w:t>
            </w:r>
          </w:p>
        </w:tc>
      </w:tr>
      <w:tr w14:paraId="49122568">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611E92D9">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CE4D6"/>
            <w:noWrap/>
            <w:vAlign w:val="center"/>
          </w:tcPr>
          <w:p w14:paraId="54133800">
            <w:pPr>
              <w:widowControl/>
              <w:jc w:val="left"/>
              <w:rPr>
                <w:rFonts w:ascii="宋体" w:hAnsi="宋体" w:cs="宋体"/>
                <w:kern w:val="0"/>
                <w:sz w:val="24"/>
                <w:szCs w:val="24"/>
              </w:rPr>
            </w:pPr>
            <w:r>
              <w:rPr>
                <w:rFonts w:hint="eastAsia" w:ascii="宋体" w:hAnsi="宋体" w:cs="宋体"/>
                <w:kern w:val="0"/>
                <w:sz w:val="24"/>
                <w:szCs w:val="24"/>
              </w:rPr>
              <w:t>电热恒温干燥箱</w:t>
            </w:r>
          </w:p>
        </w:tc>
        <w:tc>
          <w:tcPr>
            <w:tcW w:w="1176" w:type="dxa"/>
            <w:tcBorders>
              <w:top w:val="nil"/>
              <w:left w:val="nil"/>
              <w:bottom w:val="single" w:color="auto" w:sz="4" w:space="0"/>
              <w:right w:val="single" w:color="auto" w:sz="4" w:space="0"/>
            </w:tcBorders>
            <w:shd w:val="clear" w:color="000000" w:fill="FCE4D6"/>
            <w:noWrap/>
            <w:vAlign w:val="center"/>
          </w:tcPr>
          <w:p w14:paraId="73E0484C">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18C263F8">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CE4D6"/>
            <w:noWrap/>
            <w:vAlign w:val="center"/>
          </w:tcPr>
          <w:p w14:paraId="2AE4F421">
            <w:pPr>
              <w:widowControl/>
              <w:jc w:val="center"/>
              <w:rPr>
                <w:rFonts w:ascii="宋体" w:hAnsi="宋体" w:cs="宋体"/>
                <w:kern w:val="0"/>
                <w:sz w:val="24"/>
                <w:szCs w:val="24"/>
              </w:rPr>
            </w:pPr>
            <w:r>
              <w:rPr>
                <w:rFonts w:hint="eastAsia" w:ascii="宋体" w:hAnsi="宋体" w:cs="宋体"/>
                <w:kern w:val="0"/>
                <w:sz w:val="24"/>
                <w:szCs w:val="24"/>
              </w:rPr>
              <w:t>1</w:t>
            </w:r>
          </w:p>
        </w:tc>
      </w:tr>
      <w:tr w14:paraId="17875E8E">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6BA73F48">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CE4D6"/>
            <w:noWrap/>
            <w:vAlign w:val="center"/>
          </w:tcPr>
          <w:p w14:paraId="028DB9B1">
            <w:pPr>
              <w:widowControl/>
              <w:jc w:val="left"/>
              <w:rPr>
                <w:rFonts w:ascii="宋体" w:hAnsi="宋体" w:cs="宋体"/>
                <w:kern w:val="0"/>
                <w:sz w:val="24"/>
                <w:szCs w:val="24"/>
              </w:rPr>
            </w:pPr>
            <w:r>
              <w:rPr>
                <w:rFonts w:hint="eastAsia" w:ascii="宋体" w:hAnsi="宋体" w:cs="宋体"/>
                <w:kern w:val="0"/>
                <w:sz w:val="24"/>
                <w:szCs w:val="24"/>
              </w:rPr>
              <w:t>超音频加热电源</w:t>
            </w:r>
          </w:p>
        </w:tc>
        <w:tc>
          <w:tcPr>
            <w:tcW w:w="1176" w:type="dxa"/>
            <w:tcBorders>
              <w:top w:val="nil"/>
              <w:left w:val="nil"/>
              <w:bottom w:val="single" w:color="auto" w:sz="4" w:space="0"/>
              <w:right w:val="single" w:color="auto" w:sz="4" w:space="0"/>
            </w:tcBorders>
            <w:shd w:val="clear" w:color="000000" w:fill="FCE4D6"/>
            <w:noWrap/>
            <w:vAlign w:val="center"/>
          </w:tcPr>
          <w:p w14:paraId="2400AEB5">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48BFBE10">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4" w:space="0"/>
              <w:right w:val="single" w:color="auto" w:sz="4" w:space="0"/>
            </w:tcBorders>
            <w:shd w:val="clear" w:color="000000" w:fill="FCE4D6"/>
            <w:noWrap/>
            <w:vAlign w:val="center"/>
          </w:tcPr>
          <w:p w14:paraId="6A7192E6">
            <w:pPr>
              <w:widowControl/>
              <w:jc w:val="center"/>
              <w:rPr>
                <w:rFonts w:ascii="宋体" w:hAnsi="宋体" w:cs="宋体"/>
                <w:kern w:val="0"/>
                <w:sz w:val="24"/>
                <w:szCs w:val="24"/>
              </w:rPr>
            </w:pPr>
            <w:r>
              <w:rPr>
                <w:rFonts w:hint="eastAsia" w:ascii="宋体" w:hAnsi="宋体" w:cs="宋体"/>
                <w:kern w:val="0"/>
                <w:sz w:val="24"/>
                <w:szCs w:val="24"/>
              </w:rPr>
              <w:t>1</w:t>
            </w:r>
          </w:p>
        </w:tc>
      </w:tr>
      <w:tr w14:paraId="55D14F26">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33EFF58A">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CE4D6"/>
            <w:noWrap/>
            <w:vAlign w:val="center"/>
          </w:tcPr>
          <w:p w14:paraId="5C6A621F">
            <w:pPr>
              <w:widowControl/>
              <w:jc w:val="left"/>
              <w:rPr>
                <w:rFonts w:ascii="宋体" w:hAnsi="宋体" w:cs="宋体"/>
                <w:kern w:val="0"/>
                <w:sz w:val="24"/>
                <w:szCs w:val="24"/>
              </w:rPr>
            </w:pPr>
            <w:r>
              <w:rPr>
                <w:rFonts w:hint="eastAsia" w:ascii="宋体" w:hAnsi="宋体" w:cs="宋体"/>
                <w:kern w:val="0"/>
                <w:sz w:val="24"/>
                <w:szCs w:val="24"/>
              </w:rPr>
              <w:t>布袋除尘器</w:t>
            </w:r>
          </w:p>
        </w:tc>
        <w:tc>
          <w:tcPr>
            <w:tcW w:w="1176" w:type="dxa"/>
            <w:tcBorders>
              <w:top w:val="nil"/>
              <w:left w:val="nil"/>
              <w:bottom w:val="single" w:color="auto" w:sz="4" w:space="0"/>
              <w:right w:val="single" w:color="auto" w:sz="4" w:space="0"/>
            </w:tcBorders>
            <w:shd w:val="clear" w:color="000000" w:fill="FCE4D6"/>
            <w:noWrap/>
            <w:vAlign w:val="center"/>
          </w:tcPr>
          <w:p w14:paraId="7A81A986">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0EE4675E">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4" w:space="0"/>
              <w:right w:val="single" w:color="auto" w:sz="4" w:space="0"/>
            </w:tcBorders>
            <w:shd w:val="clear" w:color="000000" w:fill="FCE4D6"/>
            <w:noWrap/>
            <w:vAlign w:val="center"/>
          </w:tcPr>
          <w:p w14:paraId="790D2C66">
            <w:pPr>
              <w:widowControl/>
              <w:jc w:val="center"/>
              <w:rPr>
                <w:rFonts w:ascii="宋体" w:hAnsi="宋体" w:cs="宋体"/>
                <w:kern w:val="0"/>
                <w:sz w:val="24"/>
                <w:szCs w:val="24"/>
              </w:rPr>
            </w:pPr>
            <w:r>
              <w:rPr>
                <w:rFonts w:hint="eastAsia" w:ascii="宋体" w:hAnsi="宋体" w:cs="宋体"/>
                <w:kern w:val="0"/>
                <w:sz w:val="24"/>
                <w:szCs w:val="24"/>
              </w:rPr>
              <w:t>1</w:t>
            </w:r>
          </w:p>
        </w:tc>
      </w:tr>
      <w:tr w14:paraId="63ECAF9B">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0FE4671A">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CE4D6"/>
            <w:noWrap/>
            <w:vAlign w:val="center"/>
          </w:tcPr>
          <w:p w14:paraId="4C9100BD">
            <w:pPr>
              <w:widowControl/>
              <w:jc w:val="left"/>
              <w:rPr>
                <w:rFonts w:ascii="宋体" w:hAnsi="宋体" w:cs="宋体"/>
                <w:kern w:val="0"/>
                <w:sz w:val="24"/>
                <w:szCs w:val="24"/>
              </w:rPr>
            </w:pPr>
            <w:r>
              <w:rPr>
                <w:rFonts w:hint="eastAsia" w:ascii="宋体" w:hAnsi="宋体" w:cs="宋体"/>
                <w:kern w:val="0"/>
                <w:sz w:val="24"/>
                <w:szCs w:val="24"/>
              </w:rPr>
              <w:t>钢管涂塑生产设备</w:t>
            </w:r>
          </w:p>
        </w:tc>
        <w:tc>
          <w:tcPr>
            <w:tcW w:w="1176" w:type="dxa"/>
            <w:tcBorders>
              <w:top w:val="nil"/>
              <w:left w:val="nil"/>
              <w:bottom w:val="single" w:color="auto" w:sz="4" w:space="0"/>
              <w:right w:val="single" w:color="auto" w:sz="4" w:space="0"/>
            </w:tcBorders>
            <w:shd w:val="clear" w:color="000000" w:fill="FCE4D6"/>
            <w:noWrap/>
            <w:vAlign w:val="center"/>
          </w:tcPr>
          <w:p w14:paraId="60DC371B">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68A7AF43">
            <w:pPr>
              <w:widowControl/>
              <w:jc w:val="center"/>
              <w:rPr>
                <w:rFonts w:ascii="宋体" w:hAnsi="宋体" w:cs="宋体"/>
                <w:kern w:val="0"/>
                <w:sz w:val="24"/>
                <w:szCs w:val="24"/>
              </w:rPr>
            </w:pPr>
            <w:r>
              <w:rPr>
                <w:rFonts w:hint="eastAsia" w:ascii="宋体" w:hAnsi="宋体" w:cs="宋体"/>
                <w:kern w:val="0"/>
                <w:sz w:val="24"/>
                <w:szCs w:val="24"/>
              </w:rPr>
              <w:t>套</w:t>
            </w:r>
          </w:p>
        </w:tc>
        <w:tc>
          <w:tcPr>
            <w:tcW w:w="873" w:type="dxa"/>
            <w:tcBorders>
              <w:top w:val="nil"/>
              <w:left w:val="nil"/>
              <w:bottom w:val="single" w:color="auto" w:sz="4" w:space="0"/>
              <w:right w:val="single" w:color="auto" w:sz="4" w:space="0"/>
            </w:tcBorders>
            <w:shd w:val="clear" w:color="000000" w:fill="FCE4D6"/>
            <w:noWrap/>
            <w:vAlign w:val="center"/>
          </w:tcPr>
          <w:p w14:paraId="200A8DDB">
            <w:pPr>
              <w:widowControl/>
              <w:jc w:val="center"/>
              <w:rPr>
                <w:rFonts w:ascii="宋体" w:hAnsi="宋体" w:cs="宋体"/>
                <w:kern w:val="0"/>
                <w:sz w:val="24"/>
                <w:szCs w:val="24"/>
              </w:rPr>
            </w:pPr>
            <w:r>
              <w:rPr>
                <w:rFonts w:hint="eastAsia" w:ascii="宋体" w:hAnsi="宋体" w:cs="宋体"/>
                <w:kern w:val="0"/>
                <w:sz w:val="24"/>
                <w:szCs w:val="24"/>
              </w:rPr>
              <w:t>1</w:t>
            </w:r>
          </w:p>
        </w:tc>
      </w:tr>
      <w:tr w14:paraId="018E6010">
        <w:tblPrEx>
          <w:tblCellMar>
            <w:top w:w="0" w:type="dxa"/>
            <w:left w:w="108" w:type="dxa"/>
            <w:bottom w:w="0" w:type="dxa"/>
            <w:right w:w="108" w:type="dxa"/>
          </w:tblCellMar>
        </w:tblPrEx>
        <w:trPr>
          <w:trHeight w:val="285"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4445A079">
            <w:pPr>
              <w:widowControl/>
              <w:jc w:val="left"/>
              <w:rPr>
                <w:rFonts w:ascii="宋体" w:hAnsi="宋体" w:cs="宋体"/>
                <w:kern w:val="0"/>
                <w:sz w:val="24"/>
                <w:szCs w:val="24"/>
              </w:rPr>
            </w:pPr>
          </w:p>
        </w:tc>
        <w:tc>
          <w:tcPr>
            <w:tcW w:w="2340" w:type="dxa"/>
            <w:tcBorders>
              <w:top w:val="nil"/>
              <w:left w:val="nil"/>
              <w:bottom w:val="single" w:color="auto" w:sz="4" w:space="0"/>
              <w:right w:val="single" w:color="auto" w:sz="4" w:space="0"/>
            </w:tcBorders>
            <w:shd w:val="clear" w:color="000000" w:fill="FCE4D6"/>
            <w:noWrap/>
            <w:vAlign w:val="center"/>
          </w:tcPr>
          <w:p w14:paraId="2C60DEFD">
            <w:pPr>
              <w:widowControl/>
              <w:jc w:val="left"/>
              <w:rPr>
                <w:rFonts w:ascii="宋体" w:hAnsi="宋体" w:cs="宋体"/>
                <w:kern w:val="0"/>
                <w:sz w:val="24"/>
                <w:szCs w:val="24"/>
              </w:rPr>
            </w:pPr>
            <w:r>
              <w:rPr>
                <w:rFonts w:hint="eastAsia" w:ascii="宋体" w:hAnsi="宋体" w:cs="宋体"/>
                <w:kern w:val="0"/>
                <w:sz w:val="24"/>
                <w:szCs w:val="24"/>
              </w:rPr>
              <w:t>减速机-400</w:t>
            </w:r>
          </w:p>
        </w:tc>
        <w:tc>
          <w:tcPr>
            <w:tcW w:w="1176" w:type="dxa"/>
            <w:tcBorders>
              <w:top w:val="nil"/>
              <w:left w:val="nil"/>
              <w:bottom w:val="single" w:color="auto" w:sz="4" w:space="0"/>
              <w:right w:val="single" w:color="auto" w:sz="4" w:space="0"/>
            </w:tcBorders>
            <w:shd w:val="clear" w:color="000000" w:fill="FCE4D6"/>
            <w:noWrap/>
            <w:vAlign w:val="center"/>
          </w:tcPr>
          <w:p w14:paraId="66916EC8">
            <w:pPr>
              <w:widowControl/>
              <w:jc w:val="left"/>
              <w:rPr>
                <w:rFonts w:ascii="宋体" w:hAnsi="宋体" w:cs="宋体"/>
                <w:kern w:val="0"/>
                <w:sz w:val="24"/>
                <w:szCs w:val="24"/>
              </w:rPr>
            </w:pPr>
            <w:r>
              <w:rPr>
                <w:rFonts w:hint="eastAsia" w:ascii="宋体" w:hAnsi="宋体" w:cs="宋体"/>
                <w:kern w:val="0"/>
                <w:sz w:val="24"/>
                <w:szCs w:val="24"/>
              </w:rPr>
              <w:t>　</w:t>
            </w:r>
          </w:p>
        </w:tc>
        <w:tc>
          <w:tcPr>
            <w:tcW w:w="1287" w:type="dxa"/>
            <w:tcBorders>
              <w:top w:val="nil"/>
              <w:left w:val="nil"/>
              <w:bottom w:val="single" w:color="auto" w:sz="4" w:space="0"/>
              <w:right w:val="single" w:color="auto" w:sz="4" w:space="0"/>
            </w:tcBorders>
            <w:shd w:val="clear" w:color="000000" w:fill="FCE4D6"/>
            <w:noWrap/>
            <w:vAlign w:val="center"/>
          </w:tcPr>
          <w:p w14:paraId="6FD8722E">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4" w:space="0"/>
              <w:right w:val="single" w:color="auto" w:sz="4" w:space="0"/>
            </w:tcBorders>
            <w:shd w:val="clear" w:color="000000" w:fill="FCE4D6"/>
            <w:noWrap/>
            <w:vAlign w:val="center"/>
          </w:tcPr>
          <w:p w14:paraId="78F5F756">
            <w:pPr>
              <w:widowControl/>
              <w:jc w:val="center"/>
              <w:rPr>
                <w:rFonts w:ascii="宋体" w:hAnsi="宋体" w:cs="宋体"/>
                <w:kern w:val="0"/>
                <w:sz w:val="24"/>
                <w:szCs w:val="24"/>
              </w:rPr>
            </w:pPr>
            <w:r>
              <w:rPr>
                <w:rFonts w:hint="eastAsia" w:ascii="宋体" w:hAnsi="宋体" w:cs="宋体"/>
                <w:kern w:val="0"/>
                <w:sz w:val="24"/>
                <w:szCs w:val="24"/>
              </w:rPr>
              <w:t>1</w:t>
            </w:r>
          </w:p>
        </w:tc>
      </w:tr>
      <w:tr w14:paraId="2727268F">
        <w:tblPrEx>
          <w:tblCellMar>
            <w:top w:w="0" w:type="dxa"/>
            <w:left w:w="108" w:type="dxa"/>
            <w:bottom w:w="0" w:type="dxa"/>
            <w:right w:w="108" w:type="dxa"/>
          </w:tblCellMar>
        </w:tblPrEx>
        <w:trPr>
          <w:trHeight w:val="300" w:hRule="atLeast"/>
        </w:trPr>
        <w:tc>
          <w:tcPr>
            <w:tcW w:w="2420" w:type="dxa"/>
            <w:vMerge w:val="continue"/>
            <w:tcBorders>
              <w:top w:val="nil"/>
              <w:left w:val="single" w:color="auto" w:sz="4" w:space="0"/>
              <w:bottom w:val="single" w:color="000000" w:sz="8" w:space="0"/>
              <w:right w:val="single" w:color="auto" w:sz="4" w:space="0"/>
            </w:tcBorders>
            <w:shd w:val="clear" w:color="auto" w:fill="auto"/>
            <w:vAlign w:val="center"/>
          </w:tcPr>
          <w:p w14:paraId="143CF413">
            <w:pPr>
              <w:widowControl/>
              <w:jc w:val="left"/>
              <w:rPr>
                <w:rFonts w:ascii="宋体" w:hAnsi="宋体" w:cs="宋体"/>
                <w:kern w:val="0"/>
                <w:sz w:val="24"/>
                <w:szCs w:val="24"/>
              </w:rPr>
            </w:pPr>
          </w:p>
        </w:tc>
        <w:tc>
          <w:tcPr>
            <w:tcW w:w="2340" w:type="dxa"/>
            <w:tcBorders>
              <w:top w:val="nil"/>
              <w:left w:val="nil"/>
              <w:bottom w:val="single" w:color="auto" w:sz="8" w:space="0"/>
              <w:right w:val="single" w:color="auto" w:sz="4" w:space="0"/>
            </w:tcBorders>
            <w:shd w:val="clear" w:color="000000" w:fill="FCE4D6"/>
            <w:noWrap/>
            <w:vAlign w:val="center"/>
          </w:tcPr>
          <w:p w14:paraId="236A1CD7">
            <w:pPr>
              <w:widowControl/>
              <w:jc w:val="left"/>
              <w:rPr>
                <w:rFonts w:ascii="宋体" w:hAnsi="宋体" w:cs="宋体"/>
                <w:kern w:val="0"/>
                <w:sz w:val="24"/>
                <w:szCs w:val="24"/>
              </w:rPr>
            </w:pPr>
            <w:r>
              <w:rPr>
                <w:rFonts w:hint="eastAsia" w:ascii="宋体" w:hAnsi="宋体" w:cs="宋体"/>
                <w:kern w:val="0"/>
                <w:sz w:val="24"/>
                <w:szCs w:val="24"/>
              </w:rPr>
              <w:t>电热恒温干燥箱</w:t>
            </w:r>
          </w:p>
        </w:tc>
        <w:tc>
          <w:tcPr>
            <w:tcW w:w="1176" w:type="dxa"/>
            <w:tcBorders>
              <w:top w:val="nil"/>
              <w:left w:val="nil"/>
              <w:bottom w:val="single" w:color="auto" w:sz="8" w:space="0"/>
              <w:right w:val="single" w:color="auto" w:sz="4" w:space="0"/>
            </w:tcBorders>
            <w:shd w:val="clear" w:color="000000" w:fill="FCE4D6"/>
            <w:noWrap/>
            <w:vAlign w:val="center"/>
          </w:tcPr>
          <w:p w14:paraId="515F6FE4">
            <w:pPr>
              <w:widowControl/>
              <w:jc w:val="left"/>
              <w:rPr>
                <w:rFonts w:ascii="宋体" w:hAnsi="宋体" w:cs="宋体"/>
                <w:kern w:val="0"/>
                <w:sz w:val="24"/>
                <w:szCs w:val="24"/>
              </w:rPr>
            </w:pPr>
            <w:r>
              <w:rPr>
                <w:rFonts w:hint="eastAsia" w:ascii="宋体" w:hAnsi="宋体" w:cs="宋体"/>
                <w:kern w:val="0"/>
                <w:sz w:val="24"/>
                <w:szCs w:val="24"/>
              </w:rPr>
              <w:t>202-2ABS</w:t>
            </w:r>
          </w:p>
        </w:tc>
        <w:tc>
          <w:tcPr>
            <w:tcW w:w="1287" w:type="dxa"/>
            <w:tcBorders>
              <w:top w:val="nil"/>
              <w:left w:val="nil"/>
              <w:bottom w:val="single" w:color="auto" w:sz="8" w:space="0"/>
              <w:right w:val="single" w:color="auto" w:sz="4" w:space="0"/>
            </w:tcBorders>
            <w:shd w:val="clear" w:color="000000" w:fill="FCE4D6"/>
            <w:noWrap/>
            <w:vAlign w:val="center"/>
          </w:tcPr>
          <w:p w14:paraId="6F821CE2">
            <w:pPr>
              <w:widowControl/>
              <w:jc w:val="center"/>
              <w:rPr>
                <w:rFonts w:ascii="宋体" w:hAnsi="宋体" w:cs="宋体"/>
                <w:kern w:val="0"/>
                <w:sz w:val="24"/>
                <w:szCs w:val="24"/>
              </w:rPr>
            </w:pPr>
            <w:r>
              <w:rPr>
                <w:rFonts w:hint="eastAsia" w:ascii="宋体" w:hAnsi="宋体" w:cs="宋体"/>
                <w:kern w:val="0"/>
                <w:sz w:val="24"/>
                <w:szCs w:val="24"/>
              </w:rPr>
              <w:t>台</w:t>
            </w:r>
          </w:p>
        </w:tc>
        <w:tc>
          <w:tcPr>
            <w:tcW w:w="873" w:type="dxa"/>
            <w:tcBorders>
              <w:top w:val="nil"/>
              <w:left w:val="nil"/>
              <w:bottom w:val="single" w:color="auto" w:sz="8" w:space="0"/>
              <w:right w:val="single" w:color="auto" w:sz="4" w:space="0"/>
            </w:tcBorders>
            <w:shd w:val="clear" w:color="000000" w:fill="FCE4D6"/>
            <w:noWrap/>
            <w:vAlign w:val="center"/>
          </w:tcPr>
          <w:p w14:paraId="7047CEE0">
            <w:pPr>
              <w:widowControl/>
              <w:jc w:val="center"/>
              <w:rPr>
                <w:rFonts w:ascii="宋体" w:hAnsi="宋体" w:cs="宋体"/>
                <w:kern w:val="0"/>
                <w:sz w:val="24"/>
                <w:szCs w:val="24"/>
              </w:rPr>
            </w:pPr>
            <w:r>
              <w:rPr>
                <w:rFonts w:hint="eastAsia" w:ascii="宋体" w:hAnsi="宋体" w:cs="宋体"/>
                <w:kern w:val="0"/>
                <w:sz w:val="24"/>
                <w:szCs w:val="24"/>
              </w:rPr>
              <w:t>1</w:t>
            </w:r>
          </w:p>
        </w:tc>
      </w:tr>
    </w:tbl>
    <w:p w14:paraId="2206CBDD">
      <w:pPr>
        <w:spacing w:line="360" w:lineRule="auto"/>
        <w:rPr>
          <w:rFonts w:asciiTheme="minorEastAsia" w:hAnsiTheme="minorEastAsia"/>
          <w:b/>
          <w:bCs/>
          <w:sz w:val="24"/>
          <w:szCs w:val="24"/>
        </w:rPr>
      </w:pPr>
      <w:r>
        <w:rPr>
          <w:rFonts w:hint="eastAsia" w:asciiTheme="minorEastAsia" w:hAnsiTheme="minorEastAsia"/>
          <w:b/>
          <w:bCs/>
          <w:sz w:val="24"/>
          <w:szCs w:val="24"/>
        </w:rPr>
        <w:t>特别情况说明：设备存放于</w:t>
      </w:r>
      <w:r>
        <w:rPr>
          <w:rFonts w:hint="eastAsia" w:ascii="宋体" w:hAnsi="宋体" w:cs="Helvetica"/>
          <w:b/>
          <w:bCs/>
          <w:color w:val="000000"/>
          <w:kern w:val="0"/>
          <w:sz w:val="24"/>
          <w:szCs w:val="24"/>
        </w:rPr>
        <w:t>河北省衡水市永兴西路2169号。</w:t>
      </w:r>
    </w:p>
    <w:p w14:paraId="0C343A8A">
      <w:pPr>
        <w:numPr>
          <w:ilvl w:val="0"/>
          <w:numId w:val="4"/>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 xml:space="preserve">由于长时间未使用，设备不确定能否正常使用。    </w:t>
      </w:r>
    </w:p>
    <w:p w14:paraId="1F90F652">
      <w:pPr>
        <w:numPr>
          <w:ilvl w:val="0"/>
          <w:numId w:val="4"/>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拍卖标的以实际交付情况为准，如出现型号不符、配件缺失、质量不佳、无法使用等情况，不影响拍卖成交结果，管理人（拍卖人）和拍辅公司不承担任何责任。</w:t>
      </w:r>
    </w:p>
    <w:p w14:paraId="48F89E4D">
      <w:pPr>
        <w:numPr>
          <w:ilvl w:val="0"/>
          <w:numId w:val="4"/>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涉及危废物资的设备，竞买人需自行查阅是否符合国家相关资质，若因资质不符导致不可拆除、无法移交等情况，买受人需自行承担责任且拍卖结果不作调整。</w:t>
      </w:r>
    </w:p>
    <w:p w14:paraId="74FB07F5">
      <w:pPr>
        <w:spacing w:line="360" w:lineRule="auto"/>
        <w:ind w:left="420" w:leftChars="200"/>
        <w:rPr>
          <w:rFonts w:asciiTheme="minorEastAsia" w:hAnsiTheme="minorEastAsia"/>
          <w:b/>
          <w:bCs/>
          <w:sz w:val="24"/>
          <w:szCs w:val="24"/>
        </w:rPr>
      </w:pPr>
      <w:r>
        <w:rPr>
          <w:rFonts w:hint="eastAsia" w:asciiTheme="minorEastAsia" w:hAnsiTheme="minorEastAsia"/>
          <w:b/>
          <w:bCs/>
          <w:color w:val="FF0000"/>
          <w:sz w:val="24"/>
          <w:szCs w:val="24"/>
        </w:rPr>
        <w:t>本公告仅供参考，具体数据以实际情况为准，请竞买人务必实地看样后参拍，参拍视为对标的物实际情况的已知，责任自负。</w:t>
      </w:r>
    </w:p>
    <w:p w14:paraId="3651902C">
      <w:pPr>
        <w:spacing w:line="360" w:lineRule="auto"/>
        <w:ind w:firstLine="482" w:firstLineChars="200"/>
        <w:rPr>
          <w:rFonts w:asciiTheme="minorEastAsia" w:hAnsiTheme="minorEastAsia"/>
          <w:b/>
          <w:bCs/>
          <w:sz w:val="24"/>
          <w:szCs w:val="24"/>
        </w:rPr>
      </w:pPr>
    </w:p>
    <w:p w14:paraId="625FACD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1E8ECBD9">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自公告之日起至本次拍卖结束之日止接受咨询（工作时间内），统一安排现场看样。本管理人已委托</w:t>
      </w:r>
      <w:r>
        <w:rPr>
          <w:rFonts w:hint="eastAsia" w:ascii="宋体" w:hAnsi="宋体" w:eastAsia="宋体" w:cs="宋体"/>
          <w:kern w:val="0"/>
          <w:sz w:val="24"/>
          <w:szCs w:val="24"/>
        </w:rPr>
        <w:t>河北浩风网络科技有限公司</w:t>
      </w:r>
      <w:r>
        <w:rPr>
          <w:rFonts w:hint="eastAsia" w:asciiTheme="minorEastAsia" w:hAnsiTheme="minorEastAsia"/>
          <w:sz w:val="24"/>
          <w:szCs w:val="24"/>
        </w:rPr>
        <w:t>协助办理咨询、预展事务，有意者请联系（联系电话：崔女士：</w:t>
      </w:r>
      <w:r>
        <w:rPr>
          <w:rFonts w:asciiTheme="minorEastAsia" w:hAnsiTheme="minorEastAsia"/>
          <w:sz w:val="24"/>
          <w:szCs w:val="24"/>
        </w:rPr>
        <w:t>18330353912</w:t>
      </w:r>
      <w:r>
        <w:rPr>
          <w:rFonts w:hint="eastAsia" w:asciiTheme="minorEastAsia" w:hAnsiTheme="minorEastAsia"/>
          <w:sz w:val="24"/>
          <w:szCs w:val="24"/>
        </w:rPr>
        <w:t>，</w:t>
      </w:r>
      <w:r>
        <w:rPr>
          <w:rFonts w:hint="eastAsia" w:ascii="宋体" w:hAnsi="宋体" w:eastAsia="宋体" w:cs="宋体"/>
          <w:kern w:val="0"/>
          <w:sz w:val="24"/>
          <w:szCs w:val="24"/>
        </w:rPr>
        <w:t>尹先生：18610341989</w:t>
      </w:r>
      <w:r>
        <w:rPr>
          <w:rFonts w:hint="eastAsia" w:asciiTheme="minorEastAsia" w:hAnsiTheme="minorEastAsia"/>
          <w:sz w:val="24"/>
          <w:szCs w:val="24"/>
        </w:rPr>
        <w:t>）。</w:t>
      </w:r>
      <w:r>
        <w:rPr>
          <w:rFonts w:hint="eastAsia" w:asciiTheme="minorEastAsia" w:hAnsiTheme="minorEastAsia"/>
          <w:b/>
          <w:color w:val="FF0000"/>
          <w:sz w:val="24"/>
          <w:szCs w:val="24"/>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5D785A3C">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6973A7E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0401A6B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9BD145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0C28886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05FE0F5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5FA99A2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121DEED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061C5B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申报网络平台技术部门，录入平台系统。</w:t>
      </w:r>
    </w:p>
    <w:p w14:paraId="2613E34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2805E9C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89F1677">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5BAC75F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08F790D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0C124C3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7257028B">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408C6CF1">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本次拍卖活动计价货币为人民币。本次拍卖成交价不含税费及其他费用。因标的物转让权属发生变更买卖双方所涉及的一切税、费（包括但不限于所得税、营业税、</w:t>
      </w:r>
      <w:r>
        <w:rPr>
          <w:rFonts w:ascii="Helvetica" w:hAnsi="Helvetica" w:eastAsia="Helvetica" w:cs="Helvetica"/>
          <w:b/>
          <w:bCs/>
          <w:color w:val="FF0000"/>
          <w:sz w:val="24"/>
          <w:szCs w:val="24"/>
        </w:rPr>
        <w:t>装卸费、人工费、运输费、场地费</w:t>
      </w:r>
      <w:r>
        <w:rPr>
          <w:rFonts w:hint="eastAsia" w:asciiTheme="minorEastAsia" w:hAnsiTheme="minorEastAsia"/>
          <w:b/>
          <w:color w:val="FF0000"/>
          <w:sz w:val="24"/>
          <w:szCs w:val="24"/>
        </w:rPr>
        <w:t>、罚款、滞纳金等等具体以相关部门最终核定为准）和可能需要补交的相关税、费等均由买受人承担。如未明确缴费义务人的费用由买受人承担。买受人在竞买前应向所涉税务部门确认成交后应缴纳的税费标准。</w:t>
      </w:r>
    </w:p>
    <w:p w14:paraId="14C33D7C">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0B94CB04">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21A2CFA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59FD50C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十日内缴纳至委托方指定账户。</w:t>
      </w:r>
    </w:p>
    <w:p w14:paraId="73EEE437">
      <w:pPr>
        <w:widowControl/>
        <w:spacing w:line="360" w:lineRule="auto"/>
        <w:ind w:firstLine="482" w:firstLineChars="200"/>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户  名：河北力昂管业有限公司管理人</w:t>
      </w:r>
    </w:p>
    <w:p w14:paraId="1571FD79">
      <w:pPr>
        <w:widowControl/>
        <w:spacing w:line="360" w:lineRule="auto"/>
        <w:ind w:firstLine="482" w:firstLineChars="200"/>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开户行：中国民生银行股份有限公司衡水永兴路支行</w:t>
      </w:r>
    </w:p>
    <w:p w14:paraId="6E1AFCFB">
      <w:pPr>
        <w:widowControl/>
        <w:spacing w:line="360" w:lineRule="auto"/>
        <w:ind w:firstLine="482" w:firstLineChars="200"/>
        <w:jc w:val="left"/>
        <w:rPr>
          <w:rFonts w:asciiTheme="minorEastAsia" w:hAnsiTheme="minorEastAsia"/>
          <w:sz w:val="24"/>
          <w:szCs w:val="24"/>
        </w:rPr>
      </w:pPr>
      <w:r>
        <w:rPr>
          <w:rFonts w:hint="eastAsia" w:ascii="宋体" w:hAnsi="宋体" w:eastAsia="宋体" w:cs="宋体"/>
          <w:b/>
          <w:color w:val="FF0000"/>
          <w:kern w:val="0"/>
          <w:sz w:val="24"/>
          <w:szCs w:val="24"/>
        </w:rPr>
        <w:t>账  户：631352717</w:t>
      </w:r>
    </w:p>
    <w:p w14:paraId="1BB49EF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1952B06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767E832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十日内将拍卖成交全部余款缴入指定账户，以及买受人明示或暗示其悔拍等情形）的，委托方可重新委托拍卖，买受人交纳的保证金不予退还。用于弥补重新拍卖的成交价低于原拍卖成交价造成的差价、费用损失等。如保证金不足以弥补原拍卖成交价造成的差价、费用损失，委托人保留追偿的权利。重新拍卖时，原买受人不得参加竞买。</w:t>
      </w:r>
    </w:p>
    <w:p w14:paraId="1F81C34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特别提示：</w:t>
      </w:r>
    </w:p>
    <w:p w14:paraId="104FDCC2">
      <w:pPr>
        <w:numPr>
          <w:ilvl w:val="0"/>
          <w:numId w:val="5"/>
        </w:numPr>
        <w:spacing w:line="360" w:lineRule="auto"/>
        <w:ind w:firstLine="480" w:firstLineChars="200"/>
        <w:rPr>
          <w:rFonts w:asciiTheme="minorEastAsia" w:hAnsiTheme="minorEastAsia"/>
          <w:kern w:val="21"/>
          <w:sz w:val="24"/>
          <w:szCs w:val="24"/>
        </w:rPr>
      </w:pPr>
      <w:r>
        <w:rPr>
          <w:rFonts w:hint="eastAsia" w:asciiTheme="minorEastAsia" w:hAnsiTheme="minorEastAsia"/>
          <w:sz w:val="24"/>
          <w:szCs w:val="24"/>
        </w:rPr>
        <w:t>综合服务费由拍卖辅助机构收取（按照成交价格的2%计算）买受人需在成交之后十日内将综合服务费汇款至</w:t>
      </w:r>
      <w:r>
        <w:rPr>
          <w:rFonts w:hint="eastAsia" w:ascii="宋体" w:hAnsi="宋体" w:eastAsia="宋体" w:cs="宋体"/>
          <w:kern w:val="0"/>
          <w:sz w:val="24"/>
          <w:szCs w:val="24"/>
        </w:rPr>
        <w:t>河北浩风网络科技有限公司</w:t>
      </w:r>
      <w:r>
        <w:rPr>
          <w:rFonts w:hint="eastAsia" w:asciiTheme="minorEastAsia" w:hAnsiTheme="minorEastAsia"/>
          <w:sz w:val="24"/>
          <w:szCs w:val="24"/>
        </w:rPr>
        <w:t>指定账户</w:t>
      </w:r>
      <w:r>
        <w:rPr>
          <w:rFonts w:hint="eastAsia" w:asciiTheme="minorEastAsia" w:hAnsiTheme="minorEastAsia"/>
          <w:kern w:val="21"/>
          <w:sz w:val="24"/>
          <w:szCs w:val="24"/>
        </w:rPr>
        <w:t>【户名：</w:t>
      </w:r>
      <w:r>
        <w:rPr>
          <w:rFonts w:hint="eastAsia" w:asciiTheme="minorEastAsia" w:hAnsiTheme="minorEastAsia" w:cstheme="minorEastAsia"/>
          <w:kern w:val="21"/>
          <w:sz w:val="24"/>
          <w:szCs w:val="24"/>
        </w:rPr>
        <w:t>河北浩风网络科技有限公司</w:t>
      </w:r>
      <w:r>
        <w:rPr>
          <w:rFonts w:hint="eastAsia" w:asciiTheme="minorEastAsia" w:hAnsiTheme="minorEastAsia"/>
          <w:kern w:val="21"/>
          <w:sz w:val="24"/>
          <w:szCs w:val="24"/>
        </w:rPr>
        <w:t>；开户行：中国民生银行石家庄红旗大街支行；账号：170858077；以到账时间为准】</w:t>
      </w:r>
    </w:p>
    <w:p w14:paraId="6371059D">
      <w:pPr>
        <w:numPr>
          <w:ilvl w:val="0"/>
          <w:numId w:val="5"/>
        </w:numPr>
        <w:spacing w:line="360" w:lineRule="auto"/>
        <w:ind w:firstLine="480" w:firstLineChars="200"/>
        <w:rPr>
          <w:rFonts w:asciiTheme="minorEastAsia" w:hAnsiTheme="minorEastAsia"/>
          <w:kern w:val="21"/>
          <w:sz w:val="24"/>
          <w:szCs w:val="24"/>
        </w:rPr>
      </w:pPr>
      <w:r>
        <w:rPr>
          <w:rFonts w:hint="eastAsia" w:asciiTheme="minorEastAsia" w:hAnsiTheme="minorEastAsia"/>
          <w:kern w:val="21"/>
          <w:sz w:val="24"/>
          <w:szCs w:val="24"/>
        </w:rPr>
        <w:t>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161DD511">
      <w:pPr>
        <w:numPr>
          <w:ilvl w:val="0"/>
          <w:numId w:val="5"/>
        </w:numPr>
        <w:spacing w:line="360" w:lineRule="auto"/>
        <w:ind w:firstLine="480" w:firstLineChars="200"/>
        <w:rPr>
          <w:rFonts w:asciiTheme="minorEastAsia" w:hAnsiTheme="minorEastAsia"/>
          <w:kern w:val="21"/>
          <w:sz w:val="24"/>
          <w:szCs w:val="24"/>
        </w:rPr>
      </w:pPr>
      <w:r>
        <w:rPr>
          <w:rFonts w:hint="eastAsia" w:asciiTheme="minorEastAsia" w:hAnsiTheme="minorEastAsia"/>
          <w:kern w:val="21"/>
          <w:sz w:val="24"/>
          <w:szCs w:val="24"/>
        </w:rPr>
        <w:t>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5F572F0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7613C73F">
      <w:pPr>
        <w:numPr>
          <w:ilvl w:val="0"/>
          <w:numId w:val="2"/>
        </w:numPr>
        <w:spacing w:line="360" w:lineRule="auto"/>
        <w:rPr>
          <w:rFonts w:asciiTheme="minorEastAsia" w:hAnsiTheme="minorEastAsia"/>
          <w:b/>
          <w:color w:val="FF0000"/>
          <w:sz w:val="24"/>
          <w:szCs w:val="24"/>
        </w:rPr>
      </w:pPr>
      <w:r>
        <w:rPr>
          <w:rFonts w:hint="eastAsia" w:asciiTheme="minorEastAsia" w:hAnsiTheme="minorEastAsia"/>
          <w:b/>
          <w:color w:val="FF0000"/>
          <w:sz w:val="24"/>
          <w:szCs w:val="24"/>
        </w:rPr>
        <w:t>建筑物类：</w:t>
      </w:r>
    </w:p>
    <w:p w14:paraId="4519F3C6">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因本建筑非房产类，不涉及过户登记等程序，买受人在缴纳完全部拍卖款项后，持有效身份证明及签署好的拍卖成交文件，到管理人处办理交付手续，并于缴纳尾款后十五日内完成标的提货，将标的物拆卸并搬离标的物存放地。若超期十五日还未将全部标的搬离存放地的，标的物剩余部分视为买受人自动放弃，管理人有权对剩余标的物另行处置。未按照前述期限内办理交割手续或未及时将标的物搬离存放地的，由此产生的全部责任、损失和风险（包括但不限于支付场地费、保管费、标的物损毁或灭失等）由买受人自行负责。</w:t>
      </w:r>
    </w:p>
    <w:p w14:paraId="530B3727">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2、如需拆卸，需符合国家相应标准和资质，并在拆除后将地面墙体恢复原样。买受人应支付由此产生的一切费用，并承担本标的物可能发生的损毁、灭失等后果。</w:t>
      </w:r>
    </w:p>
    <w:p w14:paraId="73E61CFA">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除标的物尾款外，买受人需另行缴纳10万元“提货保证金”至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6E1AD60A">
      <w:pPr>
        <w:numPr>
          <w:ilvl w:val="0"/>
          <w:numId w:val="2"/>
        </w:numPr>
        <w:spacing w:line="360" w:lineRule="auto"/>
        <w:rPr>
          <w:rFonts w:asciiTheme="minorEastAsia" w:hAnsiTheme="minorEastAsia"/>
          <w:b/>
          <w:color w:val="FF0000"/>
          <w:sz w:val="24"/>
          <w:szCs w:val="24"/>
        </w:rPr>
      </w:pPr>
      <w:r>
        <w:rPr>
          <w:rFonts w:hint="eastAsia" w:asciiTheme="minorEastAsia" w:hAnsiTheme="minorEastAsia"/>
          <w:b/>
          <w:color w:val="FF0000"/>
          <w:sz w:val="24"/>
          <w:szCs w:val="24"/>
        </w:rPr>
        <w:t>设备类：</w:t>
      </w:r>
    </w:p>
    <w:p w14:paraId="4E1CB1A9">
      <w:pPr>
        <w:spacing w:line="360" w:lineRule="auto"/>
        <w:ind w:firstLine="482" w:firstLineChars="200"/>
        <w:rPr>
          <w:rFonts w:asciiTheme="minorEastAsia" w:hAnsiTheme="minorEastAsia"/>
          <w:b/>
          <w:bCs/>
          <w:sz w:val="24"/>
          <w:szCs w:val="24"/>
          <w:u w:val="single"/>
        </w:rPr>
      </w:pPr>
      <w:bookmarkStart w:id="0" w:name="_Hlk153543343"/>
      <w:r>
        <w:rPr>
          <w:rFonts w:hint="eastAsia" w:asciiTheme="minorEastAsia" w:hAnsiTheme="minorEastAsia"/>
          <w:b/>
          <w:bCs/>
          <w:sz w:val="24"/>
          <w:szCs w:val="24"/>
          <w:u w:val="single"/>
        </w:rPr>
        <w:t>1、买受人在缴纳完全部拍卖款项后，持有效身份证明及签署好的拍卖成交文件前往标的物存放地办理交割手续，并于缴纳尾款后十五日内完成标的提货，将标的物搬离标的物存放地。若超期十五日还未将全部标的搬离存放地的，标的物剩余部分视为买受人自动放弃，管理人有权对剩余标的物另行处置。未按照前述期限内办理交割手续或未及时将标的物搬离存放地的，由此产生的全部责任、损失和风险（包括但不限于支付场地费、保管费、标的物损毁或灭失等）由买受人自行负责。</w:t>
      </w:r>
    </w:p>
    <w:p w14:paraId="563F15AE">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2、如本次拍卖标的物由于不确定因素或自然灾害等不可抗力因素或管理人未能掌握的情形等原因致使拍卖标的物不能如期交付的，管理人和拍卖辅助机构不承担任何责任</w:t>
      </w:r>
      <w:bookmarkEnd w:id="0"/>
      <w:r>
        <w:rPr>
          <w:rFonts w:hint="eastAsia" w:asciiTheme="minorEastAsia" w:hAnsiTheme="minorEastAsia"/>
          <w:b/>
          <w:bCs/>
          <w:sz w:val="24"/>
          <w:szCs w:val="24"/>
          <w:u w:val="single"/>
        </w:rPr>
        <w:t>。</w:t>
      </w:r>
    </w:p>
    <w:p w14:paraId="684C6274">
      <w:pPr>
        <w:spacing w:line="360" w:lineRule="auto"/>
        <w:rPr>
          <w:rFonts w:asciiTheme="minorEastAsia" w:hAnsiTheme="minorEastAsia"/>
          <w:b/>
          <w:bCs/>
          <w:sz w:val="24"/>
          <w:szCs w:val="24"/>
          <w:u w:val="single"/>
        </w:rPr>
      </w:pPr>
    </w:p>
    <w:p w14:paraId="5C351EFD">
      <w:pPr>
        <w:widowControl/>
        <w:spacing w:line="360" w:lineRule="auto"/>
        <w:ind w:firstLine="482" w:firstLineChars="200"/>
        <w:jc w:val="left"/>
        <w:rPr>
          <w:rFonts w:asciiTheme="minorEastAsia" w:hAnsiTheme="minorEastAsia"/>
          <w:sz w:val="24"/>
          <w:szCs w:val="24"/>
        </w:rPr>
      </w:pPr>
      <w:r>
        <w:rPr>
          <w:rFonts w:hint="eastAsia" w:asciiTheme="minorEastAsia" w:hAnsiTheme="minorEastAsia"/>
          <w:b/>
          <w:sz w:val="24"/>
          <w:szCs w:val="24"/>
        </w:rPr>
        <w:t>十一、</w:t>
      </w:r>
      <w:r>
        <w:rPr>
          <w:rFonts w:hint="eastAsia" w:ascii="宋体" w:hAnsi="宋体" w:eastAsia="宋体" w:cs="宋体"/>
          <w:color w:val="000000"/>
          <w:kern w:val="0"/>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241B53F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宋体" w:hAnsi="宋体" w:eastAsia="宋体" w:cs="宋体"/>
          <w:color w:val="000000"/>
          <w:kern w:val="0"/>
          <w:sz w:val="24"/>
          <w:szCs w:val="24"/>
        </w:rPr>
        <w:t>竞买人在拍卖竞价前请务必再仔细阅读《竞买须知》《拍卖标的物调查情况表》。本《竞买公告》其他未尽事宜，请向管理人咨询；拍卖标的物详情请咨询管理人。拍卖</w:t>
      </w:r>
      <w:r>
        <w:rPr>
          <w:rFonts w:hint="eastAsia" w:asciiTheme="minorEastAsia" w:hAnsiTheme="minorEastAsia"/>
          <w:sz w:val="24"/>
          <w:szCs w:val="24"/>
        </w:rPr>
        <w:t>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FE9DC69">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破产案件监督单位：衡水市桃城区人民法院；</w:t>
      </w:r>
    </w:p>
    <w:p w14:paraId="350287F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咨询电话：崔女士：</w:t>
      </w:r>
      <w:r>
        <w:rPr>
          <w:rFonts w:asciiTheme="minorEastAsia" w:hAnsiTheme="minorEastAsia"/>
          <w:sz w:val="24"/>
          <w:szCs w:val="24"/>
        </w:rPr>
        <w:t>18330353912</w:t>
      </w:r>
      <w:r>
        <w:rPr>
          <w:rFonts w:hint="eastAsia" w:asciiTheme="minorEastAsia" w:hAnsiTheme="minorEastAsia"/>
          <w:sz w:val="24"/>
          <w:szCs w:val="24"/>
        </w:rPr>
        <w:t>；</w:t>
      </w:r>
      <w:r>
        <w:rPr>
          <w:rFonts w:hint="eastAsia" w:ascii="宋体" w:hAnsi="宋体" w:eastAsia="宋体" w:cs="宋体"/>
          <w:kern w:val="0"/>
          <w:sz w:val="24"/>
          <w:szCs w:val="24"/>
        </w:rPr>
        <w:t>尹先生：18610341989；</w:t>
      </w:r>
      <w:r>
        <w:rPr>
          <w:rFonts w:hint="eastAsia" w:asciiTheme="minorEastAsia" w:hAnsiTheme="minorEastAsia"/>
          <w:sz w:val="24"/>
          <w:szCs w:val="24"/>
        </w:rPr>
        <w:t>李先生：</w:t>
      </w:r>
      <w:r>
        <w:rPr>
          <w:rFonts w:asciiTheme="minorEastAsia" w:hAnsiTheme="minorEastAsia"/>
          <w:sz w:val="24"/>
          <w:szCs w:val="24"/>
        </w:rPr>
        <w:t>13552572522</w:t>
      </w:r>
    </w:p>
    <w:p w14:paraId="4528A47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 院 监 督 电 话：0318-2818760；</w:t>
      </w:r>
    </w:p>
    <w:p w14:paraId="1BFA808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本次拍卖活动最终解释权归河北力昂管业有限公司管理人所有。</w:t>
      </w:r>
    </w:p>
    <w:p w14:paraId="2C7A9D6B">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13A40212">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河北力昂管业有限公司管理人</w:t>
      </w:r>
    </w:p>
    <w:p w14:paraId="14B8C8BE">
      <w:pPr>
        <w:spacing w:line="360" w:lineRule="auto"/>
        <w:ind w:firstLine="480" w:firstLineChars="200"/>
        <w:jc w:val="right"/>
        <w:rPr>
          <w:rFonts w:asciiTheme="minorEastAsia" w:hAnsiTheme="minorEastAsia"/>
          <w:sz w:val="24"/>
          <w:szCs w:val="24"/>
        </w:rPr>
      </w:pPr>
    </w:p>
    <w:p w14:paraId="0F8D434C">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二〇二四年九月</w:t>
      </w:r>
      <w:r>
        <w:rPr>
          <w:rFonts w:hint="eastAsia" w:asciiTheme="minorEastAsia" w:hAnsiTheme="minorEastAsia"/>
          <w:sz w:val="24"/>
          <w:szCs w:val="24"/>
          <w:lang w:val="en-US" w:eastAsia="zh-CN"/>
        </w:rPr>
        <w:t>二十三</w:t>
      </w:r>
      <w:r>
        <w:rPr>
          <w:rFonts w:hint="eastAsia" w:asciiTheme="minorEastAsia" w:hAnsiTheme="minorEastAsia"/>
          <w:sz w:val="24"/>
          <w:szCs w:val="24"/>
        </w:rPr>
        <w:t>日</w:t>
      </w:r>
    </w:p>
    <w:p w14:paraId="242709C9">
      <w:pPr>
        <w:spacing w:line="360" w:lineRule="auto"/>
        <w:ind w:firstLine="480" w:firstLineChars="200"/>
        <w:jc w:val="right"/>
        <w:rPr>
          <w:rFonts w:asciiTheme="minorEastAsia" w:hAnsiTheme="minorEastAsia"/>
          <w:sz w:val="24"/>
          <w:szCs w:val="24"/>
        </w:rPr>
      </w:pPr>
    </w:p>
    <w:p w14:paraId="01989F4A">
      <w:pPr>
        <w:spacing w:line="360" w:lineRule="auto"/>
        <w:jc w:val="center"/>
        <w:rPr>
          <w:rFonts w:asciiTheme="minorEastAsia" w:hAnsiTheme="minorEastAsia"/>
          <w:b/>
          <w:sz w:val="44"/>
          <w:szCs w:val="44"/>
        </w:rPr>
      </w:pPr>
    </w:p>
    <w:p w14:paraId="5F20AFD1">
      <w:pPr>
        <w:spacing w:line="360" w:lineRule="auto"/>
        <w:jc w:val="center"/>
        <w:rPr>
          <w:rFonts w:asciiTheme="minorEastAsia" w:hAnsiTheme="minorEastAsia"/>
          <w:b/>
          <w:sz w:val="44"/>
          <w:szCs w:val="44"/>
        </w:rPr>
      </w:pPr>
    </w:p>
    <w:p w14:paraId="6D3C6F29">
      <w:pPr>
        <w:spacing w:line="360" w:lineRule="auto"/>
        <w:jc w:val="center"/>
        <w:rPr>
          <w:rFonts w:asciiTheme="minorEastAsia" w:hAnsiTheme="minorEastAsia"/>
          <w:b/>
          <w:sz w:val="44"/>
          <w:szCs w:val="44"/>
        </w:rPr>
      </w:pPr>
    </w:p>
    <w:p w14:paraId="2E496FC3">
      <w:pPr>
        <w:spacing w:line="360" w:lineRule="auto"/>
        <w:jc w:val="center"/>
        <w:rPr>
          <w:rFonts w:asciiTheme="minorEastAsia" w:hAnsiTheme="minorEastAsia"/>
          <w:b/>
          <w:sz w:val="44"/>
          <w:szCs w:val="44"/>
        </w:rPr>
      </w:pPr>
    </w:p>
    <w:p w14:paraId="7A5CEA81">
      <w:pPr>
        <w:spacing w:line="360" w:lineRule="auto"/>
        <w:jc w:val="center"/>
        <w:rPr>
          <w:rFonts w:asciiTheme="minorEastAsia" w:hAnsiTheme="minorEastAsia"/>
          <w:b/>
          <w:sz w:val="44"/>
          <w:szCs w:val="44"/>
        </w:rPr>
      </w:pPr>
    </w:p>
    <w:p w14:paraId="32C022B7">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5F29CF52">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2A18A5C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河北力昂管业有限公司管理人将于</w:t>
      </w:r>
      <w:r>
        <w:rPr>
          <w:rFonts w:hint="eastAsia" w:asciiTheme="minorEastAsia" w:hAnsiTheme="minorEastAsia"/>
          <w:sz w:val="24"/>
          <w:szCs w:val="24"/>
          <w:lang w:eastAsia="zh-CN"/>
        </w:rPr>
        <w:t>2024年10月8日10时至2024年10月9日10时止</w:t>
      </w:r>
      <w:r>
        <w:rPr>
          <w:rFonts w:hint="eastAsia" w:asciiTheme="minorEastAsia" w:hAnsiTheme="minorEastAsia"/>
          <w:sz w:val="24"/>
          <w:szCs w:val="24"/>
        </w:rPr>
        <w:t>（延时除外）在阿里拍卖破产清算网络平台上（网址：https://zc-paimai.taobao.com/）现就网上拍卖有关事宜敬告各位竞买人：</w:t>
      </w:r>
    </w:p>
    <w:p w14:paraId="5235704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45A6D92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7D9AF9CA">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0537085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31CF44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AD31C4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71B1BF3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22DF612D">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51691F1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262BF24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20D361F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申报网络平台技术部门，录入平台系统。</w:t>
      </w:r>
    </w:p>
    <w:p w14:paraId="7121BEF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6979D01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4453B2A">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2F1F45F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16DDD506">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保证金</w:t>
      </w:r>
    </w:p>
    <w:p w14:paraId="06EE0F51">
      <w:pPr>
        <w:spacing w:line="360" w:lineRule="auto"/>
        <w:ind w:firstLine="480" w:firstLineChars="200"/>
        <w:rPr>
          <w:rFonts w:asciiTheme="minorEastAsia" w:hAnsiTheme="minorEastAsia"/>
          <w:bCs/>
          <w:sz w:val="24"/>
          <w:szCs w:val="24"/>
        </w:rPr>
      </w:pPr>
      <w:r>
        <w:rPr>
          <w:rFonts w:hint="eastAsia" w:asciiTheme="minorEastAsia" w:hAnsiTheme="minorEastAsia"/>
          <w:bCs/>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64306A08">
      <w:pPr>
        <w:spacing w:line="360" w:lineRule="auto"/>
        <w:ind w:firstLine="482" w:firstLineChars="200"/>
        <w:rPr>
          <w:rFonts w:asciiTheme="minorEastAsia" w:hAnsiTheme="minorEastAsia"/>
          <w:b/>
          <w:sz w:val="24"/>
          <w:szCs w:val="24"/>
        </w:rPr>
      </w:pPr>
    </w:p>
    <w:p w14:paraId="2204C74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保证金支付帮助：</w:t>
      </w:r>
      <w:r>
        <w:fldChar w:fldCharType="begin"/>
      </w:r>
      <w:r>
        <w:instrText xml:space="preserve"> HYPERLINK "https://www.taobao.com/market/paimai/sf-helpcenter.php?path=sf-hc-right-content5" \l "q1。" </w:instrText>
      </w:r>
      <w:r>
        <w:fldChar w:fldCharType="separate"/>
      </w:r>
      <w:r>
        <w:rPr>
          <w:rStyle w:val="10"/>
          <w:rFonts w:hint="eastAsia" w:asciiTheme="minorEastAsia" w:hAnsiTheme="minorEastAsia"/>
          <w:b/>
          <w:sz w:val="24"/>
          <w:szCs w:val="24"/>
        </w:rPr>
        <w:t>https://www.taobao.com/market/paimai/sf-helpcenter.php?path=sf-hc-right-content5#q1。</w:t>
      </w:r>
      <w:r>
        <w:rPr>
          <w:rStyle w:val="10"/>
          <w:rFonts w:hint="eastAsia" w:asciiTheme="minorEastAsia" w:hAnsiTheme="minorEastAsia"/>
          <w:b/>
          <w:sz w:val="24"/>
          <w:szCs w:val="24"/>
        </w:rPr>
        <w:fldChar w:fldCharType="end"/>
      </w:r>
    </w:p>
    <w:p w14:paraId="3865344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八、</w:t>
      </w:r>
      <w:bookmarkStart w:id="1" w:name="_Hlk90236605"/>
      <w:r>
        <w:rPr>
          <w:rFonts w:hint="eastAsia" w:asciiTheme="minorEastAsia" w:hAnsiTheme="minorEastAsia"/>
          <w:bCs/>
          <w:sz w:val="24"/>
          <w:szCs w:val="24"/>
        </w:rPr>
        <w:t>本次拍卖是经法定公告期和展示期后才举行的，就拍卖标的物已知及可能存在的瑕疵已在本次拍卖资料中做了详尽的说明。</w:t>
      </w:r>
      <w:r>
        <w:rPr>
          <w:rFonts w:hint="eastAsia" w:asciiTheme="minorEastAsia" w:hAnsiTheme="minor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hint="eastAsia" w:asciiTheme="minorEastAsia" w:hAnsiTheme="minorEastAsia"/>
          <w:bCs/>
          <w:color w:val="000000" w:themeColor="text1"/>
          <w:sz w:val="24"/>
          <w:szCs w:val="24"/>
          <w14:textFill>
            <w14:solidFill>
              <w14:schemeClr w14:val="tx1"/>
            </w14:solidFill>
          </w14:textFill>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Pr>
          <w:rFonts w:hint="eastAsia" w:asciiTheme="minorEastAsia" w:hAnsiTheme="minorEastAsia"/>
          <w:sz w:val="24"/>
          <w:szCs w:val="24"/>
        </w:rPr>
        <w:t>。请慎重决定竞买行为，竞买人一旦作出竞买决定，即表明已完全了解，并接受标的物交割时的现状和一切已知及未知的瑕疵。</w:t>
      </w:r>
    </w:p>
    <w:p w14:paraId="637D1DEF">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7614A13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1"/>
    <w:p w14:paraId="107387FB">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十日</w:t>
      </w:r>
      <w:r>
        <w:rPr>
          <w:rFonts w:hint="eastAsia" w:asciiTheme="minorEastAsia" w:hAnsiTheme="minorEastAsia"/>
          <w:sz w:val="24"/>
          <w:szCs w:val="24"/>
        </w:rPr>
        <w:t>内将拍卖成交价余款（扣除保证金后的余款）缴纳至管理人指定账户：</w:t>
      </w:r>
    </w:p>
    <w:p w14:paraId="790BC5B5">
      <w:pPr>
        <w:widowControl/>
        <w:spacing w:line="360" w:lineRule="auto"/>
        <w:ind w:firstLine="482" w:firstLineChars="200"/>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户  名：河北力昂管业有限公司管理人</w:t>
      </w:r>
    </w:p>
    <w:p w14:paraId="2246ECE8">
      <w:pPr>
        <w:widowControl/>
        <w:spacing w:line="360" w:lineRule="auto"/>
        <w:ind w:firstLine="482" w:firstLineChars="200"/>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开户行：中国民生银行股份有限公司衡水永兴路支行</w:t>
      </w:r>
    </w:p>
    <w:p w14:paraId="6325CF34">
      <w:pPr>
        <w:widowControl/>
        <w:spacing w:line="360" w:lineRule="auto"/>
        <w:ind w:firstLine="482" w:firstLineChars="200"/>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账  户：631352717</w:t>
      </w:r>
    </w:p>
    <w:p w14:paraId="3D650CD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特别提示：</w:t>
      </w:r>
    </w:p>
    <w:p w14:paraId="11315B9B">
      <w:pPr>
        <w:numPr>
          <w:ilvl w:val="0"/>
          <w:numId w:val="6"/>
        </w:numPr>
        <w:spacing w:line="360" w:lineRule="auto"/>
        <w:ind w:firstLine="480" w:firstLineChars="200"/>
        <w:rPr>
          <w:rFonts w:asciiTheme="minorEastAsia" w:hAnsiTheme="minorEastAsia"/>
          <w:kern w:val="21"/>
          <w:sz w:val="24"/>
          <w:szCs w:val="24"/>
        </w:rPr>
      </w:pPr>
      <w:r>
        <w:rPr>
          <w:rFonts w:hint="eastAsia" w:asciiTheme="minorEastAsia" w:hAnsiTheme="minorEastAsia"/>
          <w:sz w:val="24"/>
          <w:szCs w:val="24"/>
        </w:rPr>
        <w:t>综合服务费由拍卖辅助机构收取（按照成交价格的2%计算）买受人需在成交之后十日内将综合服务费汇款至</w:t>
      </w:r>
      <w:r>
        <w:rPr>
          <w:rFonts w:hint="eastAsia" w:ascii="宋体" w:hAnsi="宋体" w:eastAsia="宋体" w:cs="宋体"/>
          <w:kern w:val="0"/>
          <w:sz w:val="24"/>
          <w:szCs w:val="24"/>
        </w:rPr>
        <w:t>河北浩风网络科技有限公司</w:t>
      </w:r>
      <w:r>
        <w:rPr>
          <w:rFonts w:hint="eastAsia" w:asciiTheme="minorEastAsia" w:hAnsiTheme="minorEastAsia"/>
          <w:sz w:val="24"/>
          <w:szCs w:val="24"/>
        </w:rPr>
        <w:t>指定账户</w:t>
      </w:r>
      <w:r>
        <w:rPr>
          <w:rFonts w:hint="eastAsia" w:asciiTheme="minorEastAsia" w:hAnsiTheme="minorEastAsia"/>
          <w:kern w:val="21"/>
          <w:sz w:val="24"/>
          <w:szCs w:val="24"/>
        </w:rPr>
        <w:t>【户名：</w:t>
      </w:r>
      <w:r>
        <w:rPr>
          <w:rFonts w:hint="eastAsia" w:asciiTheme="minorEastAsia" w:hAnsiTheme="minorEastAsia" w:cstheme="minorEastAsia"/>
          <w:kern w:val="21"/>
          <w:sz w:val="24"/>
          <w:szCs w:val="24"/>
        </w:rPr>
        <w:t>河北浩风网络科技有限公司</w:t>
      </w:r>
      <w:r>
        <w:rPr>
          <w:rFonts w:hint="eastAsia" w:asciiTheme="minorEastAsia" w:hAnsiTheme="minorEastAsia"/>
          <w:kern w:val="21"/>
          <w:sz w:val="24"/>
          <w:szCs w:val="24"/>
        </w:rPr>
        <w:t>；开户行：中国民生银行石家庄红旗大街支行；账号：170858077；以到账时间为准】</w:t>
      </w:r>
    </w:p>
    <w:p w14:paraId="56DAFF8A">
      <w:pPr>
        <w:numPr>
          <w:ilvl w:val="0"/>
          <w:numId w:val="6"/>
        </w:numPr>
        <w:spacing w:line="360" w:lineRule="auto"/>
        <w:ind w:firstLine="480" w:firstLineChars="200"/>
        <w:rPr>
          <w:rFonts w:asciiTheme="minorEastAsia" w:hAnsiTheme="minorEastAsia"/>
          <w:kern w:val="21"/>
          <w:sz w:val="24"/>
          <w:szCs w:val="24"/>
        </w:rPr>
      </w:pPr>
      <w:r>
        <w:rPr>
          <w:rFonts w:hint="eastAsia" w:asciiTheme="minorEastAsia" w:hAnsiTheme="minorEastAsia"/>
          <w:kern w:val="21"/>
          <w:sz w:val="24"/>
          <w:szCs w:val="24"/>
        </w:rPr>
        <w:t>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6A63C9C7">
      <w:pPr>
        <w:numPr>
          <w:ilvl w:val="0"/>
          <w:numId w:val="6"/>
        </w:numPr>
        <w:spacing w:line="360" w:lineRule="auto"/>
        <w:ind w:firstLine="480" w:firstLineChars="200"/>
        <w:rPr>
          <w:rFonts w:asciiTheme="minorEastAsia" w:hAnsiTheme="minorEastAsia"/>
          <w:kern w:val="21"/>
          <w:sz w:val="24"/>
          <w:szCs w:val="24"/>
        </w:rPr>
      </w:pPr>
      <w:r>
        <w:rPr>
          <w:rFonts w:hint="eastAsia" w:asciiTheme="minorEastAsia" w:hAnsiTheme="minorEastAsia"/>
          <w:kern w:val="21"/>
          <w:sz w:val="24"/>
          <w:szCs w:val="24"/>
        </w:rPr>
        <w:t>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35FEF046">
      <w:pPr>
        <w:widowControl/>
        <w:spacing w:line="360" w:lineRule="auto"/>
        <w:ind w:firstLine="482" w:firstLineChars="200"/>
        <w:jc w:val="left"/>
        <w:rPr>
          <w:rFonts w:ascii="宋体" w:hAnsi="宋体" w:eastAsia="宋体" w:cs="宋体"/>
          <w:b/>
          <w:color w:val="FF0000"/>
          <w:kern w:val="0"/>
          <w:sz w:val="24"/>
          <w:szCs w:val="24"/>
        </w:rPr>
      </w:pPr>
    </w:p>
    <w:p w14:paraId="501CA28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b/>
          <w:bCs/>
          <w:sz w:val="24"/>
          <w:szCs w:val="24"/>
        </w:rPr>
        <w:t>十日</w:t>
      </w:r>
      <w:r>
        <w:rPr>
          <w:rFonts w:hint="eastAsia" w:asciiTheme="minorEastAsia" w:hAnsiTheme="minorEastAsia"/>
          <w:sz w:val="24"/>
          <w:szCs w:val="24"/>
        </w:rPr>
        <w:t>内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393C1192">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76CED1F0">
      <w:pPr>
        <w:numPr>
          <w:ilvl w:val="0"/>
          <w:numId w:val="2"/>
        </w:numPr>
        <w:spacing w:line="360" w:lineRule="auto"/>
        <w:rPr>
          <w:rFonts w:asciiTheme="minorEastAsia" w:hAnsiTheme="minorEastAsia"/>
          <w:b/>
          <w:color w:val="FF0000"/>
          <w:sz w:val="24"/>
          <w:szCs w:val="24"/>
        </w:rPr>
      </w:pPr>
      <w:r>
        <w:rPr>
          <w:rFonts w:hint="eastAsia" w:asciiTheme="minorEastAsia" w:hAnsiTheme="minorEastAsia"/>
          <w:b/>
          <w:color w:val="FF0000"/>
          <w:sz w:val="24"/>
          <w:szCs w:val="24"/>
        </w:rPr>
        <w:t>建筑物类：</w:t>
      </w:r>
    </w:p>
    <w:p w14:paraId="20A13693">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因本建筑非房产类，不涉及过户登记等程序，买受人在缴纳完全部拍卖款项后，持有效身份证明及签署好的拍卖成交文件，到管理人处办理交付手续，并于缴纳尾款后十五日内完成标的提货，将标的物拆卸并搬离标的物存放地。若超期十五日还未将全部标的搬离存放地的，标的物剩余部分视为买受人自动放弃，管理人有权对剩余标的物另行处置。未按照前述期限内办理交割手续或未及时将标的物搬离存放地的，由此产生的全部责任、损失和风险（包括但不限于支付场地费、保管费、标的物损毁或灭失等）由买受人自行负责。</w:t>
      </w:r>
    </w:p>
    <w:p w14:paraId="7E8C3785">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2、如需拆卸，需符合国家相应标准和资质，并在拆除后将地面墙体恢复原样。买受人应支付由此产生的一切费用，并承担本标的物可能发生的损毁、灭失等后果。</w:t>
      </w:r>
    </w:p>
    <w:p w14:paraId="4D916057">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除标的物尾款外，买受人需另行缴纳10万元“提货保证金”至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7EEDDEEE">
      <w:pPr>
        <w:numPr>
          <w:ilvl w:val="0"/>
          <w:numId w:val="2"/>
        </w:numPr>
        <w:spacing w:line="360" w:lineRule="auto"/>
        <w:rPr>
          <w:rFonts w:asciiTheme="minorEastAsia" w:hAnsiTheme="minorEastAsia"/>
          <w:b/>
          <w:color w:val="FF0000"/>
          <w:sz w:val="24"/>
          <w:szCs w:val="24"/>
        </w:rPr>
      </w:pPr>
      <w:r>
        <w:rPr>
          <w:rFonts w:hint="eastAsia" w:asciiTheme="minorEastAsia" w:hAnsiTheme="minorEastAsia"/>
          <w:b/>
          <w:color w:val="FF0000"/>
          <w:sz w:val="24"/>
          <w:szCs w:val="24"/>
        </w:rPr>
        <w:t>设备类：</w:t>
      </w:r>
    </w:p>
    <w:p w14:paraId="6FB5123B">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前往标的物存放地办理交割手续，并于缴纳尾款后十五日内完成标的提货，将标的物搬离标的物存放地。若超期十五日还未将全部标的搬离存放地的，标的物剩余部分视为买受人自动放弃，管理人有权对剩余标的物另行处置。未按照前述期限内办理交割手续或未及时将标的物搬离存放地的，由此产生的全部责任、损失和风险（包括但不限于支付场地费、保管费、标的物损毁或灭失等）由买受人自行负责。</w:t>
      </w:r>
    </w:p>
    <w:p w14:paraId="27E9AAE9">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2、如本次拍卖标的物由于不确定因素或自然灾害等不可抗力因素或管理人未能掌握的情形等原因致使拍卖标的物不能如期交付的，管理人和拍卖辅助机构不承担任何责任。</w:t>
      </w:r>
    </w:p>
    <w:p w14:paraId="34C0A251">
      <w:pPr>
        <w:spacing w:line="360" w:lineRule="auto"/>
        <w:rPr>
          <w:rFonts w:asciiTheme="minorEastAsia" w:hAnsiTheme="minorEastAsia"/>
          <w:b/>
          <w:bCs/>
          <w:sz w:val="24"/>
          <w:szCs w:val="24"/>
          <w:u w:val="single"/>
        </w:rPr>
      </w:pPr>
    </w:p>
    <w:p w14:paraId="50482492">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本次拍卖活动计价货币为人民币。本次拍卖成交价不含税费及其他费用。因标的物转让权属发生变更买卖双方所涉及的一切税、费（包括但不限于所得税、营业税、</w:t>
      </w:r>
      <w:r>
        <w:rPr>
          <w:rFonts w:ascii="Helvetica" w:hAnsi="Helvetica" w:eastAsia="Helvetica" w:cs="Helvetica"/>
          <w:b/>
          <w:bCs/>
          <w:color w:val="FF0000"/>
          <w:sz w:val="24"/>
          <w:szCs w:val="24"/>
        </w:rPr>
        <w:t>装卸费、人工费、运输费、场地费</w:t>
      </w:r>
      <w:r>
        <w:rPr>
          <w:rFonts w:hint="eastAsia" w:asciiTheme="minorEastAsia" w:hAnsiTheme="minorEastAsia"/>
          <w:b/>
          <w:color w:val="FF0000"/>
          <w:sz w:val="24"/>
          <w:szCs w:val="24"/>
        </w:rPr>
        <w:t>、罚款、滞纳金等等具体以相关部门最终核定为准）和可能需要补交的相关税、费等均由买受人承担。如未明确缴费义务人的费用由买受人承担。买受人在竞买前应向所涉税务部门确认成交后应缴纳的税费标准。</w:t>
      </w:r>
    </w:p>
    <w:p w14:paraId="593C245A">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683BE16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05E6D92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4B79F6CF">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破产案件监督单位：衡水市桃城区人民法院；</w:t>
      </w:r>
    </w:p>
    <w:p w14:paraId="60D525E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咨询电话：崔女士：</w:t>
      </w:r>
      <w:r>
        <w:rPr>
          <w:rFonts w:asciiTheme="minorEastAsia" w:hAnsiTheme="minorEastAsia"/>
          <w:sz w:val="24"/>
          <w:szCs w:val="24"/>
        </w:rPr>
        <w:t>18330353912</w:t>
      </w:r>
      <w:r>
        <w:rPr>
          <w:rFonts w:hint="eastAsia" w:asciiTheme="minorEastAsia" w:hAnsiTheme="minorEastAsia"/>
          <w:sz w:val="24"/>
          <w:szCs w:val="24"/>
        </w:rPr>
        <w:t>；</w:t>
      </w:r>
      <w:r>
        <w:rPr>
          <w:rFonts w:hint="eastAsia" w:ascii="宋体" w:hAnsi="宋体" w:eastAsia="宋体" w:cs="宋体"/>
          <w:kern w:val="0"/>
          <w:sz w:val="24"/>
          <w:szCs w:val="24"/>
        </w:rPr>
        <w:t>尹先生：18610341989；</w:t>
      </w:r>
      <w:r>
        <w:rPr>
          <w:rFonts w:hint="eastAsia" w:asciiTheme="minorEastAsia" w:hAnsiTheme="minorEastAsia"/>
          <w:sz w:val="24"/>
          <w:szCs w:val="24"/>
        </w:rPr>
        <w:t>李先生：</w:t>
      </w:r>
      <w:r>
        <w:rPr>
          <w:rFonts w:asciiTheme="minorEastAsia" w:hAnsiTheme="minorEastAsia"/>
          <w:sz w:val="24"/>
          <w:szCs w:val="24"/>
        </w:rPr>
        <w:t>13552572522</w:t>
      </w:r>
    </w:p>
    <w:p w14:paraId="159A50A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 院 监 督 电 话：0318-2818760；</w:t>
      </w:r>
    </w:p>
    <w:p w14:paraId="68F7D2C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本次拍卖活动最终解释权归河北力昂管业有限公司管理人所有。</w:t>
      </w:r>
    </w:p>
    <w:p w14:paraId="3EB68EF9">
      <w:pPr>
        <w:spacing w:line="360" w:lineRule="auto"/>
        <w:ind w:firstLine="482" w:firstLineChars="200"/>
        <w:rPr>
          <w:rFonts w:asciiTheme="minorEastAsia" w:hAnsiTheme="minorEastAsia"/>
          <w:b/>
          <w:color w:val="FF0000"/>
          <w:sz w:val="24"/>
          <w:szCs w:val="24"/>
        </w:rPr>
      </w:pPr>
    </w:p>
    <w:p w14:paraId="676BE69A">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575E34CD">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河北力昂管业有限公司管理人</w:t>
      </w:r>
    </w:p>
    <w:p w14:paraId="17EFD6C6">
      <w:pPr>
        <w:spacing w:line="360" w:lineRule="auto"/>
        <w:ind w:firstLine="480" w:firstLineChars="200"/>
        <w:jc w:val="right"/>
        <w:rPr>
          <w:rFonts w:asciiTheme="minorEastAsia" w:hAnsiTheme="minorEastAsia"/>
          <w:sz w:val="24"/>
          <w:szCs w:val="24"/>
        </w:rPr>
      </w:pPr>
    </w:p>
    <w:p w14:paraId="3D3C817B">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二〇二四年九</w:t>
      </w:r>
      <w:r>
        <w:rPr>
          <w:rFonts w:hint="eastAsia" w:asciiTheme="minorEastAsia" w:hAnsiTheme="minorEastAsia"/>
          <w:sz w:val="24"/>
          <w:szCs w:val="24"/>
          <w:lang w:val="en-US" w:eastAsia="zh-CN"/>
        </w:rPr>
        <w:t>月二十三</w:t>
      </w:r>
      <w:r>
        <w:rPr>
          <w:rFonts w:hint="eastAsia" w:asciiTheme="minorEastAsia" w:hAnsiTheme="minorEastAsia"/>
          <w:sz w:val="24"/>
          <w:szCs w:val="24"/>
        </w:rPr>
        <w:t>日</w:t>
      </w:r>
    </w:p>
    <w:p w14:paraId="61A66CE5">
      <w:pPr>
        <w:spacing w:line="360" w:lineRule="auto"/>
        <w:ind w:firstLine="883" w:firstLineChars="200"/>
        <w:rPr>
          <w:rFonts w:asciiTheme="minorEastAsia" w:hAnsiTheme="minorEastAsia"/>
          <w:b/>
          <w:sz w:val="44"/>
          <w:szCs w:val="44"/>
        </w:rPr>
      </w:pPr>
    </w:p>
    <w:p w14:paraId="74132B5F">
      <w:pPr>
        <w:spacing w:line="360" w:lineRule="auto"/>
        <w:ind w:firstLine="480" w:firstLineChars="200"/>
        <w:rPr>
          <w:rFonts w:asciiTheme="minorEastAsia" w:hAnsiTheme="minorEastAsia"/>
          <w:sz w:val="24"/>
          <w:szCs w:val="24"/>
        </w:rPr>
      </w:pPr>
    </w:p>
    <w:p w14:paraId="56F95397">
      <w:pPr>
        <w:spacing w:line="360" w:lineRule="auto"/>
        <w:ind w:right="960"/>
        <w:rPr>
          <w:rFonts w:asciiTheme="minorEastAsia" w:hAnsiTheme="minorEastAsia"/>
          <w:sz w:val="24"/>
          <w:szCs w:val="24"/>
        </w:rPr>
      </w:pPr>
    </w:p>
    <w:tbl>
      <w:tblPr>
        <w:tblStyle w:val="7"/>
        <w:tblW w:w="8359" w:type="dxa"/>
        <w:tblInd w:w="113" w:type="dxa"/>
        <w:tblLayout w:type="autofit"/>
        <w:tblCellMar>
          <w:top w:w="0" w:type="dxa"/>
          <w:left w:w="108" w:type="dxa"/>
          <w:bottom w:w="0" w:type="dxa"/>
          <w:right w:w="108" w:type="dxa"/>
        </w:tblCellMar>
      </w:tblPr>
      <w:tblGrid>
        <w:gridCol w:w="1840"/>
        <w:gridCol w:w="6519"/>
      </w:tblGrid>
      <w:tr w14:paraId="4CB30F33">
        <w:tblPrEx>
          <w:tblCellMar>
            <w:top w:w="0" w:type="dxa"/>
            <w:left w:w="108" w:type="dxa"/>
            <w:bottom w:w="0" w:type="dxa"/>
            <w:right w:w="108" w:type="dxa"/>
          </w:tblCellMar>
        </w:tblPrEx>
        <w:trPr>
          <w:trHeight w:val="488" w:hRule="atLeast"/>
        </w:trPr>
        <w:tc>
          <w:tcPr>
            <w:tcW w:w="8359"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14:paraId="5D6D3462">
            <w:pPr>
              <w:widowControl/>
              <w:spacing w:line="360" w:lineRule="auto"/>
              <w:jc w:val="center"/>
              <w:rPr>
                <w:rFonts w:ascii="宋体" w:hAnsi="宋体" w:eastAsia="宋体" w:cs="楷体"/>
                <w:b/>
                <w:bCs/>
                <w:color w:val="000000" w:themeColor="text1"/>
                <w:kern w:val="0"/>
                <w:sz w:val="28"/>
                <w:szCs w:val="28"/>
                <w14:textFill>
                  <w14:solidFill>
                    <w14:schemeClr w14:val="tx1"/>
                  </w14:solidFill>
                </w14:textFill>
              </w:rPr>
            </w:pPr>
            <w:r>
              <w:rPr>
                <w:rFonts w:hint="eastAsia" w:ascii="宋体" w:hAnsi="宋体" w:eastAsia="宋体" w:cs="楷体"/>
                <w:b/>
                <w:bCs/>
                <w:color w:val="000000"/>
                <w:kern w:val="0"/>
                <w:sz w:val="28"/>
                <w:szCs w:val="28"/>
              </w:rPr>
              <w:t>标的物调查表</w:t>
            </w:r>
          </w:p>
        </w:tc>
      </w:tr>
      <w:tr w14:paraId="2CDE9E09">
        <w:tblPrEx>
          <w:tblCellMar>
            <w:top w:w="0" w:type="dxa"/>
            <w:left w:w="108" w:type="dxa"/>
            <w:bottom w:w="0" w:type="dxa"/>
            <w:right w:w="108" w:type="dxa"/>
          </w:tblCellMar>
        </w:tblPrEx>
        <w:trPr>
          <w:trHeight w:val="630" w:hRule="atLeast"/>
        </w:trPr>
        <w:tc>
          <w:tcPr>
            <w:tcW w:w="1840" w:type="dxa"/>
            <w:tcBorders>
              <w:top w:val="nil"/>
              <w:left w:val="single" w:color="auto" w:sz="4" w:space="0"/>
              <w:bottom w:val="single" w:color="auto" w:sz="4" w:space="0"/>
              <w:right w:val="single" w:color="auto" w:sz="4" w:space="0"/>
            </w:tcBorders>
            <w:shd w:val="clear" w:color="auto" w:fill="auto"/>
            <w:vAlign w:val="center"/>
          </w:tcPr>
          <w:p w14:paraId="513498AA">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标的名称</w:t>
            </w:r>
          </w:p>
        </w:tc>
        <w:tc>
          <w:tcPr>
            <w:tcW w:w="6519" w:type="dxa"/>
            <w:tcBorders>
              <w:top w:val="single" w:color="auto" w:sz="4" w:space="0"/>
              <w:left w:val="nil"/>
              <w:bottom w:val="single" w:color="auto" w:sz="4" w:space="0"/>
              <w:right w:val="single" w:color="auto" w:sz="4" w:space="0"/>
            </w:tcBorders>
            <w:shd w:val="clear" w:color="auto" w:fill="auto"/>
            <w:vAlign w:val="center"/>
          </w:tcPr>
          <w:p w14:paraId="722C5859">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河北力昂管业有限公司名下设备及地上物</w:t>
            </w:r>
          </w:p>
        </w:tc>
      </w:tr>
      <w:tr w14:paraId="27BD4069">
        <w:tblPrEx>
          <w:tblCellMar>
            <w:top w:w="0" w:type="dxa"/>
            <w:left w:w="108" w:type="dxa"/>
            <w:bottom w:w="0" w:type="dxa"/>
            <w:right w:w="108" w:type="dxa"/>
          </w:tblCellMar>
        </w:tblPrEx>
        <w:trPr>
          <w:trHeight w:val="323" w:hRule="atLeast"/>
        </w:trPr>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14:paraId="2C96490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标的所有人</w:t>
            </w:r>
          </w:p>
        </w:tc>
        <w:tc>
          <w:tcPr>
            <w:tcW w:w="6519" w:type="dxa"/>
            <w:tcBorders>
              <w:top w:val="single" w:color="auto" w:sz="4" w:space="0"/>
              <w:left w:val="nil"/>
              <w:bottom w:val="single" w:color="auto" w:sz="4" w:space="0"/>
              <w:right w:val="single" w:color="auto" w:sz="4" w:space="0"/>
            </w:tcBorders>
            <w:shd w:val="clear" w:color="auto" w:fill="auto"/>
            <w:vAlign w:val="center"/>
          </w:tcPr>
          <w:p w14:paraId="1E2D66F5">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河北力昂管业有限公司</w:t>
            </w:r>
          </w:p>
        </w:tc>
      </w:tr>
      <w:tr w14:paraId="52D38C1F">
        <w:tblPrEx>
          <w:tblCellMar>
            <w:top w:w="0" w:type="dxa"/>
            <w:left w:w="108" w:type="dxa"/>
            <w:bottom w:w="0" w:type="dxa"/>
            <w:right w:w="108" w:type="dxa"/>
          </w:tblCellMar>
        </w:tblPrEx>
        <w:trPr>
          <w:trHeight w:val="323" w:hRule="atLeast"/>
        </w:trPr>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14:paraId="311EA5C1">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地上物</w:t>
            </w:r>
          </w:p>
        </w:tc>
        <w:tc>
          <w:tcPr>
            <w:tcW w:w="6519" w:type="dxa"/>
            <w:tcBorders>
              <w:top w:val="single" w:color="auto" w:sz="4" w:space="0"/>
              <w:left w:val="nil"/>
              <w:bottom w:val="single" w:color="auto" w:sz="4" w:space="0"/>
              <w:right w:val="single" w:color="auto" w:sz="4" w:space="0"/>
            </w:tcBorders>
            <w:shd w:val="clear" w:color="auto" w:fill="auto"/>
            <w:vAlign w:val="center"/>
          </w:tcPr>
          <w:p w14:paraId="29EB9573">
            <w:pPr>
              <w:widowControl/>
              <w:spacing w:line="360" w:lineRule="auto"/>
              <w:jc w:val="left"/>
              <w:rPr>
                <w:rStyle w:val="9"/>
                <w:rFonts w:ascii="宋体" w:hAnsi="宋体" w:eastAsia="宋体" w:cs="楷体"/>
                <w:sz w:val="28"/>
                <w:szCs w:val="28"/>
              </w:rPr>
            </w:pPr>
            <w:r>
              <w:rPr>
                <w:rFonts w:hint="eastAsia" w:ascii="宋体" w:hAnsi="宋体" w:eastAsia="宋体" w:cs="楷体"/>
                <w:color w:val="000000" w:themeColor="text1"/>
                <w:kern w:val="0"/>
                <w:sz w:val="28"/>
                <w:szCs w:val="28"/>
                <w14:textFill>
                  <w14:solidFill>
                    <w14:schemeClr w14:val="tx1"/>
                  </w14:solidFill>
                </w14:textFill>
              </w:rPr>
              <w:t>地上物为债务人投资建设，未办理房屋所有权证。详细情况可参考拍卖公告，具体情况以实际现状为准。</w:t>
            </w:r>
          </w:p>
        </w:tc>
      </w:tr>
      <w:tr w14:paraId="63FD995A">
        <w:tblPrEx>
          <w:tblCellMar>
            <w:top w:w="0" w:type="dxa"/>
            <w:left w:w="108" w:type="dxa"/>
            <w:bottom w:w="0" w:type="dxa"/>
            <w:right w:w="108" w:type="dxa"/>
          </w:tblCellMar>
        </w:tblPrEx>
        <w:trPr>
          <w:trHeight w:val="323" w:hRule="atLeast"/>
        </w:trPr>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14:paraId="2AA40ED2">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设备</w:t>
            </w:r>
          </w:p>
        </w:tc>
        <w:tc>
          <w:tcPr>
            <w:tcW w:w="6519" w:type="dxa"/>
            <w:tcBorders>
              <w:top w:val="single" w:color="auto" w:sz="4" w:space="0"/>
              <w:left w:val="nil"/>
              <w:bottom w:val="single" w:color="auto" w:sz="4" w:space="0"/>
              <w:right w:val="single" w:color="auto" w:sz="4" w:space="0"/>
            </w:tcBorders>
            <w:shd w:val="clear" w:color="auto" w:fill="auto"/>
            <w:vAlign w:val="center"/>
          </w:tcPr>
          <w:p w14:paraId="000A65C9">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本次拍卖设备存放于河北省衡水市永兴西路2169号。详细情况可参考拍卖公告，具体情况以实际现状为准。</w:t>
            </w:r>
          </w:p>
        </w:tc>
      </w:tr>
      <w:tr w14:paraId="3ED79671">
        <w:tblPrEx>
          <w:tblCellMar>
            <w:top w:w="0" w:type="dxa"/>
            <w:left w:w="108" w:type="dxa"/>
            <w:bottom w:w="0" w:type="dxa"/>
            <w:right w:w="108" w:type="dxa"/>
          </w:tblCellMar>
        </w:tblPrEx>
        <w:trPr>
          <w:trHeight w:val="323" w:hRule="atLeast"/>
        </w:trPr>
        <w:tc>
          <w:tcPr>
            <w:tcW w:w="835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128B08">
            <w:pPr>
              <w:numPr>
                <w:ilvl w:val="0"/>
                <w:numId w:val="2"/>
              </w:numPr>
              <w:spacing w:line="360" w:lineRule="auto"/>
              <w:rPr>
                <w:rFonts w:asciiTheme="minorEastAsia" w:hAnsiTheme="minorEastAsia"/>
                <w:b/>
                <w:bCs/>
                <w:sz w:val="24"/>
                <w:szCs w:val="24"/>
              </w:rPr>
            </w:pPr>
            <w:r>
              <w:rPr>
                <w:rFonts w:hint="eastAsia" w:asciiTheme="minorEastAsia" w:hAnsiTheme="minorEastAsia"/>
                <w:b/>
                <w:bCs/>
                <w:sz w:val="24"/>
                <w:szCs w:val="24"/>
              </w:rPr>
              <w:t>地上物特别情况说明：</w:t>
            </w:r>
          </w:p>
          <w:p w14:paraId="7522DD71">
            <w:pPr>
              <w:numPr>
                <w:ilvl w:val="0"/>
                <w:numId w:val="7"/>
              </w:num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color w:val="FF0000"/>
                <w:sz w:val="24"/>
                <w:szCs w:val="24"/>
              </w:rPr>
              <w:t>地上物均未办理产权证，须对地上物进行拆除，竞买人需于竞拍前3日内提交相关拆除资质手续。</w:t>
            </w:r>
          </w:p>
          <w:p w14:paraId="00DA095A">
            <w:pPr>
              <w:numPr>
                <w:ilvl w:val="0"/>
                <w:numId w:val="7"/>
              </w:num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竞买人需是符合国家相应标准和资质的企业，并在拆除后将地面墙体恢复原样。买受人应支付由此产生的一切费用，并承担本标的物可能发生的损毁、灭失等后果。</w:t>
            </w:r>
          </w:p>
          <w:p w14:paraId="754E20D5">
            <w:pPr>
              <w:numPr>
                <w:ilvl w:val="0"/>
                <w:numId w:val="7"/>
              </w:num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sz w:val="24"/>
                <w:szCs w:val="24"/>
                <w:u w:val="single"/>
              </w:rPr>
              <w:t>除标的物尾款外，买受人需另行缴纳10万元“提货保证金”至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57828917">
            <w:p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4、其他未尽事宜由买受人自行了解。</w:t>
            </w:r>
          </w:p>
          <w:p w14:paraId="16C393E8">
            <w:pPr>
              <w:numPr>
                <w:ilvl w:val="0"/>
                <w:numId w:val="8"/>
              </w:numPr>
              <w:spacing w:line="360" w:lineRule="auto"/>
              <w:rPr>
                <w:rFonts w:asciiTheme="minorEastAsia" w:hAnsiTheme="minorEastAsia"/>
                <w:b/>
                <w:bCs/>
                <w:sz w:val="24"/>
                <w:szCs w:val="24"/>
              </w:rPr>
            </w:pPr>
            <w:r>
              <w:rPr>
                <w:rFonts w:hint="eastAsia" w:asciiTheme="minorEastAsia" w:hAnsiTheme="minorEastAsia"/>
                <w:b/>
                <w:bCs/>
                <w:sz w:val="24"/>
                <w:szCs w:val="24"/>
              </w:rPr>
              <w:t>设备特别情况说明：存放于</w:t>
            </w:r>
            <w:r>
              <w:rPr>
                <w:rFonts w:hint="eastAsia" w:ascii="宋体" w:hAnsi="宋体" w:cs="Helvetica"/>
                <w:b/>
                <w:bCs/>
                <w:color w:val="000000"/>
                <w:kern w:val="0"/>
                <w:sz w:val="24"/>
                <w:szCs w:val="24"/>
              </w:rPr>
              <w:t>河北省衡水市永兴西路2169号。</w:t>
            </w:r>
          </w:p>
          <w:p w14:paraId="4BBD8C50">
            <w:pPr>
              <w:numPr>
                <w:ilvl w:val="0"/>
                <w:numId w:val="9"/>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 xml:space="preserve">由于长时间未使用，设备不确定能否正常使用。    </w:t>
            </w:r>
          </w:p>
          <w:p w14:paraId="3A20FAC5">
            <w:pPr>
              <w:numPr>
                <w:ilvl w:val="0"/>
                <w:numId w:val="9"/>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拍卖标的以实际交付情况为准，如出现型号不符、配件缺失、质量不佳、无法使用等情况，不影响拍卖成交结果，管理人（拍卖人）和拍辅公司不承担任何责任。</w:t>
            </w:r>
          </w:p>
          <w:p w14:paraId="35A3D294">
            <w:pPr>
              <w:numPr>
                <w:ilvl w:val="0"/>
                <w:numId w:val="9"/>
              </w:num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涉及危废物资的设备，竞买人需自行查阅是否符合国家相关资质，若因资质不符导致不可拆除、无法移交等情况，买受人需自行承担责任且拍卖结果不作调整。</w:t>
            </w:r>
          </w:p>
          <w:p w14:paraId="40B1B507">
            <w:pPr>
              <w:spacing w:line="360" w:lineRule="auto"/>
              <w:ind w:left="420" w:leftChars="200"/>
              <w:rPr>
                <w:rFonts w:asciiTheme="minorEastAsia" w:hAnsiTheme="minorEastAsia"/>
                <w:b/>
                <w:bCs/>
                <w:sz w:val="24"/>
                <w:szCs w:val="24"/>
              </w:rPr>
            </w:pPr>
            <w:r>
              <w:rPr>
                <w:rFonts w:hint="eastAsia" w:asciiTheme="minorEastAsia" w:hAnsiTheme="minorEastAsia"/>
                <w:b/>
                <w:bCs/>
                <w:color w:val="FF0000"/>
                <w:sz w:val="24"/>
                <w:szCs w:val="24"/>
              </w:rPr>
              <w:t>本公告仅供参考，具体数据以实际情况为准，请竞买人务必实地看样后参拍，参拍视为对标的物实际情况的已知，责任自负。</w:t>
            </w:r>
          </w:p>
          <w:p w14:paraId="3B7D0BF7">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r>
    </w:tbl>
    <w:p w14:paraId="0E6F4B9D">
      <w:pPr>
        <w:spacing w:line="360" w:lineRule="auto"/>
        <w:ind w:firstLine="640" w:firstLineChars="200"/>
        <w:jc w:val="right"/>
        <w:rPr>
          <w:rFonts w:ascii="宋体" w:hAnsi="宋体" w:eastAsia="宋体" w:cs="楷体"/>
          <w:sz w:val="32"/>
          <w:szCs w:val="32"/>
        </w:rPr>
      </w:pPr>
    </w:p>
    <w:p w14:paraId="5480A928">
      <w:pPr>
        <w:spacing w:line="360" w:lineRule="auto"/>
        <w:jc w:val="left"/>
        <w:rPr>
          <w:rFonts w:ascii="宋体" w:hAnsi="宋体" w:eastAsia="宋体" w:cs="楷体"/>
          <w:sz w:val="32"/>
          <w:szCs w:val="32"/>
        </w:rPr>
      </w:pPr>
    </w:p>
    <w:p w14:paraId="0D9E7744">
      <w:pPr>
        <w:spacing w:line="360" w:lineRule="auto"/>
        <w:ind w:right="960"/>
        <w:rPr>
          <w:rFonts w:asciiTheme="minorEastAsia" w:hAnsiTheme="minorEastAsia"/>
          <w:sz w:val="24"/>
          <w:szCs w:val="24"/>
        </w:rPr>
      </w:pPr>
    </w:p>
    <w:p w14:paraId="7B0BCED3">
      <w:pPr>
        <w:spacing w:line="360" w:lineRule="auto"/>
        <w:ind w:firstLine="480" w:firstLineChars="200"/>
        <w:jc w:val="right"/>
        <w:rPr>
          <w:rFonts w:asciiTheme="minorEastAsia" w:hAnsiTheme="minorEastAsia"/>
          <w:sz w:val="24"/>
          <w:szCs w:val="24"/>
        </w:rPr>
      </w:pPr>
    </w:p>
    <w:p w14:paraId="677A9267">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6457B750">
      <w:pPr>
        <w:spacing w:line="360" w:lineRule="auto"/>
        <w:jc w:val="left"/>
        <w:rPr>
          <w:rFonts w:asciiTheme="minorEastAsia" w:hAnsiTheme="minorEastAsia"/>
          <w:sz w:val="24"/>
          <w:szCs w:val="24"/>
        </w:rPr>
      </w:pPr>
    </w:p>
    <w:p w14:paraId="7DE6A814">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14D275"/>
    <w:multiLevelType w:val="singleLevel"/>
    <w:tmpl w:val="9914D275"/>
    <w:lvl w:ilvl="0" w:tentative="0">
      <w:start w:val="1"/>
      <w:numFmt w:val="decimal"/>
      <w:suff w:val="nothing"/>
      <w:lvlText w:val="%1、"/>
      <w:lvlJc w:val="left"/>
    </w:lvl>
  </w:abstractNum>
  <w:abstractNum w:abstractNumId="1">
    <w:nsid w:val="C3C457EC"/>
    <w:multiLevelType w:val="singleLevel"/>
    <w:tmpl w:val="C3C457EC"/>
    <w:lvl w:ilvl="0" w:tentative="0">
      <w:start w:val="1"/>
      <w:numFmt w:val="decimal"/>
      <w:suff w:val="nothing"/>
      <w:lvlText w:val="%1、"/>
      <w:lvlJc w:val="left"/>
    </w:lvl>
  </w:abstractNum>
  <w:abstractNum w:abstractNumId="2">
    <w:nsid w:val="CAFEF87D"/>
    <w:multiLevelType w:val="singleLevel"/>
    <w:tmpl w:val="CAFEF87D"/>
    <w:lvl w:ilvl="0" w:tentative="0">
      <w:start w:val="1"/>
      <w:numFmt w:val="decimal"/>
      <w:suff w:val="nothing"/>
      <w:lvlText w:val="%1、"/>
      <w:lvlJc w:val="left"/>
    </w:lvl>
  </w:abstractNum>
  <w:abstractNum w:abstractNumId="3">
    <w:nsid w:val="0F4EC8C7"/>
    <w:multiLevelType w:val="singleLevel"/>
    <w:tmpl w:val="0F4EC8C7"/>
    <w:lvl w:ilvl="0" w:tentative="0">
      <w:start w:val="1"/>
      <w:numFmt w:val="bullet"/>
      <w:lvlText w:val=""/>
      <w:lvlJc w:val="left"/>
      <w:pPr>
        <w:ind w:left="420" w:hanging="420"/>
      </w:pPr>
      <w:rPr>
        <w:rFonts w:hint="default" w:ascii="Wingdings" w:hAnsi="Wingdings"/>
        <w:color w:val="FF0000"/>
      </w:rPr>
    </w:lvl>
  </w:abstractNum>
  <w:abstractNum w:abstractNumId="4">
    <w:nsid w:val="118C1368"/>
    <w:multiLevelType w:val="singleLevel"/>
    <w:tmpl w:val="118C1368"/>
    <w:lvl w:ilvl="0" w:tentative="0">
      <w:start w:val="1"/>
      <w:numFmt w:val="decimal"/>
      <w:suff w:val="nothing"/>
      <w:lvlText w:val="%1、"/>
      <w:lvlJc w:val="left"/>
    </w:lvl>
  </w:abstractNum>
  <w:abstractNum w:abstractNumId="5">
    <w:nsid w:val="332808A5"/>
    <w:multiLevelType w:val="singleLevel"/>
    <w:tmpl w:val="332808A5"/>
    <w:lvl w:ilvl="0" w:tentative="0">
      <w:start w:val="1"/>
      <w:numFmt w:val="chineseCounting"/>
      <w:suff w:val="nothing"/>
      <w:lvlText w:val="%1、"/>
      <w:lvlJc w:val="left"/>
      <w:rPr>
        <w:rFonts w:hint="eastAsia"/>
      </w:rPr>
    </w:lvl>
  </w:abstractNum>
  <w:abstractNum w:abstractNumId="6">
    <w:nsid w:val="404E2337"/>
    <w:multiLevelType w:val="singleLevel"/>
    <w:tmpl w:val="404E2337"/>
    <w:lvl w:ilvl="0" w:tentative="0">
      <w:start w:val="1"/>
      <w:numFmt w:val="decimal"/>
      <w:suff w:val="nothing"/>
      <w:lvlText w:val="%1、"/>
      <w:lvlJc w:val="left"/>
    </w:lvl>
  </w:abstractNum>
  <w:abstractNum w:abstractNumId="7">
    <w:nsid w:val="4D68275A"/>
    <w:multiLevelType w:val="singleLevel"/>
    <w:tmpl w:val="4D68275A"/>
    <w:lvl w:ilvl="0" w:tentative="0">
      <w:start w:val="1"/>
      <w:numFmt w:val="decimal"/>
      <w:suff w:val="nothing"/>
      <w:lvlText w:val="%1、"/>
      <w:lvlJc w:val="left"/>
    </w:lvl>
  </w:abstractNum>
  <w:abstractNum w:abstractNumId="8">
    <w:nsid w:val="7860638A"/>
    <w:multiLevelType w:val="singleLevel"/>
    <w:tmpl w:val="7860638A"/>
    <w:lvl w:ilvl="0" w:tentative="0">
      <w:start w:val="1"/>
      <w:numFmt w:val="bullet"/>
      <w:lvlText w:val=""/>
      <w:lvlJc w:val="left"/>
      <w:pPr>
        <w:ind w:left="420" w:hanging="420"/>
      </w:pPr>
      <w:rPr>
        <w:rFonts w:hint="default" w:ascii="Wingdings" w:hAnsi="Wingdings"/>
      </w:rPr>
    </w:lvl>
  </w:abstractNum>
  <w:num w:numId="1">
    <w:abstractNumId w:val="5"/>
  </w:num>
  <w:num w:numId="2">
    <w:abstractNumId w:val="3"/>
  </w:num>
  <w:num w:numId="3">
    <w:abstractNumId w:val="0"/>
  </w:num>
  <w:num w:numId="4">
    <w:abstractNumId w:val="6"/>
  </w:num>
  <w:num w:numId="5">
    <w:abstractNumId w:val="4"/>
  </w:num>
  <w:num w:numId="6">
    <w:abstractNumId w:val="1"/>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ZWQzYzYwYWM5NDc0N2VkYjNkZjc2NjQ2NTQ3MjYifQ=="/>
  </w:docVars>
  <w:rsids>
    <w:rsidRoot w:val="006705CC"/>
    <w:rsid w:val="0002393B"/>
    <w:rsid w:val="000245EF"/>
    <w:rsid w:val="000345F8"/>
    <w:rsid w:val="000505EB"/>
    <w:rsid w:val="00051E02"/>
    <w:rsid w:val="0005677F"/>
    <w:rsid w:val="00061D2E"/>
    <w:rsid w:val="000835AC"/>
    <w:rsid w:val="00087E11"/>
    <w:rsid w:val="0009418A"/>
    <w:rsid w:val="0009785D"/>
    <w:rsid w:val="000A0642"/>
    <w:rsid w:val="000A1963"/>
    <w:rsid w:val="000A33CA"/>
    <w:rsid w:val="000A527A"/>
    <w:rsid w:val="000C312C"/>
    <w:rsid w:val="000D5FB3"/>
    <w:rsid w:val="000D639B"/>
    <w:rsid w:val="000E2096"/>
    <w:rsid w:val="001206E4"/>
    <w:rsid w:val="00122E94"/>
    <w:rsid w:val="00142839"/>
    <w:rsid w:val="00151626"/>
    <w:rsid w:val="001B706C"/>
    <w:rsid w:val="001D7A05"/>
    <w:rsid w:val="001F53A3"/>
    <w:rsid w:val="0021232E"/>
    <w:rsid w:val="00224C38"/>
    <w:rsid w:val="002556C1"/>
    <w:rsid w:val="00266827"/>
    <w:rsid w:val="002749EF"/>
    <w:rsid w:val="00286172"/>
    <w:rsid w:val="00294F47"/>
    <w:rsid w:val="002A5A69"/>
    <w:rsid w:val="002B6F1B"/>
    <w:rsid w:val="002C2F87"/>
    <w:rsid w:val="002E4FD4"/>
    <w:rsid w:val="00305174"/>
    <w:rsid w:val="003159B6"/>
    <w:rsid w:val="003242AB"/>
    <w:rsid w:val="00325429"/>
    <w:rsid w:val="00326BBB"/>
    <w:rsid w:val="00326FEE"/>
    <w:rsid w:val="003571DB"/>
    <w:rsid w:val="00365E3C"/>
    <w:rsid w:val="00386204"/>
    <w:rsid w:val="00387D3D"/>
    <w:rsid w:val="003A6E3E"/>
    <w:rsid w:val="003B0D10"/>
    <w:rsid w:val="003B3810"/>
    <w:rsid w:val="003C3D69"/>
    <w:rsid w:val="003C6B6C"/>
    <w:rsid w:val="003E0A6E"/>
    <w:rsid w:val="003E3A56"/>
    <w:rsid w:val="00422112"/>
    <w:rsid w:val="00426B1C"/>
    <w:rsid w:val="00432721"/>
    <w:rsid w:val="004405BB"/>
    <w:rsid w:val="00447E03"/>
    <w:rsid w:val="004562F8"/>
    <w:rsid w:val="00460443"/>
    <w:rsid w:val="00462220"/>
    <w:rsid w:val="004639E5"/>
    <w:rsid w:val="00481B2E"/>
    <w:rsid w:val="00482372"/>
    <w:rsid w:val="0049611D"/>
    <w:rsid w:val="004A1BD2"/>
    <w:rsid w:val="004A741D"/>
    <w:rsid w:val="004C5FCF"/>
    <w:rsid w:val="00500AEE"/>
    <w:rsid w:val="0050228E"/>
    <w:rsid w:val="00503173"/>
    <w:rsid w:val="00515436"/>
    <w:rsid w:val="005425B1"/>
    <w:rsid w:val="005545E2"/>
    <w:rsid w:val="0055574E"/>
    <w:rsid w:val="00566AEA"/>
    <w:rsid w:val="00572BF7"/>
    <w:rsid w:val="00573892"/>
    <w:rsid w:val="005739E7"/>
    <w:rsid w:val="005A10DA"/>
    <w:rsid w:val="005A6E8D"/>
    <w:rsid w:val="005B0D5B"/>
    <w:rsid w:val="005C1E7F"/>
    <w:rsid w:val="005C6CF4"/>
    <w:rsid w:val="005D0597"/>
    <w:rsid w:val="005D0905"/>
    <w:rsid w:val="005D6FFF"/>
    <w:rsid w:val="005E1744"/>
    <w:rsid w:val="005F6202"/>
    <w:rsid w:val="00602FC9"/>
    <w:rsid w:val="00607854"/>
    <w:rsid w:val="00614ADA"/>
    <w:rsid w:val="00634749"/>
    <w:rsid w:val="00640E85"/>
    <w:rsid w:val="00642EF7"/>
    <w:rsid w:val="00646BAE"/>
    <w:rsid w:val="00647971"/>
    <w:rsid w:val="00656F80"/>
    <w:rsid w:val="00660A2C"/>
    <w:rsid w:val="00660E79"/>
    <w:rsid w:val="006705CC"/>
    <w:rsid w:val="00681EB6"/>
    <w:rsid w:val="006C4FC7"/>
    <w:rsid w:val="006D518E"/>
    <w:rsid w:val="00712119"/>
    <w:rsid w:val="00722D29"/>
    <w:rsid w:val="00725E01"/>
    <w:rsid w:val="00752568"/>
    <w:rsid w:val="00771872"/>
    <w:rsid w:val="0077240D"/>
    <w:rsid w:val="007824C2"/>
    <w:rsid w:val="00785D6A"/>
    <w:rsid w:val="00797413"/>
    <w:rsid w:val="007A6F25"/>
    <w:rsid w:val="007B0CB7"/>
    <w:rsid w:val="007B4810"/>
    <w:rsid w:val="007B5604"/>
    <w:rsid w:val="007B7150"/>
    <w:rsid w:val="007E5167"/>
    <w:rsid w:val="007F1380"/>
    <w:rsid w:val="007F6DE8"/>
    <w:rsid w:val="008075C1"/>
    <w:rsid w:val="008102CA"/>
    <w:rsid w:val="00826999"/>
    <w:rsid w:val="00842B8B"/>
    <w:rsid w:val="00855563"/>
    <w:rsid w:val="00856BCE"/>
    <w:rsid w:val="00865D20"/>
    <w:rsid w:val="00867981"/>
    <w:rsid w:val="00875907"/>
    <w:rsid w:val="008948BB"/>
    <w:rsid w:val="008B43D6"/>
    <w:rsid w:val="008B5193"/>
    <w:rsid w:val="008B73C2"/>
    <w:rsid w:val="008C7C40"/>
    <w:rsid w:val="008D07BD"/>
    <w:rsid w:val="008D4415"/>
    <w:rsid w:val="008D6C43"/>
    <w:rsid w:val="008F5105"/>
    <w:rsid w:val="009055FB"/>
    <w:rsid w:val="00905E85"/>
    <w:rsid w:val="00924B2A"/>
    <w:rsid w:val="00925CD2"/>
    <w:rsid w:val="0093506B"/>
    <w:rsid w:val="0095092C"/>
    <w:rsid w:val="009662BA"/>
    <w:rsid w:val="009A415F"/>
    <w:rsid w:val="009A44B4"/>
    <w:rsid w:val="009A710C"/>
    <w:rsid w:val="009B5669"/>
    <w:rsid w:val="009C0090"/>
    <w:rsid w:val="009C51FC"/>
    <w:rsid w:val="009E1E20"/>
    <w:rsid w:val="009F4B58"/>
    <w:rsid w:val="00A116C6"/>
    <w:rsid w:val="00A13D27"/>
    <w:rsid w:val="00A86A9F"/>
    <w:rsid w:val="00A95637"/>
    <w:rsid w:val="00AB1824"/>
    <w:rsid w:val="00AC3C9A"/>
    <w:rsid w:val="00AD6809"/>
    <w:rsid w:val="00AE53BD"/>
    <w:rsid w:val="00B13EC3"/>
    <w:rsid w:val="00B16476"/>
    <w:rsid w:val="00B30199"/>
    <w:rsid w:val="00B50838"/>
    <w:rsid w:val="00B51292"/>
    <w:rsid w:val="00B55EB3"/>
    <w:rsid w:val="00B83D57"/>
    <w:rsid w:val="00B87A8D"/>
    <w:rsid w:val="00B936CC"/>
    <w:rsid w:val="00B97406"/>
    <w:rsid w:val="00BA3FBE"/>
    <w:rsid w:val="00BC3120"/>
    <w:rsid w:val="00BD53F6"/>
    <w:rsid w:val="00BE6F9A"/>
    <w:rsid w:val="00BF6406"/>
    <w:rsid w:val="00C02618"/>
    <w:rsid w:val="00C14E9A"/>
    <w:rsid w:val="00C24416"/>
    <w:rsid w:val="00C33D08"/>
    <w:rsid w:val="00C42247"/>
    <w:rsid w:val="00C43086"/>
    <w:rsid w:val="00C44203"/>
    <w:rsid w:val="00C51C00"/>
    <w:rsid w:val="00C6555E"/>
    <w:rsid w:val="00C664F4"/>
    <w:rsid w:val="00C766F6"/>
    <w:rsid w:val="00C93046"/>
    <w:rsid w:val="00CA014A"/>
    <w:rsid w:val="00CA12D9"/>
    <w:rsid w:val="00CB1753"/>
    <w:rsid w:val="00CB42BA"/>
    <w:rsid w:val="00CC1726"/>
    <w:rsid w:val="00CD5B13"/>
    <w:rsid w:val="00CF00C1"/>
    <w:rsid w:val="00D0736B"/>
    <w:rsid w:val="00D37F46"/>
    <w:rsid w:val="00D5502D"/>
    <w:rsid w:val="00D75774"/>
    <w:rsid w:val="00DB2B6D"/>
    <w:rsid w:val="00DB2F04"/>
    <w:rsid w:val="00DC7749"/>
    <w:rsid w:val="00DF33C0"/>
    <w:rsid w:val="00E03910"/>
    <w:rsid w:val="00E12626"/>
    <w:rsid w:val="00E151E1"/>
    <w:rsid w:val="00E42BF5"/>
    <w:rsid w:val="00E517D1"/>
    <w:rsid w:val="00E5365D"/>
    <w:rsid w:val="00E65D57"/>
    <w:rsid w:val="00E663A6"/>
    <w:rsid w:val="00E7153E"/>
    <w:rsid w:val="00EA5731"/>
    <w:rsid w:val="00F15297"/>
    <w:rsid w:val="00F3607A"/>
    <w:rsid w:val="00F40CA8"/>
    <w:rsid w:val="00F42605"/>
    <w:rsid w:val="00F4643F"/>
    <w:rsid w:val="00F5403D"/>
    <w:rsid w:val="00F76566"/>
    <w:rsid w:val="00F87DBF"/>
    <w:rsid w:val="00F9336F"/>
    <w:rsid w:val="00FD420B"/>
    <w:rsid w:val="00FE0B68"/>
    <w:rsid w:val="00FF75E8"/>
    <w:rsid w:val="00FF77F3"/>
    <w:rsid w:val="01286562"/>
    <w:rsid w:val="01311D17"/>
    <w:rsid w:val="01AE5688"/>
    <w:rsid w:val="01E70628"/>
    <w:rsid w:val="03FA6D38"/>
    <w:rsid w:val="0506170D"/>
    <w:rsid w:val="05143FCE"/>
    <w:rsid w:val="055F2BCB"/>
    <w:rsid w:val="057335C1"/>
    <w:rsid w:val="068C5C42"/>
    <w:rsid w:val="06EC66E0"/>
    <w:rsid w:val="07464042"/>
    <w:rsid w:val="07526A91"/>
    <w:rsid w:val="07943000"/>
    <w:rsid w:val="07FC0BA5"/>
    <w:rsid w:val="0854278F"/>
    <w:rsid w:val="092B7994"/>
    <w:rsid w:val="095A2027"/>
    <w:rsid w:val="09A514F4"/>
    <w:rsid w:val="09F064E7"/>
    <w:rsid w:val="09F935EE"/>
    <w:rsid w:val="0A0B0D13"/>
    <w:rsid w:val="0A206DCD"/>
    <w:rsid w:val="0B05761E"/>
    <w:rsid w:val="0B1526A9"/>
    <w:rsid w:val="0C0E77A3"/>
    <w:rsid w:val="0C547201"/>
    <w:rsid w:val="0CB35CD6"/>
    <w:rsid w:val="0D074274"/>
    <w:rsid w:val="0D6214AA"/>
    <w:rsid w:val="0D7E7B62"/>
    <w:rsid w:val="0DA900B3"/>
    <w:rsid w:val="0E034A3B"/>
    <w:rsid w:val="0E10441A"/>
    <w:rsid w:val="0E7F45D4"/>
    <w:rsid w:val="0EC71F0D"/>
    <w:rsid w:val="0EE24651"/>
    <w:rsid w:val="0EE41D10"/>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7B2302E"/>
    <w:rsid w:val="185A794E"/>
    <w:rsid w:val="188744BB"/>
    <w:rsid w:val="18A1557C"/>
    <w:rsid w:val="19185113"/>
    <w:rsid w:val="19406B43"/>
    <w:rsid w:val="19662C41"/>
    <w:rsid w:val="197E766C"/>
    <w:rsid w:val="198729C4"/>
    <w:rsid w:val="1A613215"/>
    <w:rsid w:val="1BAD248A"/>
    <w:rsid w:val="1C181028"/>
    <w:rsid w:val="1D4A25C9"/>
    <w:rsid w:val="1D737FD3"/>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0E40E7"/>
    <w:rsid w:val="23411E36"/>
    <w:rsid w:val="235054FF"/>
    <w:rsid w:val="23DB11C1"/>
    <w:rsid w:val="23ED7DE4"/>
    <w:rsid w:val="240370EB"/>
    <w:rsid w:val="242C755F"/>
    <w:rsid w:val="24CF521F"/>
    <w:rsid w:val="251D626C"/>
    <w:rsid w:val="25590EF0"/>
    <w:rsid w:val="268D7140"/>
    <w:rsid w:val="26B97F35"/>
    <w:rsid w:val="271D6716"/>
    <w:rsid w:val="272C6959"/>
    <w:rsid w:val="273E668C"/>
    <w:rsid w:val="276C144B"/>
    <w:rsid w:val="27750300"/>
    <w:rsid w:val="27B61CB7"/>
    <w:rsid w:val="27F422C9"/>
    <w:rsid w:val="28072F22"/>
    <w:rsid w:val="28836A4D"/>
    <w:rsid w:val="290F02E0"/>
    <w:rsid w:val="29156709"/>
    <w:rsid w:val="297B3BC8"/>
    <w:rsid w:val="298C1931"/>
    <w:rsid w:val="29CE021D"/>
    <w:rsid w:val="2A697EC4"/>
    <w:rsid w:val="2ABC535A"/>
    <w:rsid w:val="2B2A7653"/>
    <w:rsid w:val="2B6568DD"/>
    <w:rsid w:val="2B717030"/>
    <w:rsid w:val="2B7D3C27"/>
    <w:rsid w:val="2B844FB6"/>
    <w:rsid w:val="2C8C39F6"/>
    <w:rsid w:val="2C9C632F"/>
    <w:rsid w:val="2CE60A95"/>
    <w:rsid w:val="2CFE6F5D"/>
    <w:rsid w:val="2D546C0A"/>
    <w:rsid w:val="2D6C0E2C"/>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65DA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3F9B4224"/>
    <w:rsid w:val="3FF35E0E"/>
    <w:rsid w:val="40062655"/>
    <w:rsid w:val="407F3B46"/>
    <w:rsid w:val="409C0254"/>
    <w:rsid w:val="409F1AF2"/>
    <w:rsid w:val="40A84E4B"/>
    <w:rsid w:val="40B97058"/>
    <w:rsid w:val="40E24E97"/>
    <w:rsid w:val="412C5A7C"/>
    <w:rsid w:val="4168282C"/>
    <w:rsid w:val="41C55E67"/>
    <w:rsid w:val="42064A3F"/>
    <w:rsid w:val="42213106"/>
    <w:rsid w:val="42332E3A"/>
    <w:rsid w:val="427D40B5"/>
    <w:rsid w:val="42C27D1A"/>
    <w:rsid w:val="439B2A45"/>
    <w:rsid w:val="43B81849"/>
    <w:rsid w:val="44365E73"/>
    <w:rsid w:val="445B21D4"/>
    <w:rsid w:val="451F1453"/>
    <w:rsid w:val="45652C74"/>
    <w:rsid w:val="45763769"/>
    <w:rsid w:val="4597548E"/>
    <w:rsid w:val="45A02594"/>
    <w:rsid w:val="462F1B6A"/>
    <w:rsid w:val="46414FFC"/>
    <w:rsid w:val="464B7318"/>
    <w:rsid w:val="47217705"/>
    <w:rsid w:val="47AB4BD7"/>
    <w:rsid w:val="47FE35A2"/>
    <w:rsid w:val="4823125B"/>
    <w:rsid w:val="483671E0"/>
    <w:rsid w:val="48746863"/>
    <w:rsid w:val="48B12D0A"/>
    <w:rsid w:val="48B65D2E"/>
    <w:rsid w:val="48CA7928"/>
    <w:rsid w:val="499C7517"/>
    <w:rsid w:val="49D071C0"/>
    <w:rsid w:val="49DE7B2F"/>
    <w:rsid w:val="49F424A8"/>
    <w:rsid w:val="49F904C5"/>
    <w:rsid w:val="4A1C2405"/>
    <w:rsid w:val="4ABB39CC"/>
    <w:rsid w:val="4AC9298F"/>
    <w:rsid w:val="4B3115EC"/>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3D55AFF"/>
    <w:rsid w:val="550F5041"/>
    <w:rsid w:val="551560AA"/>
    <w:rsid w:val="55410F72"/>
    <w:rsid w:val="558E1B65"/>
    <w:rsid w:val="55A559A5"/>
    <w:rsid w:val="560B1CAC"/>
    <w:rsid w:val="564822B6"/>
    <w:rsid w:val="56E55F4F"/>
    <w:rsid w:val="57802226"/>
    <w:rsid w:val="57AD28EF"/>
    <w:rsid w:val="57AF2EE7"/>
    <w:rsid w:val="57D63BF4"/>
    <w:rsid w:val="583D0117"/>
    <w:rsid w:val="58472D43"/>
    <w:rsid w:val="58823D7B"/>
    <w:rsid w:val="58864BDC"/>
    <w:rsid w:val="58B8779D"/>
    <w:rsid w:val="590D7AE9"/>
    <w:rsid w:val="59101387"/>
    <w:rsid w:val="598A113A"/>
    <w:rsid w:val="59AF0BA0"/>
    <w:rsid w:val="5A517530"/>
    <w:rsid w:val="5A731BCE"/>
    <w:rsid w:val="5AA4622B"/>
    <w:rsid w:val="5AE26D53"/>
    <w:rsid w:val="5B372BFB"/>
    <w:rsid w:val="5B8027F4"/>
    <w:rsid w:val="5BB85C75"/>
    <w:rsid w:val="5BD11AA4"/>
    <w:rsid w:val="5C471564"/>
    <w:rsid w:val="5C4C0928"/>
    <w:rsid w:val="5D8C7ADA"/>
    <w:rsid w:val="5DF2411B"/>
    <w:rsid w:val="5FD17AC2"/>
    <w:rsid w:val="5FE95E21"/>
    <w:rsid w:val="601E5FEC"/>
    <w:rsid w:val="602776E2"/>
    <w:rsid w:val="60491497"/>
    <w:rsid w:val="607E751E"/>
    <w:rsid w:val="60A14042"/>
    <w:rsid w:val="60DA0450"/>
    <w:rsid w:val="61105323"/>
    <w:rsid w:val="61954B1F"/>
    <w:rsid w:val="624A590A"/>
    <w:rsid w:val="62960B4F"/>
    <w:rsid w:val="62966DA1"/>
    <w:rsid w:val="62C456BC"/>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4E1D0F"/>
    <w:rsid w:val="6A721EA2"/>
    <w:rsid w:val="6AC4614D"/>
    <w:rsid w:val="6AF1726A"/>
    <w:rsid w:val="6B036F9E"/>
    <w:rsid w:val="6B2A7E03"/>
    <w:rsid w:val="6B2D5DC9"/>
    <w:rsid w:val="6B2D6E6C"/>
    <w:rsid w:val="6B3C7DBA"/>
    <w:rsid w:val="6B6A2B79"/>
    <w:rsid w:val="6BC24763"/>
    <w:rsid w:val="6BC93D43"/>
    <w:rsid w:val="6BCF2DD3"/>
    <w:rsid w:val="6BD66460"/>
    <w:rsid w:val="6C1D5E3D"/>
    <w:rsid w:val="6C573BE7"/>
    <w:rsid w:val="6CF920E8"/>
    <w:rsid w:val="6D800432"/>
    <w:rsid w:val="6DBB590E"/>
    <w:rsid w:val="6E35746E"/>
    <w:rsid w:val="6E8C1058"/>
    <w:rsid w:val="6ED00F45"/>
    <w:rsid w:val="6EDC3D8E"/>
    <w:rsid w:val="6F6728DA"/>
    <w:rsid w:val="70B7060E"/>
    <w:rsid w:val="70CB230C"/>
    <w:rsid w:val="71662149"/>
    <w:rsid w:val="71CF1988"/>
    <w:rsid w:val="723143F0"/>
    <w:rsid w:val="72824C4C"/>
    <w:rsid w:val="72994DC2"/>
    <w:rsid w:val="72B648F6"/>
    <w:rsid w:val="733F0D8F"/>
    <w:rsid w:val="73A56E44"/>
    <w:rsid w:val="73B8604B"/>
    <w:rsid w:val="74145D78"/>
    <w:rsid w:val="74213FF1"/>
    <w:rsid w:val="74343D24"/>
    <w:rsid w:val="74505DF9"/>
    <w:rsid w:val="745443C6"/>
    <w:rsid w:val="75232716"/>
    <w:rsid w:val="75271ADB"/>
    <w:rsid w:val="75C74C13"/>
    <w:rsid w:val="75F06371"/>
    <w:rsid w:val="760B4F58"/>
    <w:rsid w:val="76497D1C"/>
    <w:rsid w:val="76A01B45"/>
    <w:rsid w:val="76AA4771"/>
    <w:rsid w:val="76CE249E"/>
    <w:rsid w:val="76F8372F"/>
    <w:rsid w:val="77112A42"/>
    <w:rsid w:val="77244524"/>
    <w:rsid w:val="778B00FF"/>
    <w:rsid w:val="779C055E"/>
    <w:rsid w:val="77EF68E0"/>
    <w:rsid w:val="77FF289B"/>
    <w:rsid w:val="780F6F82"/>
    <w:rsid w:val="784B19A6"/>
    <w:rsid w:val="791D56CF"/>
    <w:rsid w:val="794B223C"/>
    <w:rsid w:val="7A344A7E"/>
    <w:rsid w:val="7AB43E11"/>
    <w:rsid w:val="7ADB139D"/>
    <w:rsid w:val="7B303D34"/>
    <w:rsid w:val="7B7F61CD"/>
    <w:rsid w:val="7BFF10BB"/>
    <w:rsid w:val="7C09018C"/>
    <w:rsid w:val="7C5C02BC"/>
    <w:rsid w:val="7C7E46D6"/>
    <w:rsid w:val="7DED1B13"/>
    <w:rsid w:val="7DF033B2"/>
    <w:rsid w:val="7E4E00D8"/>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autoRedefine/>
    <w:semiHidden/>
    <w:unhideWhenUsed/>
    <w:qFormat/>
    <w:uiPriority w:val="99"/>
    <w:pPr>
      <w:ind w:left="100" w:leftChars="2500"/>
    </w:pPr>
  </w:style>
  <w:style w:type="paragraph" w:styleId="3">
    <w:name w:val="Balloon Text"/>
    <w:basedOn w:val="1"/>
    <w:link w:val="15"/>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Hyperlink"/>
    <w:basedOn w:val="8"/>
    <w:autoRedefine/>
    <w:unhideWhenUsed/>
    <w:qFormat/>
    <w:uiPriority w:val="99"/>
    <w:rPr>
      <w:color w:val="0000FF" w:themeColor="hyperlink"/>
      <w:u w:val="single"/>
      <w14:textFill>
        <w14:solidFill>
          <w14:schemeClr w14:val="hlink"/>
        </w14:solidFill>
      </w14:textFill>
    </w:rPr>
  </w:style>
  <w:style w:type="character" w:customStyle="1" w:styleId="11">
    <w:name w:val="页眉 Char"/>
    <w:basedOn w:val="8"/>
    <w:link w:val="5"/>
    <w:autoRedefine/>
    <w:qFormat/>
    <w:uiPriority w:val="99"/>
    <w:rPr>
      <w:sz w:val="18"/>
      <w:szCs w:val="18"/>
    </w:rPr>
  </w:style>
  <w:style w:type="character" w:customStyle="1" w:styleId="12">
    <w:name w:val="页脚 Char"/>
    <w:basedOn w:val="8"/>
    <w:link w:val="4"/>
    <w:autoRedefine/>
    <w:qFormat/>
    <w:uiPriority w:val="99"/>
    <w:rPr>
      <w:sz w:val="18"/>
      <w:szCs w:val="18"/>
    </w:rPr>
  </w:style>
  <w:style w:type="character" w:customStyle="1" w:styleId="13">
    <w:name w:val="日期 Char"/>
    <w:basedOn w:val="8"/>
    <w:link w:val="2"/>
    <w:autoRedefine/>
    <w:semiHidden/>
    <w:qFormat/>
    <w:uiPriority w:val="99"/>
  </w:style>
  <w:style w:type="paragraph" w:styleId="14">
    <w:name w:val="List Paragraph"/>
    <w:basedOn w:val="1"/>
    <w:autoRedefine/>
    <w:qFormat/>
    <w:uiPriority w:val="99"/>
    <w:pPr>
      <w:ind w:firstLine="420" w:firstLineChars="200"/>
    </w:pPr>
  </w:style>
  <w:style w:type="character" w:customStyle="1" w:styleId="15">
    <w:name w:val="批注框文本 Char"/>
    <w:basedOn w:val="8"/>
    <w:link w:val="3"/>
    <w:autoRedefine/>
    <w:semiHidden/>
    <w:qFormat/>
    <w:uiPriority w:val="99"/>
    <w:rPr>
      <w:kern w:val="2"/>
      <w:sz w:val="18"/>
      <w:szCs w:val="18"/>
    </w:rPr>
  </w:style>
  <w:style w:type="character" w:customStyle="1" w:styleId="16">
    <w:name w:val="font21"/>
    <w:basedOn w:val="8"/>
    <w:autoRedefine/>
    <w:qFormat/>
    <w:uiPriority w:val="0"/>
    <w:rPr>
      <w:rFonts w:hint="eastAsia" w:ascii="宋体" w:hAnsi="宋体" w:eastAsia="宋体" w:cs="宋体"/>
      <w:color w:val="000000"/>
      <w:sz w:val="18"/>
      <w:szCs w:val="18"/>
      <w:u w:val="none"/>
    </w:rPr>
  </w:style>
  <w:style w:type="character" w:customStyle="1" w:styleId="17">
    <w:name w:val="font31"/>
    <w:basedOn w:val="8"/>
    <w:autoRedefine/>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8948</Words>
  <Characters>9611</Characters>
  <Lines>72</Lines>
  <Paragraphs>20</Paragraphs>
  <TotalTime>36</TotalTime>
  <ScaleCrop>false</ScaleCrop>
  <LinksUpToDate>false</LinksUpToDate>
  <CharactersWithSpaces>9818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片片～</cp:lastModifiedBy>
  <dcterms:modified xsi:type="dcterms:W3CDTF">2024-10-05T07:58:50Z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0A1674B985144A07BFE29569C5EEB3FF_13</vt:lpwstr>
  </property>
</Properties>
</file>