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DE64B">
      <w:pPr>
        <w:keepNext w:val="0"/>
        <w:keepLines w:val="0"/>
        <w:pageBreakBefore w:val="0"/>
        <w:widowControl w:val="0"/>
        <w:kinsoku/>
        <w:wordWrap/>
        <w:overflowPunct/>
        <w:topLinePunct w:val="0"/>
        <w:autoSpaceDE/>
        <w:autoSpaceDN/>
        <w:bidi w:val="0"/>
        <w:adjustRightInd/>
        <w:snapToGrid/>
        <w:spacing w:after="157" w:afterLines="50" w:line="480" w:lineRule="exact"/>
        <w:jc w:val="center"/>
        <w:textAlignment w:val="auto"/>
        <w:rPr>
          <w:rFonts w:hint="eastAsia" w:ascii="方正小标宋简体" w:hAnsi="方正小标宋简体" w:eastAsia="方正小标宋简体" w:cs="方正小标宋简体"/>
          <w:b/>
          <w:bCs/>
          <w:color w:val="auto"/>
          <w:sz w:val="44"/>
          <w:szCs w:val="52"/>
          <w:highlight w:val="none"/>
          <w:lang w:val="en-US" w:eastAsia="zh-CN"/>
        </w:rPr>
      </w:pPr>
      <w:r>
        <w:rPr>
          <w:rFonts w:hint="eastAsia" w:ascii="方正小标宋简体" w:hAnsi="方正小标宋简体" w:eastAsia="方正小标宋简体" w:cs="方正小标宋简体"/>
          <w:b/>
          <w:bCs/>
          <w:color w:val="auto"/>
          <w:sz w:val="44"/>
          <w:szCs w:val="52"/>
          <w:highlight w:val="none"/>
          <w:lang w:val="en-US" w:eastAsia="zh-CN"/>
        </w:rPr>
        <w:t>横峰尚城国际19号楼商业综合体</w:t>
      </w:r>
    </w:p>
    <w:p w14:paraId="5A002CDB">
      <w:pPr>
        <w:keepNext w:val="0"/>
        <w:keepLines w:val="0"/>
        <w:pageBreakBefore w:val="0"/>
        <w:widowControl w:val="0"/>
        <w:kinsoku/>
        <w:wordWrap/>
        <w:overflowPunct/>
        <w:topLinePunct w:val="0"/>
        <w:autoSpaceDE/>
        <w:autoSpaceDN/>
        <w:bidi w:val="0"/>
        <w:adjustRightInd/>
        <w:snapToGrid/>
        <w:spacing w:after="157" w:afterLines="50" w:line="480" w:lineRule="exact"/>
        <w:jc w:val="center"/>
        <w:textAlignment w:val="auto"/>
        <w:rPr>
          <w:rFonts w:hint="eastAsia" w:ascii="方正小标宋简体" w:hAnsi="方正小标宋简体" w:eastAsia="方正小标宋简体" w:cs="方正小标宋简体"/>
          <w:b/>
          <w:bCs/>
          <w:color w:val="auto"/>
          <w:sz w:val="44"/>
          <w:szCs w:val="52"/>
          <w:highlight w:val="none"/>
          <w:lang w:val="en-US" w:eastAsia="zh-CN"/>
        </w:rPr>
      </w:pPr>
      <w:r>
        <w:rPr>
          <w:rFonts w:hint="eastAsia" w:ascii="方正小标宋简体" w:hAnsi="方正小标宋简体" w:eastAsia="方正小标宋简体" w:cs="方正小标宋简体"/>
          <w:b/>
          <w:bCs/>
          <w:color w:val="auto"/>
          <w:sz w:val="44"/>
          <w:szCs w:val="52"/>
          <w:highlight w:val="none"/>
          <w:lang w:val="en-US" w:eastAsia="zh-CN"/>
        </w:rPr>
        <w:t>投资人招募公告</w:t>
      </w:r>
    </w:p>
    <w:p w14:paraId="06B598FE">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color w:val="auto"/>
          <w:sz w:val="28"/>
          <w:szCs w:val="36"/>
          <w:highlight w:val="none"/>
          <w:lang w:val="en-US" w:eastAsia="zh-CN"/>
        </w:rPr>
      </w:pPr>
      <w:r>
        <w:rPr>
          <w:rFonts w:hint="default" w:ascii="仿宋" w:hAnsi="仿宋" w:eastAsia="仿宋" w:cs="仿宋"/>
          <w:color w:val="auto"/>
          <w:sz w:val="28"/>
          <w:szCs w:val="36"/>
          <w:highlight w:val="none"/>
          <w:lang w:val="en-US" w:eastAsia="zh-CN"/>
        </w:rPr>
        <w:t>2024年1月3日，</w:t>
      </w:r>
      <w:r>
        <w:rPr>
          <w:rFonts w:hint="eastAsia" w:ascii="仿宋" w:hAnsi="仿宋" w:eastAsia="仿宋" w:cs="仿宋"/>
          <w:color w:val="auto"/>
          <w:sz w:val="28"/>
          <w:szCs w:val="36"/>
          <w:highlight w:val="none"/>
          <w:lang w:val="en-US" w:eastAsia="zh-CN"/>
        </w:rPr>
        <w:t>江西省横峰县人民法院裁定受理上饶市和煜房地产开发有限公司（以下简称“和煜公司”）破产重整一案</w:t>
      </w:r>
      <w:r>
        <w:rPr>
          <w:rFonts w:hint="default" w:ascii="仿宋" w:hAnsi="仿宋" w:eastAsia="仿宋" w:cs="仿宋"/>
          <w:color w:val="auto"/>
          <w:sz w:val="28"/>
          <w:szCs w:val="36"/>
          <w:highlight w:val="none"/>
          <w:lang w:val="en-US" w:eastAsia="zh-CN"/>
        </w:rPr>
        <w:t>，同日指定江西公仁律师事务所担任上饶市和煜房地产开发有限公司</w:t>
      </w:r>
      <w:r>
        <w:rPr>
          <w:rFonts w:hint="eastAsia" w:ascii="仿宋" w:hAnsi="仿宋" w:eastAsia="仿宋" w:cs="仿宋"/>
          <w:color w:val="auto"/>
          <w:sz w:val="28"/>
          <w:szCs w:val="36"/>
          <w:highlight w:val="none"/>
          <w:lang w:val="en-US" w:eastAsia="zh-CN"/>
        </w:rPr>
        <w:t>管理人（以下简称“管理人”）</w:t>
      </w:r>
      <w:r>
        <w:rPr>
          <w:rFonts w:hint="default" w:ascii="仿宋" w:hAnsi="仿宋" w:eastAsia="仿宋" w:cs="仿宋"/>
          <w:color w:val="auto"/>
          <w:sz w:val="28"/>
          <w:szCs w:val="36"/>
          <w:highlight w:val="none"/>
          <w:lang w:val="en-US" w:eastAsia="zh-CN"/>
        </w:rPr>
        <w:t>。</w:t>
      </w:r>
    </w:p>
    <w:p w14:paraId="7D9FE1C7">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横峰县“尚城国际”项目由和煜公司开发建设，项目共分为三期：一期9-18号楼已竣工验收并交付使用；二期1-8号楼由横峰城投集团旗下子公司江西海麟建设工程有限责任公司续建施工，现基本完成续建整改，暂未竣工验收；</w:t>
      </w:r>
      <w:r>
        <w:rPr>
          <w:rFonts w:hint="eastAsia" w:ascii="仿宋" w:hAnsi="仿宋" w:eastAsia="仿宋" w:cs="仿宋"/>
          <w:b/>
          <w:bCs/>
          <w:color w:val="auto"/>
          <w:sz w:val="28"/>
          <w:szCs w:val="36"/>
          <w:highlight w:val="none"/>
          <w:lang w:val="en-US" w:eastAsia="zh-CN"/>
        </w:rPr>
        <w:t>三期19号楼商业综合体已停工，暂未竣工验收，未进行预售</w:t>
      </w:r>
      <w:r>
        <w:rPr>
          <w:rFonts w:hint="eastAsia" w:ascii="仿宋" w:hAnsi="仿宋" w:eastAsia="仿宋" w:cs="仿宋"/>
          <w:color w:val="auto"/>
          <w:sz w:val="28"/>
          <w:szCs w:val="36"/>
          <w:highlight w:val="none"/>
          <w:lang w:val="en-US" w:eastAsia="zh-CN"/>
        </w:rPr>
        <w:t>。管理人拟处置横峰尚城国际19号楼商业综合体，面向全国公开招募投资人，具体如下</w:t>
      </w:r>
      <w:r>
        <w:rPr>
          <w:rFonts w:hint="default" w:ascii="仿宋" w:hAnsi="仿宋" w:eastAsia="仿宋" w:cs="仿宋"/>
          <w:color w:val="auto"/>
          <w:sz w:val="28"/>
          <w:szCs w:val="36"/>
          <w:highlight w:val="none"/>
          <w:lang w:val="en-US" w:eastAsia="zh-CN"/>
        </w:rPr>
        <w:t>：</w:t>
      </w:r>
    </w:p>
    <w:p w14:paraId="5FEBB5A5">
      <w:pPr>
        <w:keepNext w:val="0"/>
        <w:keepLines w:val="0"/>
        <w:pageBreakBefore w:val="0"/>
        <w:widowControl w:val="0"/>
        <w:kinsoku/>
        <w:wordWrap/>
        <w:overflowPunct/>
        <w:topLinePunct w:val="0"/>
        <w:autoSpaceDE/>
        <w:autoSpaceDN/>
        <w:bidi w:val="0"/>
        <w:adjustRightInd/>
        <w:snapToGrid/>
        <w:spacing w:line="480" w:lineRule="exact"/>
        <w:ind w:firstLine="643" w:firstLineChars="200"/>
        <w:jc w:val="both"/>
        <w:textAlignment w:val="auto"/>
        <w:rPr>
          <w:rFonts w:hint="default" w:ascii="仿宋" w:hAnsi="仿宋" w:eastAsia="仿宋" w:cs="仿宋"/>
          <w:b/>
          <w:bCs/>
          <w:color w:val="auto"/>
          <w:sz w:val="32"/>
          <w:szCs w:val="40"/>
          <w:highlight w:val="none"/>
          <w:lang w:val="en-US" w:eastAsia="zh-CN"/>
        </w:rPr>
      </w:pPr>
      <w:r>
        <w:rPr>
          <w:rFonts w:hint="eastAsia" w:ascii="仿宋" w:hAnsi="仿宋" w:eastAsia="仿宋" w:cs="仿宋"/>
          <w:b/>
          <w:bCs/>
          <w:color w:val="auto"/>
          <w:sz w:val="32"/>
          <w:szCs w:val="40"/>
          <w:highlight w:val="none"/>
          <w:lang w:val="en-US" w:eastAsia="zh-CN"/>
        </w:rPr>
        <w:t>一、和煜公司概况</w:t>
      </w:r>
    </w:p>
    <w:p w14:paraId="16C638B4">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both"/>
        <w:textAlignment w:val="auto"/>
        <w:rPr>
          <w:rFonts w:hint="default" w:ascii="仿宋" w:hAnsi="仿宋" w:eastAsia="仿宋" w:cs="仿宋"/>
          <w:b/>
          <w:bCs/>
          <w:color w:val="auto"/>
          <w:sz w:val="28"/>
          <w:szCs w:val="36"/>
          <w:highlight w:val="none"/>
          <w:lang w:val="en-US" w:eastAsia="zh-CN"/>
        </w:rPr>
      </w:pPr>
      <w:r>
        <w:rPr>
          <w:rFonts w:hint="eastAsia" w:ascii="仿宋" w:hAnsi="仿宋" w:eastAsia="仿宋" w:cs="仿宋"/>
          <w:b/>
          <w:bCs/>
          <w:color w:val="auto"/>
          <w:sz w:val="28"/>
          <w:szCs w:val="36"/>
          <w:highlight w:val="none"/>
          <w:lang w:val="en-US" w:eastAsia="zh-CN"/>
        </w:rPr>
        <w:t>（一）工商登记信息</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0"/>
        <w:gridCol w:w="6372"/>
      </w:tblGrid>
      <w:tr w14:paraId="738DE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0" w:type="dxa"/>
          </w:tcPr>
          <w:p w14:paraId="53CFA2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名称</w:t>
            </w:r>
          </w:p>
        </w:tc>
        <w:tc>
          <w:tcPr>
            <w:tcW w:w="6372" w:type="dxa"/>
          </w:tcPr>
          <w:p w14:paraId="61558A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上饶市和煜房地产开发有限公司</w:t>
            </w:r>
          </w:p>
        </w:tc>
      </w:tr>
      <w:tr w14:paraId="2C3E5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0" w:type="dxa"/>
          </w:tcPr>
          <w:p w14:paraId="76A449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统一社会信用代码</w:t>
            </w:r>
          </w:p>
        </w:tc>
        <w:tc>
          <w:tcPr>
            <w:tcW w:w="6372" w:type="dxa"/>
          </w:tcPr>
          <w:p w14:paraId="7E85F3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913611255560125683</w:t>
            </w:r>
          </w:p>
        </w:tc>
      </w:tr>
      <w:tr w14:paraId="06F29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0" w:type="dxa"/>
          </w:tcPr>
          <w:p w14:paraId="37D21D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住所</w:t>
            </w:r>
          </w:p>
        </w:tc>
        <w:tc>
          <w:tcPr>
            <w:tcW w:w="6372" w:type="dxa"/>
          </w:tcPr>
          <w:p w14:paraId="387C70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江西省上饶市横峰县岑阳镇兴安街136号尚城国际18号楼</w:t>
            </w:r>
          </w:p>
        </w:tc>
      </w:tr>
      <w:tr w14:paraId="76995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0" w:type="dxa"/>
          </w:tcPr>
          <w:p w14:paraId="095560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公司类型</w:t>
            </w:r>
          </w:p>
        </w:tc>
        <w:tc>
          <w:tcPr>
            <w:tcW w:w="6372" w:type="dxa"/>
          </w:tcPr>
          <w:p w14:paraId="4C8B78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有限责任公司（自然人投资或控股）</w:t>
            </w:r>
          </w:p>
        </w:tc>
      </w:tr>
      <w:tr w14:paraId="65CC9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0" w:type="dxa"/>
          </w:tcPr>
          <w:p w14:paraId="26E0D5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法定代表人</w:t>
            </w:r>
          </w:p>
        </w:tc>
        <w:tc>
          <w:tcPr>
            <w:tcW w:w="6372" w:type="dxa"/>
          </w:tcPr>
          <w:p w14:paraId="0441CD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王志华</w:t>
            </w:r>
          </w:p>
        </w:tc>
      </w:tr>
      <w:tr w14:paraId="06034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0" w:type="dxa"/>
          </w:tcPr>
          <w:p w14:paraId="1B2F63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注册资本</w:t>
            </w:r>
          </w:p>
        </w:tc>
        <w:tc>
          <w:tcPr>
            <w:tcW w:w="6372" w:type="dxa"/>
          </w:tcPr>
          <w:p w14:paraId="49B66B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3000万元</w:t>
            </w:r>
            <w:r>
              <w:rPr>
                <w:rFonts w:hint="eastAsia" w:ascii="仿宋" w:hAnsi="仿宋" w:eastAsia="仿宋" w:cs="仿宋"/>
                <w:color w:val="auto"/>
                <w:sz w:val="24"/>
                <w:szCs w:val="32"/>
                <w:highlight w:val="none"/>
                <w:vertAlign w:val="baseline"/>
                <w:lang w:val="en-US" w:eastAsia="zh-CN"/>
              </w:rPr>
              <w:t>人民币</w:t>
            </w:r>
          </w:p>
        </w:tc>
      </w:tr>
      <w:tr w14:paraId="3D9E0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0" w:type="dxa"/>
          </w:tcPr>
          <w:p w14:paraId="2002F3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成立日期</w:t>
            </w:r>
          </w:p>
        </w:tc>
        <w:tc>
          <w:tcPr>
            <w:tcW w:w="6372" w:type="dxa"/>
          </w:tcPr>
          <w:p w14:paraId="18848C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2010-05-27</w:t>
            </w:r>
          </w:p>
        </w:tc>
      </w:tr>
      <w:tr w14:paraId="5B4BC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0" w:type="dxa"/>
          </w:tcPr>
          <w:p w14:paraId="29F297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经营范围</w:t>
            </w:r>
          </w:p>
        </w:tc>
        <w:tc>
          <w:tcPr>
            <w:tcW w:w="6372" w:type="dxa"/>
          </w:tcPr>
          <w:p w14:paraId="42E866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房地产开发、销售；市场商铺经营；物业管理；住宅、商铺租赁；土石方工程。（以上项目国家有专项规定凭许可证或资质证经营）</w:t>
            </w:r>
          </w:p>
        </w:tc>
      </w:tr>
    </w:tbl>
    <w:p w14:paraId="700957DD">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both"/>
        <w:textAlignment w:val="auto"/>
        <w:rPr>
          <w:rFonts w:hint="default" w:ascii="仿宋" w:hAnsi="仿宋" w:eastAsia="仿宋" w:cs="仿宋"/>
          <w:b/>
          <w:bCs/>
          <w:color w:val="auto"/>
          <w:sz w:val="28"/>
          <w:szCs w:val="36"/>
          <w:highlight w:val="none"/>
          <w:lang w:val="en-US" w:eastAsia="zh-CN"/>
        </w:rPr>
      </w:pPr>
      <w:r>
        <w:rPr>
          <w:rFonts w:hint="eastAsia" w:ascii="仿宋" w:hAnsi="仿宋" w:eastAsia="仿宋" w:cs="仿宋"/>
          <w:b/>
          <w:bCs/>
          <w:color w:val="auto"/>
          <w:sz w:val="28"/>
          <w:szCs w:val="36"/>
          <w:highlight w:val="none"/>
          <w:lang w:val="en-US" w:eastAsia="zh-CN"/>
        </w:rPr>
        <w:t>（二）股权结构信息</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6"/>
        <w:gridCol w:w="1545"/>
        <w:gridCol w:w="1463"/>
        <w:gridCol w:w="2602"/>
        <w:gridCol w:w="2036"/>
      </w:tblGrid>
      <w:tr w14:paraId="4A52C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6" w:type="dxa"/>
          </w:tcPr>
          <w:p w14:paraId="428A34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序号</w:t>
            </w:r>
          </w:p>
        </w:tc>
        <w:tc>
          <w:tcPr>
            <w:tcW w:w="1545" w:type="dxa"/>
          </w:tcPr>
          <w:p w14:paraId="3DD211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股东</w:t>
            </w:r>
          </w:p>
        </w:tc>
        <w:tc>
          <w:tcPr>
            <w:tcW w:w="1463" w:type="dxa"/>
          </w:tcPr>
          <w:p w14:paraId="7DC76D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持股比例</w:t>
            </w:r>
          </w:p>
        </w:tc>
        <w:tc>
          <w:tcPr>
            <w:tcW w:w="2602" w:type="dxa"/>
          </w:tcPr>
          <w:p w14:paraId="4C54F8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认缴出资额（万元）</w:t>
            </w:r>
          </w:p>
        </w:tc>
        <w:tc>
          <w:tcPr>
            <w:tcW w:w="2036" w:type="dxa"/>
          </w:tcPr>
          <w:p w14:paraId="232AE1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b/>
                <w:bCs/>
                <w:color w:val="auto"/>
                <w:sz w:val="24"/>
                <w:szCs w:val="32"/>
                <w:highlight w:val="none"/>
                <w:vertAlign w:val="baseline"/>
                <w:lang w:val="en-US" w:eastAsia="zh-CN"/>
              </w:rPr>
            </w:pPr>
            <w:r>
              <w:rPr>
                <w:rFonts w:hint="eastAsia" w:ascii="仿宋" w:hAnsi="仿宋" w:eastAsia="仿宋" w:cs="仿宋"/>
                <w:b/>
                <w:bCs/>
                <w:color w:val="auto"/>
                <w:sz w:val="24"/>
                <w:szCs w:val="32"/>
                <w:highlight w:val="none"/>
                <w:vertAlign w:val="baseline"/>
                <w:lang w:val="en-US" w:eastAsia="zh-CN"/>
              </w:rPr>
              <w:t>认缴出资日期</w:t>
            </w:r>
          </w:p>
        </w:tc>
      </w:tr>
      <w:tr w14:paraId="35883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14:paraId="4443F9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仿宋" w:hAnsi="仿宋" w:eastAsia="仿宋" w:cs="仿宋"/>
                <w:color w:val="auto"/>
                <w:sz w:val="24"/>
                <w:szCs w:val="32"/>
                <w:highlight w:val="none"/>
                <w:vertAlign w:val="baseline"/>
                <w:lang w:val="en-US" w:eastAsia="zh-CN"/>
              </w:rPr>
            </w:pPr>
            <w:r>
              <w:rPr>
                <w:rFonts w:hint="eastAsia" w:ascii="仿宋" w:hAnsi="仿宋" w:eastAsia="仿宋" w:cs="仿宋"/>
                <w:color w:val="auto"/>
                <w:sz w:val="24"/>
                <w:szCs w:val="32"/>
                <w:highlight w:val="none"/>
                <w:vertAlign w:val="baseline"/>
                <w:lang w:val="en-US" w:eastAsia="zh-CN"/>
              </w:rPr>
              <w:t>1</w:t>
            </w:r>
          </w:p>
        </w:tc>
        <w:tc>
          <w:tcPr>
            <w:tcW w:w="1545" w:type="dxa"/>
          </w:tcPr>
          <w:p w14:paraId="36C50A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王志华</w:t>
            </w:r>
          </w:p>
        </w:tc>
        <w:tc>
          <w:tcPr>
            <w:tcW w:w="1463" w:type="dxa"/>
          </w:tcPr>
          <w:p w14:paraId="43F1AF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99.00%</w:t>
            </w:r>
          </w:p>
        </w:tc>
        <w:tc>
          <w:tcPr>
            <w:tcW w:w="2602" w:type="dxa"/>
          </w:tcPr>
          <w:p w14:paraId="3E28E0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2970</w:t>
            </w:r>
          </w:p>
        </w:tc>
        <w:tc>
          <w:tcPr>
            <w:tcW w:w="2036" w:type="dxa"/>
          </w:tcPr>
          <w:p w14:paraId="26FCB0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2010-05-24</w:t>
            </w:r>
          </w:p>
        </w:tc>
      </w:tr>
      <w:tr w14:paraId="1D07D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14:paraId="39176F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center"/>
              <w:textAlignment w:val="auto"/>
              <w:rPr>
                <w:rFonts w:hint="default" w:ascii="仿宋" w:hAnsi="仿宋" w:eastAsia="仿宋" w:cs="仿宋"/>
                <w:color w:val="auto"/>
                <w:sz w:val="24"/>
                <w:szCs w:val="32"/>
                <w:highlight w:val="none"/>
                <w:vertAlign w:val="baseline"/>
                <w:lang w:val="en-US" w:eastAsia="zh-CN"/>
              </w:rPr>
            </w:pPr>
            <w:r>
              <w:rPr>
                <w:rFonts w:hint="eastAsia" w:ascii="仿宋" w:hAnsi="仿宋" w:eastAsia="仿宋" w:cs="仿宋"/>
                <w:color w:val="auto"/>
                <w:sz w:val="24"/>
                <w:szCs w:val="32"/>
                <w:highlight w:val="none"/>
                <w:vertAlign w:val="baseline"/>
                <w:lang w:val="en-US" w:eastAsia="zh-CN"/>
              </w:rPr>
              <w:t>2</w:t>
            </w:r>
          </w:p>
        </w:tc>
        <w:tc>
          <w:tcPr>
            <w:tcW w:w="1545" w:type="dxa"/>
          </w:tcPr>
          <w:p w14:paraId="7F3D80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朱云雅</w:t>
            </w:r>
          </w:p>
        </w:tc>
        <w:tc>
          <w:tcPr>
            <w:tcW w:w="1463" w:type="dxa"/>
          </w:tcPr>
          <w:p w14:paraId="5ADA11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1.00%</w:t>
            </w:r>
          </w:p>
        </w:tc>
        <w:tc>
          <w:tcPr>
            <w:tcW w:w="2602" w:type="dxa"/>
          </w:tcPr>
          <w:p w14:paraId="224806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30</w:t>
            </w:r>
          </w:p>
        </w:tc>
        <w:tc>
          <w:tcPr>
            <w:tcW w:w="2036" w:type="dxa"/>
          </w:tcPr>
          <w:p w14:paraId="2C2EFE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auto"/>
              <w:rPr>
                <w:rFonts w:hint="default" w:ascii="仿宋" w:hAnsi="仿宋" w:eastAsia="仿宋" w:cs="仿宋"/>
                <w:color w:val="auto"/>
                <w:sz w:val="24"/>
                <w:szCs w:val="32"/>
                <w:highlight w:val="none"/>
                <w:vertAlign w:val="baseline"/>
                <w:lang w:val="en-US" w:eastAsia="zh-CN"/>
              </w:rPr>
            </w:pPr>
            <w:r>
              <w:rPr>
                <w:rFonts w:hint="default" w:ascii="仿宋" w:hAnsi="仿宋" w:eastAsia="仿宋" w:cs="仿宋"/>
                <w:color w:val="auto"/>
                <w:sz w:val="24"/>
                <w:szCs w:val="32"/>
                <w:highlight w:val="none"/>
                <w:vertAlign w:val="baseline"/>
                <w:lang w:val="en-US" w:eastAsia="zh-CN"/>
              </w:rPr>
              <w:t>2013-07-04</w:t>
            </w:r>
          </w:p>
        </w:tc>
      </w:tr>
    </w:tbl>
    <w:p w14:paraId="06A5F588">
      <w:pPr>
        <w:keepNext w:val="0"/>
        <w:keepLines w:val="0"/>
        <w:pageBreakBefore w:val="0"/>
        <w:widowControl w:val="0"/>
        <w:kinsoku/>
        <w:wordWrap/>
        <w:overflowPunct/>
        <w:topLinePunct w:val="0"/>
        <w:autoSpaceDE/>
        <w:autoSpaceDN/>
        <w:bidi w:val="0"/>
        <w:adjustRightInd/>
        <w:snapToGrid/>
        <w:spacing w:line="480" w:lineRule="exact"/>
        <w:ind w:firstLine="643" w:firstLineChars="200"/>
        <w:jc w:val="both"/>
        <w:textAlignment w:val="auto"/>
        <w:rPr>
          <w:rFonts w:hint="default" w:ascii="仿宋" w:hAnsi="仿宋" w:eastAsia="仿宋" w:cs="仿宋"/>
          <w:b/>
          <w:bCs/>
          <w:color w:val="auto"/>
          <w:sz w:val="32"/>
          <w:szCs w:val="40"/>
          <w:highlight w:val="none"/>
          <w:lang w:val="en-US" w:eastAsia="zh-CN"/>
        </w:rPr>
      </w:pPr>
      <w:r>
        <w:rPr>
          <w:rFonts w:hint="eastAsia" w:ascii="仿宋" w:hAnsi="仿宋" w:eastAsia="仿宋" w:cs="仿宋"/>
          <w:b/>
          <w:bCs/>
          <w:color w:val="auto"/>
          <w:sz w:val="32"/>
          <w:szCs w:val="40"/>
          <w:highlight w:val="none"/>
          <w:lang w:val="en-US" w:eastAsia="zh-CN"/>
        </w:rPr>
        <w:t>二、19号楼商业综合体情况</w:t>
      </w:r>
    </w:p>
    <w:p w14:paraId="492F50D0">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both"/>
        <w:textAlignment w:val="auto"/>
        <w:rPr>
          <w:rFonts w:hint="eastAsia" w:ascii="仿宋" w:hAnsi="仿宋" w:eastAsia="仿宋" w:cs="仿宋"/>
          <w:color w:val="auto"/>
          <w:sz w:val="28"/>
          <w:szCs w:val="36"/>
          <w:highlight w:val="none"/>
          <w:lang w:val="en-US" w:eastAsia="zh-CN"/>
        </w:rPr>
      </w:pPr>
      <w:r>
        <w:rPr>
          <w:rFonts w:hint="eastAsia" w:ascii="仿宋" w:hAnsi="仿宋" w:eastAsia="仿宋" w:cs="仿宋"/>
          <w:b/>
          <w:bCs/>
          <w:color w:val="auto"/>
          <w:sz w:val="28"/>
          <w:szCs w:val="36"/>
          <w:highlight w:val="none"/>
          <w:lang w:val="en-US" w:eastAsia="zh-CN"/>
        </w:rPr>
        <w:t>（一）基本情况</w:t>
      </w:r>
    </w:p>
    <w:p w14:paraId="5837FAF1">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color w:val="auto"/>
          <w:sz w:val="28"/>
          <w:szCs w:val="36"/>
          <w:highlight w:val="none"/>
          <w:lang w:val="en-US" w:eastAsia="zh-CN"/>
        </w:rPr>
      </w:pPr>
      <w:r>
        <w:rPr>
          <w:rFonts w:hint="eastAsia" w:ascii="仿宋" w:hAnsi="仿宋" w:eastAsia="仿宋" w:cs="仿宋"/>
          <w:b w:val="0"/>
          <w:bCs w:val="0"/>
          <w:color w:val="auto"/>
          <w:sz w:val="28"/>
          <w:szCs w:val="36"/>
          <w:highlight w:val="none"/>
          <w:lang w:val="en-US" w:eastAsia="zh-CN"/>
        </w:rPr>
        <w:t>“尚城国际”项目</w:t>
      </w:r>
      <w:r>
        <w:rPr>
          <w:rFonts w:hint="default" w:ascii="仿宋" w:hAnsi="仿宋" w:eastAsia="仿宋" w:cs="仿宋"/>
          <w:b w:val="0"/>
          <w:bCs w:val="0"/>
          <w:color w:val="auto"/>
          <w:sz w:val="28"/>
          <w:szCs w:val="36"/>
          <w:highlight w:val="none"/>
          <w:lang w:val="en-US" w:eastAsia="zh-CN"/>
        </w:rPr>
        <w:t>位于</w:t>
      </w:r>
      <w:r>
        <w:rPr>
          <w:rFonts w:hint="eastAsia" w:ascii="仿宋" w:hAnsi="仿宋" w:eastAsia="仿宋" w:cs="仿宋"/>
          <w:b w:val="0"/>
          <w:bCs w:val="0"/>
          <w:color w:val="auto"/>
          <w:sz w:val="28"/>
          <w:szCs w:val="36"/>
          <w:highlight w:val="none"/>
          <w:lang w:val="en-US" w:eastAsia="zh-CN"/>
        </w:rPr>
        <w:t>江西省</w:t>
      </w:r>
      <w:r>
        <w:rPr>
          <w:rFonts w:hint="default" w:ascii="仿宋" w:hAnsi="仿宋" w:eastAsia="仿宋" w:cs="仿宋"/>
          <w:b w:val="0"/>
          <w:bCs w:val="0"/>
          <w:color w:val="auto"/>
          <w:sz w:val="28"/>
          <w:szCs w:val="36"/>
          <w:highlight w:val="none"/>
          <w:lang w:val="en-US" w:eastAsia="zh-CN"/>
        </w:rPr>
        <w:t>横峰县兴安大道</w:t>
      </w:r>
      <w:r>
        <w:rPr>
          <w:rFonts w:hint="eastAsia" w:ascii="仿宋" w:hAnsi="仿宋" w:eastAsia="仿宋" w:cs="仿宋"/>
          <w:b w:val="0"/>
          <w:bCs w:val="0"/>
          <w:color w:val="auto"/>
          <w:sz w:val="28"/>
          <w:szCs w:val="36"/>
          <w:highlight w:val="none"/>
          <w:lang w:val="en-US" w:eastAsia="zh-CN"/>
        </w:rPr>
        <w:t>北侧的2010-07宗地，由商业综合体、商业步行街、住宅</w:t>
      </w:r>
      <w:r>
        <w:rPr>
          <w:rFonts w:hint="eastAsia" w:ascii="仿宋" w:hAnsi="仿宋" w:eastAsia="仿宋" w:cs="仿宋"/>
          <w:color w:val="auto"/>
          <w:sz w:val="28"/>
          <w:szCs w:val="36"/>
          <w:highlight w:val="none"/>
          <w:lang w:val="en-US" w:eastAsia="zh-CN"/>
        </w:rPr>
        <w:t>楼组成，</w:t>
      </w:r>
      <w:r>
        <w:rPr>
          <w:rFonts w:hint="default" w:ascii="仿宋" w:hAnsi="仿宋" w:eastAsia="仿宋" w:cs="仿宋"/>
          <w:color w:val="auto"/>
          <w:sz w:val="28"/>
          <w:szCs w:val="36"/>
          <w:highlight w:val="none"/>
          <w:lang w:val="en-US" w:eastAsia="zh-CN"/>
        </w:rPr>
        <w:t>占地面积52779㎡，规划总面积105356㎡。</w:t>
      </w:r>
      <w:r>
        <w:rPr>
          <w:rFonts w:hint="eastAsia" w:ascii="仿宋" w:hAnsi="仿宋" w:eastAsia="仿宋" w:cs="仿宋"/>
          <w:color w:val="auto"/>
          <w:sz w:val="28"/>
          <w:szCs w:val="36"/>
          <w:highlight w:val="none"/>
          <w:lang w:val="en-US" w:eastAsia="zh-CN"/>
        </w:rPr>
        <w:t>三期19号楼商业综合体已封顶</w:t>
      </w:r>
      <w:r>
        <w:rPr>
          <w:rFonts w:hint="default" w:ascii="仿宋" w:hAnsi="仿宋" w:eastAsia="仿宋" w:cs="仿宋"/>
          <w:color w:val="auto"/>
          <w:sz w:val="28"/>
          <w:szCs w:val="36"/>
          <w:highlight w:val="none"/>
          <w:lang w:val="en-US" w:eastAsia="zh-CN"/>
        </w:rPr>
        <w:t>，总建筑面积33068.97㎡</w:t>
      </w:r>
      <w:r>
        <w:rPr>
          <w:rFonts w:hint="eastAsia" w:ascii="仿宋" w:hAnsi="仿宋" w:eastAsia="仿宋" w:cs="仿宋"/>
          <w:color w:val="auto"/>
          <w:sz w:val="28"/>
          <w:szCs w:val="36"/>
          <w:highlight w:val="none"/>
          <w:lang w:val="en-US" w:eastAsia="zh-CN"/>
        </w:rPr>
        <w:t>；</w:t>
      </w:r>
      <w:r>
        <w:rPr>
          <w:rFonts w:hint="default" w:ascii="仿宋" w:hAnsi="仿宋" w:eastAsia="仿宋" w:cs="仿宋"/>
          <w:color w:val="auto"/>
          <w:sz w:val="28"/>
          <w:szCs w:val="36"/>
          <w:highlight w:val="none"/>
          <w:lang w:val="en-US" w:eastAsia="zh-CN"/>
        </w:rPr>
        <w:t>其中地下一层为停车场，建筑面积5078.55㎡；地上1-4层设计为商场，建筑面积19005.42㎡；5-1</w:t>
      </w:r>
      <w:r>
        <w:rPr>
          <w:rFonts w:hint="eastAsia" w:ascii="仿宋" w:hAnsi="仿宋" w:eastAsia="仿宋" w:cs="仿宋"/>
          <w:color w:val="auto"/>
          <w:sz w:val="28"/>
          <w:szCs w:val="36"/>
          <w:highlight w:val="none"/>
          <w:lang w:val="en-US" w:eastAsia="zh-CN"/>
        </w:rPr>
        <w:t>4</w:t>
      </w:r>
      <w:r>
        <w:rPr>
          <w:rFonts w:hint="default" w:ascii="仿宋" w:hAnsi="仿宋" w:eastAsia="仿宋" w:cs="仿宋"/>
          <w:color w:val="auto"/>
          <w:sz w:val="28"/>
          <w:szCs w:val="36"/>
          <w:highlight w:val="none"/>
          <w:lang w:val="en-US" w:eastAsia="zh-CN"/>
        </w:rPr>
        <w:t>层设计为酒店，建筑面积8985.00㎡。</w:t>
      </w:r>
    </w:p>
    <w:p w14:paraId="464A8306">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both"/>
        <w:textAlignment w:val="auto"/>
        <w:rPr>
          <w:rFonts w:hint="default" w:ascii="仿宋" w:hAnsi="仿宋" w:eastAsia="仿宋" w:cs="仿宋"/>
          <w:color w:val="auto"/>
          <w:sz w:val="28"/>
          <w:szCs w:val="36"/>
          <w:highlight w:val="none"/>
          <w:lang w:val="en-US" w:eastAsia="zh-CN"/>
        </w:rPr>
      </w:pPr>
      <w:r>
        <w:rPr>
          <w:rFonts w:hint="eastAsia" w:ascii="仿宋" w:hAnsi="仿宋" w:eastAsia="仿宋" w:cs="仿宋"/>
          <w:b/>
          <w:bCs/>
          <w:color w:val="auto"/>
          <w:sz w:val="28"/>
          <w:szCs w:val="36"/>
          <w:highlight w:val="none"/>
          <w:lang w:val="en-US" w:eastAsia="zh-CN"/>
        </w:rPr>
        <w:t>（二）评估价值</w:t>
      </w:r>
    </w:p>
    <w:p w14:paraId="4C94F6D3">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经管理人委托评估机构评估，19号楼商业综合体的现状价值为6668.68万元，假设开发完成的价值为14794.24万元。</w:t>
      </w:r>
    </w:p>
    <w:p w14:paraId="20FE5175">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both"/>
        <w:textAlignment w:val="auto"/>
        <w:rPr>
          <w:rFonts w:hint="eastAsia" w:ascii="仿宋" w:hAnsi="仿宋" w:eastAsia="仿宋" w:cs="仿宋"/>
          <w:b/>
          <w:bCs/>
          <w:color w:val="auto"/>
          <w:sz w:val="28"/>
          <w:szCs w:val="36"/>
          <w:highlight w:val="none"/>
          <w:lang w:val="en-US" w:eastAsia="zh-CN"/>
        </w:rPr>
      </w:pPr>
      <w:r>
        <w:rPr>
          <w:rFonts w:hint="eastAsia" w:ascii="仿宋" w:hAnsi="仿宋" w:eastAsia="仿宋" w:cs="仿宋"/>
          <w:b/>
          <w:bCs/>
          <w:color w:val="auto"/>
          <w:sz w:val="28"/>
          <w:szCs w:val="36"/>
          <w:highlight w:val="none"/>
          <w:lang w:val="en-US" w:eastAsia="zh-CN"/>
        </w:rPr>
        <w:t>（三）续建成本</w:t>
      </w:r>
    </w:p>
    <w:p w14:paraId="0C4AE256">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b/>
          <w:bCs/>
          <w:color w:val="auto"/>
          <w:sz w:val="28"/>
          <w:szCs w:val="36"/>
          <w:highlight w:val="none"/>
          <w:lang w:val="en-US" w:eastAsia="zh-CN"/>
        </w:rPr>
      </w:pPr>
      <w:r>
        <w:rPr>
          <w:rFonts w:hint="eastAsia" w:ascii="仿宋" w:hAnsi="仿宋" w:eastAsia="仿宋" w:cs="仿宋"/>
          <w:color w:val="auto"/>
          <w:sz w:val="28"/>
          <w:szCs w:val="36"/>
          <w:highlight w:val="none"/>
          <w:lang w:val="en-US" w:eastAsia="zh-CN"/>
        </w:rPr>
        <w:t>经估算，19号楼商业综合体续建至竣工验收的成本约2000万元，意向投资人需自行查勘测算，最终以实际成本为准。</w:t>
      </w:r>
    </w:p>
    <w:p w14:paraId="77E5A460">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both"/>
        <w:textAlignment w:val="auto"/>
        <w:rPr>
          <w:rFonts w:hint="default" w:ascii="仿宋" w:hAnsi="仿宋" w:eastAsia="仿宋" w:cs="仿宋"/>
          <w:color w:val="auto"/>
          <w:sz w:val="28"/>
          <w:szCs w:val="36"/>
          <w:highlight w:val="none"/>
          <w:u w:val="none"/>
          <w:lang w:val="en-US" w:eastAsia="zh-CN"/>
        </w:rPr>
      </w:pPr>
      <w:r>
        <w:rPr>
          <w:rFonts w:hint="eastAsia" w:ascii="仿宋" w:hAnsi="仿宋" w:eastAsia="仿宋" w:cs="仿宋"/>
          <w:b/>
          <w:bCs/>
          <w:color w:val="auto"/>
          <w:sz w:val="28"/>
          <w:szCs w:val="36"/>
          <w:highlight w:val="none"/>
          <w:u w:val="none"/>
          <w:lang w:val="en-US" w:eastAsia="zh-CN"/>
        </w:rPr>
        <w:t>（四）区位优势</w:t>
      </w:r>
    </w:p>
    <w:p w14:paraId="6017BEA3">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36"/>
          <w:highlight w:val="none"/>
          <w:u w:val="none"/>
          <w:lang w:val="en-US" w:eastAsia="zh-CN"/>
        </w:rPr>
      </w:pPr>
      <w:r>
        <w:rPr>
          <w:rFonts w:hint="eastAsia" w:ascii="仿宋" w:hAnsi="仿宋" w:eastAsia="仿宋" w:cs="仿宋"/>
          <w:color w:val="auto"/>
          <w:sz w:val="28"/>
          <w:szCs w:val="36"/>
          <w:highlight w:val="none"/>
          <w:u w:val="none"/>
          <w:lang w:val="en-US" w:eastAsia="zh-CN"/>
        </w:rPr>
        <w:t>“尚城国际”项目是横峰县政府完善城市功能的重大项目之一，位于城南新区中心区域，东临梅园路商业街，南邻新区主干道兴安大道，西接商务中心，北靠虹桥路商业街；县行政中心、卫生城、教育城、兴安公园、汽车站、火车站近在咫尺，兴安华城、世纪城、红枫一品等众多近年新建的居民小区均在1公里半径之内，该区域集中了横峰县绝大部分的机关企事业单位、金融机构和居民社区，交通便利、人气鼎盛，区位优势十分优越，是城区中心的中心。</w:t>
      </w:r>
    </w:p>
    <w:p w14:paraId="6EE7D989">
      <w:pPr>
        <w:keepNext w:val="0"/>
        <w:keepLines w:val="0"/>
        <w:pageBreakBefore w:val="0"/>
        <w:widowControl w:val="0"/>
        <w:kinsoku/>
        <w:wordWrap/>
        <w:overflowPunct/>
        <w:topLinePunct w:val="0"/>
        <w:autoSpaceDE/>
        <w:autoSpaceDN/>
        <w:bidi w:val="0"/>
        <w:adjustRightInd/>
        <w:snapToGrid/>
        <w:spacing w:line="480" w:lineRule="exact"/>
        <w:ind w:firstLine="643" w:firstLineChars="200"/>
        <w:jc w:val="both"/>
        <w:textAlignment w:val="auto"/>
        <w:rPr>
          <w:rFonts w:hint="default" w:ascii="仿宋" w:hAnsi="仿宋" w:eastAsia="仿宋" w:cs="仿宋"/>
          <w:b/>
          <w:bCs/>
          <w:color w:val="auto"/>
          <w:sz w:val="32"/>
          <w:szCs w:val="40"/>
          <w:highlight w:val="none"/>
          <w:lang w:val="en-US" w:eastAsia="zh-CN"/>
        </w:rPr>
      </w:pPr>
      <w:r>
        <w:rPr>
          <w:rFonts w:hint="eastAsia" w:ascii="仿宋" w:hAnsi="仿宋" w:eastAsia="仿宋" w:cs="仿宋"/>
          <w:b/>
          <w:bCs/>
          <w:color w:val="auto"/>
          <w:sz w:val="32"/>
          <w:szCs w:val="40"/>
          <w:highlight w:val="none"/>
          <w:lang w:val="en-US" w:eastAsia="zh-CN"/>
        </w:rPr>
        <w:t>三、19号楼商业综合体投资招募</w:t>
      </w:r>
    </w:p>
    <w:p w14:paraId="32C85F4C">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both"/>
        <w:textAlignment w:val="auto"/>
        <w:rPr>
          <w:rFonts w:hint="default" w:ascii="仿宋" w:hAnsi="仿宋" w:eastAsia="仿宋" w:cs="仿宋"/>
          <w:b w:val="0"/>
          <w:bCs w:val="0"/>
          <w:color w:val="auto"/>
          <w:sz w:val="28"/>
          <w:szCs w:val="36"/>
          <w:highlight w:val="none"/>
          <w:lang w:val="en-US" w:eastAsia="zh-CN"/>
        </w:rPr>
      </w:pPr>
      <w:r>
        <w:rPr>
          <w:rFonts w:hint="eastAsia" w:ascii="仿宋" w:hAnsi="仿宋" w:eastAsia="仿宋" w:cs="仿宋"/>
          <w:b/>
          <w:bCs/>
          <w:color w:val="auto"/>
          <w:sz w:val="28"/>
          <w:szCs w:val="36"/>
          <w:highlight w:val="none"/>
          <w:lang w:val="en-US" w:eastAsia="zh-CN"/>
        </w:rPr>
        <w:t>（一）投资模式</w:t>
      </w:r>
    </w:p>
    <w:p w14:paraId="777730B9">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b w:val="0"/>
          <w:bCs w:val="0"/>
          <w:color w:val="auto"/>
          <w:sz w:val="28"/>
          <w:szCs w:val="36"/>
          <w:highlight w:val="none"/>
          <w:lang w:val="en-US" w:eastAsia="zh-CN"/>
        </w:rPr>
      </w:pPr>
      <w:r>
        <w:rPr>
          <w:rFonts w:hint="eastAsia" w:ascii="仿宋" w:hAnsi="仿宋" w:eastAsia="仿宋" w:cs="仿宋"/>
          <w:b w:val="0"/>
          <w:bCs w:val="0"/>
          <w:color w:val="auto"/>
          <w:sz w:val="28"/>
          <w:szCs w:val="36"/>
          <w:highlight w:val="none"/>
          <w:lang w:val="en-US" w:eastAsia="zh-CN"/>
        </w:rPr>
        <w:t>意向投资人在实地查勘19号楼商业综合体的基础上，可以选择整体现状受让19号楼商业综合体，也可以选择整体受让和煜公司股权以达到取得19号楼商业综合体经营收益权之目的。前者可能产生较多税费，后者产生的税费相对少，且便于开展续建工作，意向投资人也可以提出其他投资模式。</w:t>
      </w:r>
    </w:p>
    <w:p w14:paraId="7AD146A8">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both"/>
        <w:textAlignment w:val="auto"/>
        <w:rPr>
          <w:rFonts w:hint="default" w:ascii="仿宋" w:hAnsi="仿宋" w:eastAsia="仿宋" w:cs="仿宋"/>
          <w:b/>
          <w:bCs/>
          <w:color w:val="auto"/>
          <w:sz w:val="28"/>
          <w:szCs w:val="36"/>
          <w:highlight w:val="none"/>
          <w:lang w:val="en-US" w:eastAsia="zh-CN"/>
        </w:rPr>
      </w:pPr>
      <w:r>
        <w:rPr>
          <w:rFonts w:hint="eastAsia" w:ascii="仿宋" w:hAnsi="仿宋" w:eastAsia="仿宋" w:cs="仿宋"/>
          <w:b/>
          <w:bCs/>
          <w:color w:val="auto"/>
          <w:sz w:val="28"/>
          <w:szCs w:val="36"/>
          <w:highlight w:val="none"/>
          <w:lang w:val="en-US" w:eastAsia="zh-CN"/>
        </w:rPr>
        <w:t>（二）招募程序</w:t>
      </w:r>
    </w:p>
    <w:p w14:paraId="5C59C5E9">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both"/>
        <w:textAlignment w:val="auto"/>
        <w:rPr>
          <w:rFonts w:hint="default" w:ascii="仿宋" w:hAnsi="仿宋" w:eastAsia="仿宋" w:cs="仿宋"/>
          <w:b w:val="0"/>
          <w:bCs w:val="0"/>
          <w:color w:val="auto"/>
          <w:sz w:val="28"/>
          <w:szCs w:val="36"/>
          <w:highlight w:val="none"/>
          <w:lang w:val="en-US" w:eastAsia="zh-CN"/>
        </w:rPr>
      </w:pPr>
      <w:r>
        <w:rPr>
          <w:rFonts w:hint="eastAsia" w:ascii="仿宋" w:hAnsi="仿宋" w:eastAsia="仿宋" w:cs="仿宋"/>
          <w:b/>
          <w:bCs/>
          <w:color w:val="auto"/>
          <w:sz w:val="28"/>
          <w:szCs w:val="36"/>
          <w:highlight w:val="none"/>
          <w:lang w:val="en-US" w:eastAsia="zh-CN"/>
        </w:rPr>
        <w:t>本次投资人招募不作限制性要求，意向投资人需在2024年11月30日前向管理人提交《投资意向函》。</w:t>
      </w:r>
      <w:r>
        <w:rPr>
          <w:rFonts w:hint="eastAsia" w:ascii="仿宋" w:hAnsi="仿宋" w:eastAsia="仿宋" w:cs="仿宋"/>
          <w:b w:val="0"/>
          <w:bCs w:val="0"/>
          <w:color w:val="auto"/>
          <w:sz w:val="28"/>
          <w:szCs w:val="36"/>
          <w:highlight w:val="none"/>
          <w:lang w:val="en-US" w:eastAsia="zh-CN"/>
        </w:rPr>
        <w:t>投资对价、支付方式等具体事宜由意向投资人与管理人磋商确定，磋商形成的投资方案或处置协议须经和煜公司债权人会议或债权人委员会表决通过，最终以实际情况为准。</w:t>
      </w:r>
    </w:p>
    <w:p w14:paraId="2F7A5605">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both"/>
        <w:textAlignment w:val="auto"/>
        <w:rPr>
          <w:rFonts w:hint="default" w:ascii="仿宋" w:hAnsi="仿宋" w:eastAsia="仿宋" w:cs="仿宋"/>
          <w:b/>
          <w:bCs/>
          <w:color w:val="auto"/>
          <w:sz w:val="28"/>
          <w:szCs w:val="36"/>
          <w:highlight w:val="none"/>
          <w:lang w:val="en-US" w:eastAsia="zh-CN"/>
        </w:rPr>
      </w:pPr>
      <w:r>
        <w:rPr>
          <w:rFonts w:hint="eastAsia" w:ascii="仿宋" w:hAnsi="仿宋" w:eastAsia="仿宋" w:cs="仿宋"/>
          <w:b/>
          <w:bCs/>
          <w:color w:val="auto"/>
          <w:sz w:val="28"/>
          <w:szCs w:val="36"/>
          <w:highlight w:val="none"/>
          <w:lang w:val="en-US" w:eastAsia="zh-CN"/>
        </w:rPr>
        <w:t>（三）联系方式</w:t>
      </w:r>
    </w:p>
    <w:p w14:paraId="06D52E7B">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b w:val="0"/>
          <w:bCs w:val="0"/>
          <w:color w:val="auto"/>
          <w:sz w:val="28"/>
          <w:szCs w:val="36"/>
          <w:highlight w:val="none"/>
          <w:lang w:val="en-US" w:eastAsia="zh-CN"/>
        </w:rPr>
      </w:pPr>
      <w:r>
        <w:rPr>
          <w:rFonts w:hint="eastAsia" w:ascii="仿宋" w:hAnsi="仿宋" w:eastAsia="仿宋" w:cs="仿宋"/>
          <w:b w:val="0"/>
          <w:bCs w:val="0"/>
          <w:color w:val="auto"/>
          <w:sz w:val="28"/>
          <w:szCs w:val="36"/>
          <w:highlight w:val="none"/>
          <w:lang w:val="en-US" w:eastAsia="zh-CN"/>
        </w:rPr>
        <w:t>1、联系人：刘律师17370476415。</w:t>
      </w:r>
    </w:p>
    <w:p w14:paraId="38F8AF52">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b w:val="0"/>
          <w:bCs w:val="0"/>
          <w:color w:val="auto"/>
          <w:sz w:val="28"/>
          <w:szCs w:val="36"/>
          <w:highlight w:val="none"/>
          <w:lang w:val="en-US" w:eastAsia="zh-CN"/>
        </w:rPr>
      </w:pPr>
      <w:r>
        <w:rPr>
          <w:rFonts w:hint="eastAsia" w:ascii="仿宋" w:hAnsi="仿宋" w:eastAsia="仿宋" w:cs="仿宋"/>
          <w:b w:val="0"/>
          <w:bCs w:val="0"/>
          <w:color w:val="auto"/>
          <w:sz w:val="28"/>
          <w:szCs w:val="36"/>
          <w:highlight w:val="none"/>
          <w:lang w:val="en-US" w:eastAsia="zh-CN"/>
        </w:rPr>
        <w:t>2、联系地点：江西省上饶市横峰县岑阳大道横峰县人民法院诉讼服务大厅接待室或江西省赣州市蓉江新区启迪科技城B1栋江西公仁律师事务所。</w:t>
      </w:r>
    </w:p>
    <w:p w14:paraId="70C4C9E2">
      <w:pPr>
        <w:keepNext/>
        <w:keepLines w:val="0"/>
        <w:pageBreakBefore w:val="0"/>
        <w:widowControl w:val="0"/>
        <w:kinsoku/>
        <w:wordWrap/>
        <w:overflowPunct/>
        <w:topLinePunct w:val="0"/>
        <w:autoSpaceDE/>
        <w:autoSpaceDN/>
        <w:bidi w:val="0"/>
        <w:adjustRightInd/>
        <w:snapToGrid/>
        <w:spacing w:line="480" w:lineRule="exact"/>
        <w:ind w:firstLine="643" w:firstLineChars="200"/>
        <w:jc w:val="both"/>
        <w:textAlignment w:val="auto"/>
        <w:rPr>
          <w:rFonts w:hint="default" w:ascii="仿宋" w:hAnsi="仿宋" w:eastAsia="仿宋" w:cs="仿宋"/>
          <w:b/>
          <w:bCs/>
          <w:color w:val="auto"/>
          <w:sz w:val="32"/>
          <w:szCs w:val="40"/>
          <w:highlight w:val="none"/>
          <w:lang w:val="en-US" w:eastAsia="zh-CN"/>
        </w:rPr>
      </w:pPr>
      <w:r>
        <w:rPr>
          <w:rFonts w:hint="eastAsia" w:ascii="仿宋" w:hAnsi="仿宋" w:eastAsia="仿宋" w:cs="仿宋"/>
          <w:b/>
          <w:bCs/>
          <w:color w:val="auto"/>
          <w:sz w:val="32"/>
          <w:szCs w:val="40"/>
          <w:highlight w:val="none"/>
          <w:lang w:val="en-US" w:eastAsia="zh-CN"/>
        </w:rPr>
        <w:t>四、其他事项</w:t>
      </w:r>
    </w:p>
    <w:p w14:paraId="03E72C2D">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b w:val="0"/>
          <w:bCs w:val="0"/>
          <w:color w:val="auto"/>
          <w:sz w:val="28"/>
          <w:szCs w:val="36"/>
          <w:highlight w:val="none"/>
          <w:lang w:val="en-US" w:eastAsia="zh-CN"/>
        </w:rPr>
      </w:pPr>
      <w:r>
        <w:rPr>
          <w:rFonts w:hint="eastAsia" w:ascii="仿宋" w:hAnsi="仿宋" w:eastAsia="仿宋" w:cs="仿宋"/>
          <w:b w:val="0"/>
          <w:bCs w:val="0"/>
          <w:color w:val="auto"/>
          <w:sz w:val="28"/>
          <w:szCs w:val="36"/>
          <w:highlight w:val="none"/>
          <w:lang w:val="en-US" w:eastAsia="zh-CN"/>
        </w:rPr>
        <w:t>1、本公告所涉和煜公司及“尚城国际”项目规划建设等情况，意向投资人需自行前往项目现场查勘或联系管理人及相关部门调查、获取，意向投资人应当独立作出判断，相关投资风险自行承担。</w:t>
      </w:r>
    </w:p>
    <w:p w14:paraId="71D9BE6A">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b w:val="0"/>
          <w:bCs w:val="0"/>
          <w:color w:val="auto"/>
          <w:sz w:val="28"/>
          <w:szCs w:val="36"/>
          <w:highlight w:val="none"/>
          <w:lang w:val="en-US" w:eastAsia="zh-CN"/>
        </w:rPr>
      </w:pPr>
      <w:r>
        <w:rPr>
          <w:rFonts w:hint="eastAsia" w:ascii="仿宋" w:hAnsi="仿宋" w:eastAsia="仿宋" w:cs="仿宋"/>
          <w:b w:val="0"/>
          <w:bCs w:val="0"/>
          <w:color w:val="auto"/>
          <w:sz w:val="28"/>
          <w:szCs w:val="36"/>
          <w:highlight w:val="none"/>
          <w:lang w:val="en-US" w:eastAsia="zh-CN"/>
        </w:rPr>
        <w:t>2、本公告仅供参考，评估、造价等数据仅系初步结果，不构成管理人的任何保证，不作为投资建议，意向投资人需以尽职调查结果为投资依据。</w:t>
      </w:r>
    </w:p>
    <w:p w14:paraId="3E41CB73">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b w:val="0"/>
          <w:bCs w:val="0"/>
          <w:color w:val="auto"/>
          <w:sz w:val="28"/>
          <w:szCs w:val="36"/>
          <w:highlight w:val="none"/>
          <w:lang w:val="en-US" w:eastAsia="zh-CN"/>
        </w:rPr>
      </w:pPr>
      <w:r>
        <w:rPr>
          <w:rFonts w:hint="eastAsia" w:ascii="仿宋" w:hAnsi="仿宋" w:eastAsia="仿宋" w:cs="仿宋"/>
          <w:b w:val="0"/>
          <w:bCs w:val="0"/>
          <w:color w:val="auto"/>
          <w:sz w:val="28"/>
          <w:szCs w:val="36"/>
          <w:highlight w:val="none"/>
          <w:lang w:val="en-US" w:eastAsia="zh-CN"/>
        </w:rPr>
        <w:t>3、本公告由管理人编制，对全体意向投资人平等适用，解释权归属于管理人。</w:t>
      </w:r>
    </w:p>
    <w:p w14:paraId="287C7EF4">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特此公告。</w:t>
      </w:r>
    </w:p>
    <w:p w14:paraId="15982FE1">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36"/>
          <w:highlight w:val="none"/>
          <w:lang w:val="en-US" w:eastAsia="zh-CN"/>
        </w:rPr>
      </w:pPr>
    </w:p>
    <w:p w14:paraId="56159743">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上饶市和煜房地产开发有限公司管理人</w:t>
      </w:r>
    </w:p>
    <w:p w14:paraId="402064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 xml:space="preserve">二〇二四年十月二十八日      </w:t>
      </w:r>
    </w:p>
    <w:p w14:paraId="6694EF31">
      <w:pPr>
        <w:rPr>
          <w:rFonts w:hint="eastAsia"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br w:type="page"/>
      </w:r>
    </w:p>
    <w:p w14:paraId="39EB8210">
      <w:pPr>
        <w:keepNext w:val="0"/>
        <w:keepLines w:val="0"/>
        <w:pageBreakBefore w:val="0"/>
        <w:widowControl w:val="0"/>
        <w:kinsoku/>
        <w:overflowPunct/>
        <w:topLinePunct w:val="0"/>
        <w:autoSpaceDE/>
        <w:autoSpaceDN/>
        <w:bidi w:val="0"/>
        <w:adjustRightInd/>
        <w:snapToGrid/>
        <w:spacing w:line="480" w:lineRule="exact"/>
        <w:textAlignment w:val="auto"/>
        <w:rPr>
          <w:rFonts w:hint="default"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附件：</w:t>
      </w:r>
      <w:bookmarkStart w:id="0" w:name="_GoBack"/>
      <w:bookmarkEnd w:id="0"/>
    </w:p>
    <w:p w14:paraId="7130EAB7">
      <w:pPr>
        <w:keepNext w:val="0"/>
        <w:keepLines w:val="0"/>
        <w:pageBreakBefore w:val="0"/>
        <w:widowControl w:val="0"/>
        <w:kinsoku/>
        <w:wordWrap/>
        <w:overflowPunct/>
        <w:topLinePunct w:val="0"/>
        <w:autoSpaceDE/>
        <w:autoSpaceDN/>
        <w:bidi w:val="0"/>
        <w:adjustRightInd/>
        <w:snapToGrid/>
        <w:spacing w:after="157" w:afterLines="50" w:line="480" w:lineRule="exact"/>
        <w:jc w:val="center"/>
        <w:textAlignment w:val="auto"/>
        <w:rPr>
          <w:rFonts w:hint="eastAsia" w:ascii="方正小标宋简体" w:hAnsi="方正小标宋简体" w:eastAsia="方正小标宋简体" w:cs="方正小标宋简体"/>
          <w:b/>
          <w:bCs/>
          <w:color w:val="auto"/>
          <w:sz w:val="32"/>
          <w:szCs w:val="40"/>
          <w:highlight w:val="none"/>
          <w:lang w:val="en-US" w:eastAsia="zh-CN"/>
        </w:rPr>
      </w:pPr>
      <w:r>
        <w:rPr>
          <w:rFonts w:hint="eastAsia" w:ascii="方正小标宋简体" w:hAnsi="方正小标宋简体" w:eastAsia="方正小标宋简体" w:cs="方正小标宋简体"/>
          <w:b/>
          <w:bCs/>
          <w:color w:val="auto"/>
          <w:sz w:val="32"/>
          <w:szCs w:val="40"/>
          <w:highlight w:val="none"/>
          <w:lang w:val="en-US" w:eastAsia="zh-CN"/>
        </w:rPr>
        <w:t>投资意向函</w:t>
      </w:r>
    </w:p>
    <w:p w14:paraId="4AF64F6E">
      <w:pPr>
        <w:keepNext w:val="0"/>
        <w:keepLines w:val="0"/>
        <w:pageBreakBefore w:val="0"/>
        <w:widowControl w:val="0"/>
        <w:kinsoku/>
        <w:overflowPunct/>
        <w:topLinePunct w:val="0"/>
        <w:autoSpaceDE/>
        <w:autoSpaceDN/>
        <w:bidi w:val="0"/>
        <w:adjustRightInd/>
        <w:snapToGrid/>
        <w:spacing w:line="480" w:lineRule="exact"/>
        <w:textAlignment w:val="auto"/>
        <w:rPr>
          <w:rFonts w:hint="eastAsia"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上饶市和煜房地产开发有限公司管理人：</w:t>
      </w:r>
    </w:p>
    <w:p w14:paraId="407795F5">
      <w:pPr>
        <w:keepNext w:val="0"/>
        <w:keepLines w:val="0"/>
        <w:pageBreakBefore w:val="0"/>
        <w:widowControl w:val="0"/>
        <w:kinsoku/>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本人/公司已收悉《横峰尚城国际19号楼商业综合体投资人招募公告》，有意愿投资横峰尚城国际19号楼商业综合体，特提交意向函，请及时接洽。</w:t>
      </w:r>
    </w:p>
    <w:p w14:paraId="048DC269">
      <w:pPr>
        <w:keepNext w:val="0"/>
        <w:keepLines w:val="0"/>
        <w:pageBreakBefore w:val="0"/>
        <w:widowControl w:val="0"/>
        <w:kinsoku/>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本人/公司及相关人员承诺，对获悉的所有项目情况予以保密，未经许可不对外进行任何形式的传播，否则自愿承担全部法律责任，特此承诺。</w:t>
      </w:r>
    </w:p>
    <w:p w14:paraId="37AD434A">
      <w:pPr>
        <w:keepNext w:val="0"/>
        <w:keepLines w:val="0"/>
        <w:pageBreakBefore w:val="0"/>
        <w:widowControl w:val="0"/>
        <w:kinsoku/>
        <w:overflowPunct/>
        <w:topLinePunct w:val="0"/>
        <w:autoSpaceDE/>
        <w:autoSpaceDN/>
        <w:bidi w:val="0"/>
        <w:adjustRightInd/>
        <w:snapToGrid/>
        <w:spacing w:line="480" w:lineRule="exact"/>
        <w:ind w:firstLine="560" w:firstLineChars="200"/>
        <w:textAlignment w:val="auto"/>
        <w:rPr>
          <w:rFonts w:hint="default" w:ascii="仿宋" w:hAnsi="仿宋" w:eastAsia="仿宋" w:cs="仿宋"/>
          <w:color w:val="auto"/>
          <w:sz w:val="28"/>
          <w:szCs w:val="36"/>
          <w:highlight w:val="none"/>
          <w:lang w:val="en-US" w:eastAsia="zh-CN"/>
        </w:rPr>
      </w:pPr>
    </w:p>
    <w:p w14:paraId="01DCD079">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 xml:space="preserve">意向投资人：              </w:t>
      </w:r>
    </w:p>
    <w:p w14:paraId="34CA3C43">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 xml:space="preserve">公民身份号码/统一社会信用代码：              </w:t>
      </w:r>
    </w:p>
    <w:p w14:paraId="34ABAE55">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 xml:space="preserve">联系电话：              </w:t>
      </w:r>
    </w:p>
    <w:p w14:paraId="5D676898">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 xml:space="preserve">联系地址：              </w:t>
      </w:r>
    </w:p>
    <w:p w14:paraId="56F92412">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 xml:space="preserve">日期：              </w:t>
      </w:r>
    </w:p>
    <w:p w14:paraId="2AA71E2C">
      <w:pPr>
        <w:keepNext w:val="0"/>
        <w:keepLines w:val="0"/>
        <w:pageBreakBefore w:val="0"/>
        <w:widowControl w:val="0"/>
        <w:kinsoku/>
        <w:overflowPunct/>
        <w:topLinePunct w:val="0"/>
        <w:autoSpaceDE/>
        <w:autoSpaceDN/>
        <w:bidi w:val="0"/>
        <w:adjustRightInd/>
        <w:snapToGrid/>
        <w:spacing w:line="480" w:lineRule="exact"/>
        <w:textAlignment w:val="auto"/>
        <w:rPr>
          <w:rFonts w:hint="default" w:ascii="仿宋" w:hAnsi="仿宋" w:eastAsia="仿宋" w:cs="仿宋"/>
          <w:color w:val="auto"/>
          <w:sz w:val="28"/>
          <w:szCs w:val="36"/>
          <w:highlight w:val="none"/>
          <w:lang w:val="en-US" w:eastAsia="zh-CN"/>
        </w:rPr>
      </w:pPr>
    </w:p>
    <w:p w14:paraId="65764499">
      <w:pPr>
        <w:keepNext w:val="0"/>
        <w:keepLines w:val="0"/>
        <w:pageBreakBefore w:val="0"/>
        <w:widowControl w:val="0"/>
        <w:kinsoku/>
        <w:overflowPunct/>
        <w:topLinePunct w:val="0"/>
        <w:autoSpaceDE/>
        <w:autoSpaceDN/>
        <w:bidi w:val="0"/>
        <w:adjustRightInd/>
        <w:snapToGrid/>
        <w:spacing w:line="480" w:lineRule="exact"/>
        <w:textAlignment w:val="auto"/>
        <w:rPr>
          <w:rFonts w:hint="eastAsia" w:ascii="仿宋" w:hAnsi="仿宋" w:eastAsia="仿宋" w:cs="仿宋"/>
          <w:color w:val="auto"/>
          <w:sz w:val="28"/>
          <w:szCs w:val="36"/>
          <w:highlight w:val="none"/>
          <w:lang w:val="en-US" w:eastAsia="zh-CN"/>
        </w:rPr>
      </w:pPr>
    </w:p>
    <w:p w14:paraId="2A397419">
      <w:pPr>
        <w:keepNext w:val="0"/>
        <w:keepLines w:val="0"/>
        <w:pageBreakBefore w:val="0"/>
        <w:widowControl w:val="0"/>
        <w:kinsoku/>
        <w:overflowPunct/>
        <w:topLinePunct w:val="0"/>
        <w:autoSpaceDE/>
        <w:autoSpaceDN/>
        <w:bidi w:val="0"/>
        <w:adjustRightInd/>
        <w:snapToGrid/>
        <w:spacing w:line="480" w:lineRule="exact"/>
        <w:textAlignment w:val="auto"/>
        <w:rPr>
          <w:rFonts w:hint="eastAsia"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br w:type="page"/>
      </w:r>
    </w:p>
    <w:p w14:paraId="510B68A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auto"/>
          <w:sz w:val="28"/>
          <w:szCs w:val="36"/>
          <w:highlight w:val="none"/>
          <w:lang w:val="en-US" w:eastAsia="zh-CN"/>
        </w:rPr>
      </w:pPr>
      <w:r>
        <w:rPr>
          <w:rFonts w:hint="eastAsia" w:ascii="仿宋" w:hAnsi="仿宋" w:eastAsia="仿宋" w:cs="仿宋"/>
          <w:color w:val="auto"/>
          <w:sz w:val="28"/>
          <w:szCs w:val="36"/>
          <w:highlight w:val="none"/>
          <w:lang w:val="en-US" w:eastAsia="zh-CN"/>
        </w:rPr>
        <w:t>附图1：“尚城国际”项目效果图</w:t>
      </w:r>
      <w:r>
        <w:rPr>
          <w:rFonts w:hint="eastAsia" w:ascii="仿宋" w:hAnsi="仿宋" w:eastAsia="仿宋" w:cs="仿宋"/>
          <w:color w:val="auto"/>
          <w:sz w:val="28"/>
          <w:szCs w:val="36"/>
          <w:highlight w:val="none"/>
          <w:lang w:val="en-US" w:eastAsia="zh-CN"/>
        </w:rPr>
        <w:drawing>
          <wp:anchor distT="0" distB="0" distL="114300" distR="114300" simplePos="0" relativeHeight="251660288" behindDoc="0" locked="0" layoutInCell="1" allowOverlap="1">
            <wp:simplePos x="0" y="0"/>
            <wp:positionH relativeFrom="column">
              <wp:posOffset>434340</wp:posOffset>
            </wp:positionH>
            <wp:positionV relativeFrom="paragraph">
              <wp:posOffset>156210</wp:posOffset>
            </wp:positionV>
            <wp:extent cx="4405630" cy="3397885"/>
            <wp:effectExtent l="0" t="0" r="0" b="0"/>
            <wp:wrapTopAndBottom/>
            <wp:docPr id="2" name="图片 2" descr="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R-C"/>
                    <pic:cNvPicPr>
                      <a:picLocks noChangeAspect="1"/>
                    </pic:cNvPicPr>
                  </pic:nvPicPr>
                  <pic:blipFill>
                    <a:blip r:embed="rId5"/>
                    <a:srcRect l="7326" r="18471"/>
                    <a:stretch>
                      <a:fillRect/>
                    </a:stretch>
                  </pic:blipFill>
                  <pic:spPr>
                    <a:xfrm>
                      <a:off x="0" y="0"/>
                      <a:ext cx="4405630" cy="3397885"/>
                    </a:xfrm>
                    <a:prstGeom prst="rect">
                      <a:avLst/>
                    </a:prstGeom>
                  </pic:spPr>
                </pic:pic>
              </a:graphicData>
            </a:graphic>
          </wp:anchor>
        </w:drawing>
      </w:r>
    </w:p>
    <w:p w14:paraId="3F8A0FE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color w:val="auto"/>
          <w:sz w:val="24"/>
          <w:szCs w:val="32"/>
          <w:highlight w:val="none"/>
          <w:lang w:val="en-US" w:eastAsia="zh-CN"/>
        </w:rPr>
      </w:pPr>
    </w:p>
    <w:p w14:paraId="5C1A55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 w:hAnsi="仿宋" w:eastAsia="仿宋" w:cs="仿宋"/>
          <w:color w:val="auto"/>
          <w:sz w:val="32"/>
          <w:szCs w:val="40"/>
          <w:highlight w:val="none"/>
          <w:lang w:val="en-US" w:eastAsia="zh-CN"/>
        </w:rPr>
      </w:pPr>
      <w:r>
        <w:rPr>
          <w:rFonts w:hint="eastAsia" w:ascii="仿宋" w:hAnsi="仿宋" w:eastAsia="仿宋" w:cs="仿宋"/>
          <w:color w:val="auto"/>
          <w:sz w:val="28"/>
          <w:szCs w:val="36"/>
          <w:highlight w:val="none"/>
          <w:lang w:val="en-US" w:eastAsia="zh-CN"/>
        </w:rPr>
        <w:drawing>
          <wp:anchor distT="0" distB="0" distL="114300" distR="114300" simplePos="0" relativeHeight="251661312" behindDoc="0" locked="0" layoutInCell="1" allowOverlap="1">
            <wp:simplePos x="0" y="0"/>
            <wp:positionH relativeFrom="column">
              <wp:posOffset>489585</wp:posOffset>
            </wp:positionH>
            <wp:positionV relativeFrom="paragraph">
              <wp:posOffset>135890</wp:posOffset>
            </wp:positionV>
            <wp:extent cx="4295775" cy="2162810"/>
            <wp:effectExtent l="0" t="0" r="0" b="8890"/>
            <wp:wrapTopAndBottom/>
            <wp:docPr id="4" name="图片 4" descr="fbd66643fe6595dcb2509f4306d2b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bd66643fe6595dcb2509f4306d2b41"/>
                    <pic:cNvPicPr>
                      <a:picLocks noChangeAspect="1"/>
                    </pic:cNvPicPr>
                  </pic:nvPicPr>
                  <pic:blipFill>
                    <a:blip r:embed="rId6"/>
                    <a:srcRect b="25563"/>
                    <a:stretch>
                      <a:fillRect/>
                    </a:stretch>
                  </pic:blipFill>
                  <pic:spPr>
                    <a:xfrm>
                      <a:off x="0" y="0"/>
                      <a:ext cx="4295775" cy="2162810"/>
                    </a:xfrm>
                    <a:prstGeom prst="rect">
                      <a:avLst/>
                    </a:prstGeom>
                  </pic:spPr>
                </pic:pic>
              </a:graphicData>
            </a:graphic>
          </wp:anchor>
        </w:drawing>
      </w:r>
      <w:r>
        <w:rPr>
          <w:rFonts w:hint="eastAsia" w:ascii="仿宋" w:hAnsi="仿宋" w:eastAsia="仿宋" w:cs="仿宋"/>
          <w:color w:val="auto"/>
          <w:sz w:val="28"/>
          <w:szCs w:val="36"/>
          <w:highlight w:val="none"/>
          <w:lang w:val="en-US" w:eastAsia="zh-CN"/>
        </w:rPr>
        <w:t>附图2：19号楼商业综合体现状图</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7F248733-C331-4E6B-8E06-54638238D778}"/>
  </w:font>
  <w:font w:name="方正小标宋简体">
    <w:panose1 w:val="02000000000000000000"/>
    <w:charset w:val="86"/>
    <w:family w:val="auto"/>
    <w:pitch w:val="default"/>
    <w:sig w:usb0="00000001" w:usb1="08000000" w:usb2="00000000" w:usb3="00000000" w:csb0="00040000" w:csb1="00000000"/>
    <w:embedRegular r:id="rId2" w:fontKey="{90B31774-2F50-46F6-AFF7-0210D022304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A5E6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EEB3EA">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BEEB3EA">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573764C3"/>
    <w:rsid w:val="0005057E"/>
    <w:rsid w:val="001F1955"/>
    <w:rsid w:val="00CF3752"/>
    <w:rsid w:val="01E65B80"/>
    <w:rsid w:val="02070CCA"/>
    <w:rsid w:val="02812C2F"/>
    <w:rsid w:val="02D432A2"/>
    <w:rsid w:val="040A2CF3"/>
    <w:rsid w:val="042E253E"/>
    <w:rsid w:val="049B394B"/>
    <w:rsid w:val="0546428C"/>
    <w:rsid w:val="062C6F51"/>
    <w:rsid w:val="067F3525"/>
    <w:rsid w:val="06825143"/>
    <w:rsid w:val="06840264"/>
    <w:rsid w:val="074A2CCC"/>
    <w:rsid w:val="07D653C6"/>
    <w:rsid w:val="082E1A03"/>
    <w:rsid w:val="09082A24"/>
    <w:rsid w:val="09202FC2"/>
    <w:rsid w:val="097666CF"/>
    <w:rsid w:val="09860127"/>
    <w:rsid w:val="09CB5B8B"/>
    <w:rsid w:val="09EB1B05"/>
    <w:rsid w:val="0A2054A2"/>
    <w:rsid w:val="0A641FD4"/>
    <w:rsid w:val="0AA41D45"/>
    <w:rsid w:val="0B332B30"/>
    <w:rsid w:val="0B5C3DA3"/>
    <w:rsid w:val="0BF93476"/>
    <w:rsid w:val="0CE071CF"/>
    <w:rsid w:val="0D78360A"/>
    <w:rsid w:val="0E563B7E"/>
    <w:rsid w:val="0FF147E5"/>
    <w:rsid w:val="10953945"/>
    <w:rsid w:val="10E059C8"/>
    <w:rsid w:val="111148DA"/>
    <w:rsid w:val="1112448D"/>
    <w:rsid w:val="11AA3420"/>
    <w:rsid w:val="123D7947"/>
    <w:rsid w:val="124936D6"/>
    <w:rsid w:val="134F4545"/>
    <w:rsid w:val="13FA0E17"/>
    <w:rsid w:val="14551D69"/>
    <w:rsid w:val="148937C0"/>
    <w:rsid w:val="14C74B3E"/>
    <w:rsid w:val="14E46C49"/>
    <w:rsid w:val="14EF1875"/>
    <w:rsid w:val="15244B25"/>
    <w:rsid w:val="153C564B"/>
    <w:rsid w:val="156D6C3E"/>
    <w:rsid w:val="15932B49"/>
    <w:rsid w:val="16774FC1"/>
    <w:rsid w:val="16775018"/>
    <w:rsid w:val="16CA259A"/>
    <w:rsid w:val="16D9129A"/>
    <w:rsid w:val="17677BE2"/>
    <w:rsid w:val="179517C7"/>
    <w:rsid w:val="179B43BA"/>
    <w:rsid w:val="17F85776"/>
    <w:rsid w:val="18014D2B"/>
    <w:rsid w:val="18422604"/>
    <w:rsid w:val="18573883"/>
    <w:rsid w:val="19520625"/>
    <w:rsid w:val="19B11072"/>
    <w:rsid w:val="1A0A7151"/>
    <w:rsid w:val="1A305628"/>
    <w:rsid w:val="1A3174FD"/>
    <w:rsid w:val="1A5D1524"/>
    <w:rsid w:val="1A794667"/>
    <w:rsid w:val="1AA14D38"/>
    <w:rsid w:val="1AC243E7"/>
    <w:rsid w:val="1AD37305"/>
    <w:rsid w:val="1BA50711"/>
    <w:rsid w:val="1C3A5A50"/>
    <w:rsid w:val="1D203533"/>
    <w:rsid w:val="1DBE44DB"/>
    <w:rsid w:val="1E14145B"/>
    <w:rsid w:val="1EAC6A29"/>
    <w:rsid w:val="1F6501F2"/>
    <w:rsid w:val="1F8F0C2C"/>
    <w:rsid w:val="205B24B5"/>
    <w:rsid w:val="21BA320B"/>
    <w:rsid w:val="22097CEF"/>
    <w:rsid w:val="22673393"/>
    <w:rsid w:val="228A1FE4"/>
    <w:rsid w:val="22E93246"/>
    <w:rsid w:val="23353491"/>
    <w:rsid w:val="2335653D"/>
    <w:rsid w:val="23E26A49"/>
    <w:rsid w:val="245D188F"/>
    <w:rsid w:val="24853FE7"/>
    <w:rsid w:val="24D27C6F"/>
    <w:rsid w:val="25CF7EAB"/>
    <w:rsid w:val="27413D25"/>
    <w:rsid w:val="282B57DA"/>
    <w:rsid w:val="28A07450"/>
    <w:rsid w:val="28A864B3"/>
    <w:rsid w:val="29104600"/>
    <w:rsid w:val="291B374D"/>
    <w:rsid w:val="298505A2"/>
    <w:rsid w:val="2B05199B"/>
    <w:rsid w:val="2B22080E"/>
    <w:rsid w:val="2BF51FF1"/>
    <w:rsid w:val="2C180276"/>
    <w:rsid w:val="2C37043C"/>
    <w:rsid w:val="2CFE485A"/>
    <w:rsid w:val="2DD815E9"/>
    <w:rsid w:val="2DE05A03"/>
    <w:rsid w:val="2E693FEF"/>
    <w:rsid w:val="2EA17C2D"/>
    <w:rsid w:val="2FCC356D"/>
    <w:rsid w:val="2FF812D8"/>
    <w:rsid w:val="30380DF1"/>
    <w:rsid w:val="303C1274"/>
    <w:rsid w:val="307C24D8"/>
    <w:rsid w:val="309F2F83"/>
    <w:rsid w:val="30C67223"/>
    <w:rsid w:val="31BB11E7"/>
    <w:rsid w:val="31DB1BB4"/>
    <w:rsid w:val="32C51A10"/>
    <w:rsid w:val="332C5D53"/>
    <w:rsid w:val="3355548A"/>
    <w:rsid w:val="337C58D1"/>
    <w:rsid w:val="33C97EB5"/>
    <w:rsid w:val="342D3D10"/>
    <w:rsid w:val="34551AF9"/>
    <w:rsid w:val="34821B26"/>
    <w:rsid w:val="359953B3"/>
    <w:rsid w:val="35C9544E"/>
    <w:rsid w:val="35D732A7"/>
    <w:rsid w:val="361C76A1"/>
    <w:rsid w:val="37ED133C"/>
    <w:rsid w:val="37F8500E"/>
    <w:rsid w:val="38A34A79"/>
    <w:rsid w:val="38BE5A5F"/>
    <w:rsid w:val="3919218E"/>
    <w:rsid w:val="392A51E2"/>
    <w:rsid w:val="3944674A"/>
    <w:rsid w:val="39C96289"/>
    <w:rsid w:val="3AC819E0"/>
    <w:rsid w:val="3B691F38"/>
    <w:rsid w:val="3BE865EF"/>
    <w:rsid w:val="3C20265B"/>
    <w:rsid w:val="3CE279C9"/>
    <w:rsid w:val="3D03152A"/>
    <w:rsid w:val="3DB159B2"/>
    <w:rsid w:val="3E6C07C7"/>
    <w:rsid w:val="3EF24DF5"/>
    <w:rsid w:val="3F9A54F1"/>
    <w:rsid w:val="40012A30"/>
    <w:rsid w:val="402A6942"/>
    <w:rsid w:val="40564F13"/>
    <w:rsid w:val="415A1923"/>
    <w:rsid w:val="43035753"/>
    <w:rsid w:val="437C43A5"/>
    <w:rsid w:val="43C01E9E"/>
    <w:rsid w:val="43CB3355"/>
    <w:rsid w:val="43DB6E09"/>
    <w:rsid w:val="4455188C"/>
    <w:rsid w:val="453610FF"/>
    <w:rsid w:val="45E5444B"/>
    <w:rsid w:val="467852BF"/>
    <w:rsid w:val="47F70466"/>
    <w:rsid w:val="482079BC"/>
    <w:rsid w:val="48732D1D"/>
    <w:rsid w:val="487B4BF3"/>
    <w:rsid w:val="488D3509"/>
    <w:rsid w:val="48CA7F0B"/>
    <w:rsid w:val="49A47386"/>
    <w:rsid w:val="4B556311"/>
    <w:rsid w:val="4C013661"/>
    <w:rsid w:val="4C765DFD"/>
    <w:rsid w:val="4CC25042"/>
    <w:rsid w:val="4D135D42"/>
    <w:rsid w:val="4D2C252E"/>
    <w:rsid w:val="4D301632"/>
    <w:rsid w:val="4D9B216A"/>
    <w:rsid w:val="4E1F2DDB"/>
    <w:rsid w:val="4E9C3B15"/>
    <w:rsid w:val="4EB72CD2"/>
    <w:rsid w:val="4F030328"/>
    <w:rsid w:val="4F7A10C6"/>
    <w:rsid w:val="4FD277EE"/>
    <w:rsid w:val="501467B0"/>
    <w:rsid w:val="51324FD6"/>
    <w:rsid w:val="51654692"/>
    <w:rsid w:val="5197730B"/>
    <w:rsid w:val="51DB16D8"/>
    <w:rsid w:val="51EE2CA2"/>
    <w:rsid w:val="53234621"/>
    <w:rsid w:val="536C1D08"/>
    <w:rsid w:val="53B51901"/>
    <w:rsid w:val="55152F4D"/>
    <w:rsid w:val="555817DC"/>
    <w:rsid w:val="560C5D5A"/>
    <w:rsid w:val="56586B46"/>
    <w:rsid w:val="570825CD"/>
    <w:rsid w:val="571B13FB"/>
    <w:rsid w:val="573764C3"/>
    <w:rsid w:val="587658CB"/>
    <w:rsid w:val="595B4881"/>
    <w:rsid w:val="59880D16"/>
    <w:rsid w:val="59B62470"/>
    <w:rsid w:val="5A24333C"/>
    <w:rsid w:val="5A4C7FA3"/>
    <w:rsid w:val="5A500288"/>
    <w:rsid w:val="5AC60A34"/>
    <w:rsid w:val="5B132C15"/>
    <w:rsid w:val="5C1C76C4"/>
    <w:rsid w:val="5C997F3B"/>
    <w:rsid w:val="5CD65B80"/>
    <w:rsid w:val="5CE51A8D"/>
    <w:rsid w:val="5CF96F2B"/>
    <w:rsid w:val="5DD52D9B"/>
    <w:rsid w:val="5DE77A3A"/>
    <w:rsid w:val="5DE828D3"/>
    <w:rsid w:val="5E0D12D9"/>
    <w:rsid w:val="5EDF7832"/>
    <w:rsid w:val="5F3B3683"/>
    <w:rsid w:val="5F3C4035"/>
    <w:rsid w:val="5FF91718"/>
    <w:rsid w:val="602F7641"/>
    <w:rsid w:val="608970C0"/>
    <w:rsid w:val="615672E3"/>
    <w:rsid w:val="626906F6"/>
    <w:rsid w:val="62AC2121"/>
    <w:rsid w:val="62E63F1D"/>
    <w:rsid w:val="6356208C"/>
    <w:rsid w:val="63CE6CC4"/>
    <w:rsid w:val="648E6BBD"/>
    <w:rsid w:val="64F51418"/>
    <w:rsid w:val="65363E20"/>
    <w:rsid w:val="653E07CA"/>
    <w:rsid w:val="657472A2"/>
    <w:rsid w:val="66987848"/>
    <w:rsid w:val="66B617C0"/>
    <w:rsid w:val="67401312"/>
    <w:rsid w:val="675A7ACC"/>
    <w:rsid w:val="676236F6"/>
    <w:rsid w:val="67872273"/>
    <w:rsid w:val="67A05FCC"/>
    <w:rsid w:val="68305F13"/>
    <w:rsid w:val="68615423"/>
    <w:rsid w:val="68960ECB"/>
    <w:rsid w:val="68A044D6"/>
    <w:rsid w:val="68B73EBF"/>
    <w:rsid w:val="68B86D73"/>
    <w:rsid w:val="68C60A84"/>
    <w:rsid w:val="69261D01"/>
    <w:rsid w:val="696F4088"/>
    <w:rsid w:val="69C46BE6"/>
    <w:rsid w:val="69D42C19"/>
    <w:rsid w:val="6A257F8C"/>
    <w:rsid w:val="6A2B7DCF"/>
    <w:rsid w:val="6AB04778"/>
    <w:rsid w:val="6AC63F9C"/>
    <w:rsid w:val="6AFA66F9"/>
    <w:rsid w:val="6B1D005F"/>
    <w:rsid w:val="6BBD539F"/>
    <w:rsid w:val="6C354552"/>
    <w:rsid w:val="6CBB719C"/>
    <w:rsid w:val="6CC50573"/>
    <w:rsid w:val="6CCA04A1"/>
    <w:rsid w:val="6CFC356A"/>
    <w:rsid w:val="6E0A6EA2"/>
    <w:rsid w:val="6E285301"/>
    <w:rsid w:val="6EA047F7"/>
    <w:rsid w:val="6EB1146C"/>
    <w:rsid w:val="6EE26BEC"/>
    <w:rsid w:val="6EF03532"/>
    <w:rsid w:val="6F4B0051"/>
    <w:rsid w:val="70052E70"/>
    <w:rsid w:val="706165C6"/>
    <w:rsid w:val="70671D7D"/>
    <w:rsid w:val="70703465"/>
    <w:rsid w:val="713F6856"/>
    <w:rsid w:val="718421D2"/>
    <w:rsid w:val="71CD3E62"/>
    <w:rsid w:val="720F447A"/>
    <w:rsid w:val="722642DD"/>
    <w:rsid w:val="725230E2"/>
    <w:rsid w:val="72C2773E"/>
    <w:rsid w:val="72C9211B"/>
    <w:rsid w:val="74022F4B"/>
    <w:rsid w:val="75107970"/>
    <w:rsid w:val="75973CBD"/>
    <w:rsid w:val="767174B1"/>
    <w:rsid w:val="769B452E"/>
    <w:rsid w:val="76FC4F60"/>
    <w:rsid w:val="7726029C"/>
    <w:rsid w:val="775C474E"/>
    <w:rsid w:val="783764D9"/>
    <w:rsid w:val="791F1A48"/>
    <w:rsid w:val="79EA7661"/>
    <w:rsid w:val="7A2248DD"/>
    <w:rsid w:val="7A4F1301"/>
    <w:rsid w:val="7A9B3A74"/>
    <w:rsid w:val="7B214831"/>
    <w:rsid w:val="7BA447B8"/>
    <w:rsid w:val="7BD21F01"/>
    <w:rsid w:val="7BE17423"/>
    <w:rsid w:val="7BE20509"/>
    <w:rsid w:val="7C041B11"/>
    <w:rsid w:val="7C7750F6"/>
    <w:rsid w:val="7CC21817"/>
    <w:rsid w:val="7D556349"/>
    <w:rsid w:val="7D833DB8"/>
    <w:rsid w:val="7DA23B0C"/>
    <w:rsid w:val="7E5173F8"/>
    <w:rsid w:val="7FE33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0"/>
    <w:qFormat/>
    <w:uiPriority w:val="0"/>
    <w:pPr>
      <w:keepNext/>
      <w:keepLines/>
      <w:spacing w:before="100" w:beforeLines="100" w:after="50" w:afterLines="50" w:line="560" w:lineRule="exact"/>
      <w:ind w:firstLine="0" w:firstLineChars="0"/>
      <w:jc w:val="center"/>
      <w:outlineLvl w:val="0"/>
    </w:pPr>
    <w:rPr>
      <w:rFonts w:ascii="Calibri" w:hAnsi="Calibri" w:eastAsia="方正小标宋简体" w:cs="Times New Roman"/>
      <w:b/>
      <w:kern w:val="44"/>
      <w:sz w:val="44"/>
      <w:szCs w:val="22"/>
    </w:rPr>
  </w:style>
  <w:style w:type="character" w:default="1" w:styleId="7">
    <w:name w:val="Default Paragraph Font"/>
    <w:autoRedefine/>
    <w:unhideWhenUsed/>
    <w:qFormat/>
    <w:uiPriority w:val="1"/>
  </w:style>
  <w:style w:type="table" w:default="1" w:styleId="5">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标题 1 Char"/>
    <w:basedOn w:val="7"/>
    <w:link w:val="2"/>
    <w:qFormat/>
    <w:uiPriority w:val="99"/>
    <w:rPr>
      <w:rFonts w:ascii="Calibri" w:hAnsi="Calibri" w:eastAsia="方正小标宋简体" w:cs="Times New Roman"/>
      <w:b/>
      <w:kern w:val="44"/>
      <w:sz w:val="44"/>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1762</Words>
  <Characters>1920</Characters>
  <Lines>0</Lines>
  <Paragraphs>0</Paragraphs>
  <TotalTime>40</TotalTime>
  <ScaleCrop>false</ScaleCrop>
  <LinksUpToDate>false</LinksUpToDate>
  <CharactersWithSpaces>1996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2023-03-29T03:41:00Z</dcterms:created>
  <dc:creator>华</dc:creator>
  <cp:lastModifiedBy>华</cp:lastModifiedBy>
  <dcterms:modified xsi:type="dcterms:W3CDTF">2024-10-28T06:15:23Z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13FA8A52C49B4ECB86888CD302F5E457_11</vt:lpwstr>
  </property>
</Properties>
</file>