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19F1E77">
      <w:pPr>
        <w:spacing w:line="480" w:lineRule="exact"/>
        <w:jc w:val="center"/>
        <w:rPr>
          <w:rFonts w:ascii="黑体" w:hAnsi="黑体" w:eastAsia="黑体" w:cs="黑体"/>
          <w:sz w:val="32"/>
          <w:szCs w:val="32"/>
        </w:rPr>
      </w:pPr>
      <w:r>
        <w:rPr>
          <w:rFonts w:hint="eastAsia" w:ascii="黑体" w:hAnsi="黑体" w:eastAsia="黑体" w:cs="黑体"/>
          <w:sz w:val="32"/>
          <w:szCs w:val="32"/>
        </w:rPr>
        <w:t>债权审查规则及债权核查程序</w:t>
      </w:r>
    </w:p>
    <w:p w14:paraId="50607BAB">
      <w:pPr>
        <w:spacing w:line="480" w:lineRule="exact"/>
        <w:ind w:firstLine="480" w:firstLineChars="200"/>
        <w:rPr>
          <w:rFonts w:ascii="宋体" w:hAnsi="宋体" w:cs="宋体"/>
          <w:sz w:val="24"/>
        </w:rPr>
      </w:pPr>
    </w:p>
    <w:p w14:paraId="2075310E">
      <w:pPr>
        <w:spacing w:line="480" w:lineRule="exact"/>
        <w:ind w:firstLine="480" w:firstLineChars="200"/>
        <w:rPr>
          <w:rFonts w:ascii="宋体" w:hAnsi="宋体" w:eastAsia="宋体" w:cs="宋体"/>
          <w:sz w:val="24"/>
        </w:rPr>
      </w:pPr>
      <w:r>
        <w:rPr>
          <w:rFonts w:hint="eastAsia" w:ascii="宋体" w:hAnsi="宋体" w:eastAsia="宋体" w:cs="宋体"/>
          <w:sz w:val="24"/>
        </w:rPr>
        <w:t>管理人根据《中华人民共和国企业破产法》（下称“《企业破产法》”）及其司法解释等法律法规和司法解释的规定，制定本规则及程序。</w:t>
      </w:r>
    </w:p>
    <w:p w14:paraId="4AE7B489">
      <w:pPr>
        <w:spacing w:line="480" w:lineRule="exact"/>
        <w:ind w:firstLine="482" w:firstLineChars="200"/>
        <w:rPr>
          <w:rFonts w:ascii="宋体" w:hAnsi="宋体" w:eastAsia="宋体" w:cs="宋体"/>
          <w:b/>
          <w:bCs/>
          <w:sz w:val="24"/>
        </w:rPr>
      </w:pPr>
      <w:r>
        <w:rPr>
          <w:rFonts w:hint="eastAsia" w:ascii="宋体" w:hAnsi="宋体" w:eastAsia="宋体" w:cs="宋体"/>
          <w:b/>
          <w:bCs/>
          <w:sz w:val="24"/>
          <w:lang w:eastAsia="zh-Hans"/>
        </w:rPr>
        <w:t>一</w:t>
      </w:r>
      <w:r>
        <w:rPr>
          <w:rFonts w:ascii="宋体" w:hAnsi="宋体" w:eastAsia="宋体" w:cs="宋体"/>
          <w:b/>
          <w:bCs/>
          <w:sz w:val="24"/>
          <w:lang w:eastAsia="zh-Hans"/>
        </w:rPr>
        <w:t>、</w:t>
      </w:r>
      <w:r>
        <w:rPr>
          <w:rFonts w:hint="eastAsia" w:ascii="宋体" w:hAnsi="宋体" w:eastAsia="宋体" w:cs="宋体"/>
          <w:b/>
          <w:bCs/>
          <w:sz w:val="24"/>
        </w:rPr>
        <w:t>债权审查的基本原则</w:t>
      </w:r>
    </w:p>
    <w:p w14:paraId="3605CC6E">
      <w:pPr>
        <w:spacing w:line="480" w:lineRule="exact"/>
        <w:ind w:firstLine="480" w:firstLineChars="200"/>
        <w:rPr>
          <w:rFonts w:ascii="宋体" w:hAnsi="宋体" w:eastAsia="宋体" w:cs="宋体"/>
          <w:sz w:val="24"/>
        </w:rPr>
      </w:pPr>
      <w:r>
        <w:rPr>
          <w:rFonts w:hint="eastAsia" w:ascii="宋体" w:hAnsi="宋体" w:eastAsia="宋体" w:cs="宋体"/>
          <w:sz w:val="24"/>
        </w:rPr>
        <w:t>（一）</w:t>
      </w:r>
      <w:r>
        <w:rPr>
          <w:rFonts w:hint="eastAsia" w:ascii="宋体" w:hAnsi="宋体" w:eastAsia="宋体" w:cs="宋体"/>
          <w:sz w:val="24"/>
        </w:rPr>
        <w:tab/>
      </w:r>
      <w:r>
        <w:rPr>
          <w:rFonts w:hint="eastAsia" w:ascii="宋体" w:hAnsi="宋体" w:eastAsia="宋体" w:cs="宋体"/>
          <w:sz w:val="24"/>
        </w:rPr>
        <w:t>债权人主体审查</w:t>
      </w:r>
    </w:p>
    <w:p w14:paraId="17805794">
      <w:pPr>
        <w:spacing w:line="480" w:lineRule="exact"/>
        <w:ind w:firstLine="480" w:firstLineChars="200"/>
        <w:rPr>
          <w:rFonts w:ascii="宋体" w:hAnsi="宋体" w:eastAsia="宋体" w:cs="宋体"/>
          <w:sz w:val="24"/>
        </w:rPr>
      </w:pPr>
      <w:r>
        <w:rPr>
          <w:rFonts w:hint="eastAsia" w:ascii="宋体" w:hAnsi="宋体" w:eastAsia="宋体" w:cs="宋体"/>
          <w:sz w:val="24"/>
        </w:rPr>
        <w:t>向管理人申报的债权人应与申报的基础法律事实的主体一致，如果发生债权转让、原债权人名称变更、企业改制、分立、合并等情形的，管理人应对债权主体的同一性进行审查，包括工商变更登记信息、债权转让协议、通知等法律文件。债权人已经合法变更</w:t>
      </w:r>
      <w:r>
        <w:rPr>
          <w:rFonts w:ascii="宋体" w:hAnsi="宋体" w:eastAsia="宋体" w:cs="宋体"/>
          <w:sz w:val="24"/>
        </w:rPr>
        <w:t>，</w:t>
      </w:r>
      <w:r>
        <w:rPr>
          <w:rFonts w:hint="eastAsia" w:ascii="宋体" w:hAnsi="宋体" w:eastAsia="宋体" w:cs="宋体"/>
          <w:sz w:val="24"/>
        </w:rPr>
        <w:t>原</w:t>
      </w:r>
      <w:r>
        <w:rPr>
          <w:rFonts w:hint="eastAsia" w:ascii="宋体" w:hAnsi="宋体" w:eastAsia="宋体" w:cs="宋体"/>
          <w:sz w:val="24"/>
          <w:lang w:eastAsia="zh-Hans"/>
        </w:rPr>
        <w:t>债</w:t>
      </w:r>
      <w:r>
        <w:rPr>
          <w:rFonts w:hint="eastAsia" w:ascii="宋体" w:hAnsi="宋体" w:eastAsia="宋体" w:cs="宋体"/>
          <w:sz w:val="24"/>
        </w:rPr>
        <w:t>权人和新债权人就同一债权均向管理人申报的，以新债权人的申报为准。</w:t>
      </w:r>
    </w:p>
    <w:p w14:paraId="31AC8469">
      <w:pPr>
        <w:spacing w:line="480" w:lineRule="exact"/>
        <w:ind w:firstLine="480" w:firstLineChars="200"/>
        <w:rPr>
          <w:rFonts w:ascii="宋体" w:hAnsi="宋体" w:eastAsia="宋体" w:cs="宋体"/>
          <w:sz w:val="24"/>
        </w:rPr>
      </w:pPr>
      <w:r>
        <w:rPr>
          <w:rFonts w:hint="eastAsia" w:ascii="宋体" w:hAnsi="宋体" w:eastAsia="宋体" w:cs="宋体"/>
          <w:sz w:val="24"/>
        </w:rPr>
        <w:t>（二）</w:t>
      </w:r>
      <w:r>
        <w:rPr>
          <w:rFonts w:hint="eastAsia" w:ascii="宋体" w:hAnsi="宋体" w:eastAsia="宋体" w:cs="宋体"/>
          <w:sz w:val="24"/>
        </w:rPr>
        <w:tab/>
      </w:r>
      <w:r>
        <w:rPr>
          <w:rFonts w:hint="eastAsia" w:ascii="宋体" w:hAnsi="宋体" w:eastAsia="宋体" w:cs="宋体"/>
          <w:sz w:val="24"/>
        </w:rPr>
        <w:t>债权真实性、合法性审查</w:t>
      </w:r>
    </w:p>
    <w:p w14:paraId="42607A19">
      <w:pPr>
        <w:spacing w:line="480" w:lineRule="exact"/>
        <w:ind w:firstLine="480" w:firstLineChars="200"/>
        <w:rPr>
          <w:rFonts w:ascii="宋体" w:hAnsi="宋体" w:eastAsia="宋体" w:cs="宋体"/>
          <w:sz w:val="24"/>
        </w:rPr>
      </w:pPr>
      <w:r>
        <w:rPr>
          <w:rFonts w:hint="eastAsia" w:ascii="宋体" w:hAnsi="宋体" w:eastAsia="宋体" w:cs="宋体"/>
          <w:sz w:val="24"/>
        </w:rPr>
        <w:t>经管理人审查认定的债权应是真实存在、合法有效的债权，管理人应对证据的真实性、合法性、完整性进行审查。债权人提交的证据不足以支持其权利请求，管理人不予认定。债权人虽然未提供充分的证据，但已在破产前与债务人进行对账确认或债务人财务原始凭证确有记载的，管理人</w:t>
      </w:r>
      <w:r>
        <w:rPr>
          <w:rFonts w:hint="eastAsia" w:ascii="宋体" w:hAnsi="宋体" w:eastAsia="宋体" w:cs="宋体"/>
          <w:sz w:val="24"/>
          <w:lang w:eastAsia="zh-Hans"/>
        </w:rPr>
        <w:t>将视情况</w:t>
      </w:r>
      <w:r>
        <w:rPr>
          <w:rFonts w:hint="eastAsia" w:ascii="宋体" w:hAnsi="宋体" w:eastAsia="宋体" w:cs="宋体"/>
          <w:sz w:val="24"/>
        </w:rPr>
        <w:t>予以认定。债权申报金额与债务人记载的金额不一致的，根据债权人提供的证据材料，进行审核认定。</w:t>
      </w:r>
    </w:p>
    <w:p w14:paraId="0A38F5A4">
      <w:pPr>
        <w:spacing w:line="480" w:lineRule="exact"/>
        <w:ind w:firstLine="480" w:firstLineChars="200"/>
        <w:rPr>
          <w:rFonts w:ascii="宋体" w:hAnsi="宋体" w:eastAsia="宋体" w:cs="宋体"/>
          <w:sz w:val="24"/>
        </w:rPr>
      </w:pPr>
      <w:r>
        <w:rPr>
          <w:rFonts w:hint="eastAsia" w:ascii="宋体" w:hAnsi="宋体" w:eastAsia="宋体" w:cs="宋体"/>
          <w:sz w:val="24"/>
        </w:rPr>
        <w:t>（三）债权诉讼时效</w:t>
      </w:r>
      <w:r>
        <w:rPr>
          <w:rFonts w:ascii="宋体" w:hAnsi="宋体" w:eastAsia="宋体" w:cs="宋体"/>
          <w:sz w:val="24"/>
        </w:rPr>
        <w:t>/</w:t>
      </w:r>
      <w:r>
        <w:rPr>
          <w:rFonts w:hint="eastAsia" w:ascii="宋体" w:hAnsi="宋体" w:eastAsia="宋体" w:cs="宋体"/>
          <w:sz w:val="24"/>
        </w:rPr>
        <w:t>申请</w:t>
      </w:r>
      <w:r>
        <w:rPr>
          <w:rFonts w:hint="eastAsia" w:ascii="宋体" w:hAnsi="宋体" w:eastAsia="宋体" w:cs="宋体"/>
          <w:sz w:val="24"/>
          <w:lang w:eastAsia="zh-Hans"/>
        </w:rPr>
        <w:t>强制</w:t>
      </w:r>
      <w:r>
        <w:rPr>
          <w:rFonts w:hint="eastAsia" w:ascii="宋体" w:hAnsi="宋体" w:eastAsia="宋体" w:cs="宋体"/>
          <w:sz w:val="24"/>
        </w:rPr>
        <w:t>执行时效审查</w:t>
      </w:r>
    </w:p>
    <w:p w14:paraId="46343EEA">
      <w:pPr>
        <w:spacing w:line="480" w:lineRule="exact"/>
        <w:ind w:firstLine="480" w:firstLineChars="200"/>
        <w:rPr>
          <w:rFonts w:ascii="宋体" w:hAnsi="宋体" w:eastAsia="宋体" w:cs="宋体"/>
          <w:sz w:val="24"/>
        </w:rPr>
      </w:pPr>
      <w:r>
        <w:rPr>
          <w:rFonts w:hint="eastAsia" w:ascii="宋体" w:hAnsi="宋体" w:eastAsia="宋体" w:cs="宋体"/>
          <w:sz w:val="24"/>
        </w:rPr>
        <w:t>根据《民法通则》第一百三十五条规定的“向人民法院请求保护民事权利的诉讼时效期间为二年”，以及根据2017年10月1日施行 的《民法总则》第一百八十八条规定</w:t>
      </w:r>
      <w:r>
        <w:rPr>
          <w:rFonts w:ascii="宋体" w:hAnsi="宋体" w:eastAsia="宋体" w:cs="宋体"/>
          <w:sz w:val="24"/>
        </w:rPr>
        <w:t>：</w:t>
      </w:r>
      <w:r>
        <w:rPr>
          <w:rFonts w:hint="eastAsia" w:ascii="宋体" w:hAnsi="宋体" w:eastAsia="宋体" w:cs="宋体"/>
          <w:sz w:val="24"/>
        </w:rPr>
        <w:t>“向人民法院请求保护民事权利的诉讼时效期间为三年。法律另有规定的，依照其规定。”并根据 2021年1月1日施行的《中华人民共和国民法典》第一百八十八条规定："向人民法院请求保护民事权利的诉讼时效期间为三年。法律另有规定的，依照其规定。”</w:t>
      </w:r>
      <w:r>
        <w:rPr>
          <w:rFonts w:hint="eastAsia" w:ascii="宋体" w:hAnsi="宋体" w:eastAsia="宋体" w:cs="宋体"/>
          <w:sz w:val="24"/>
          <w:lang w:eastAsia="zh-Hans"/>
        </w:rPr>
        <w:t>因此</w:t>
      </w:r>
      <w:r>
        <w:rPr>
          <w:rFonts w:hint="eastAsia" w:ascii="宋体" w:hAnsi="宋体" w:eastAsia="宋体" w:cs="宋体"/>
          <w:sz w:val="24"/>
        </w:rPr>
        <w:t>经管理人审核，诉讼时效期间在2017 年10月1日前尚未届满的，适用3年的诉讼时效规定，诉讼时效期间在2017年10月1日前已经届满，债务人的诉讼时效抗辩权已经产生的，适用2年的诉讼时效规定。</w:t>
      </w:r>
    </w:p>
    <w:p w14:paraId="5D5E6289">
      <w:pPr>
        <w:spacing w:line="480" w:lineRule="exact"/>
        <w:ind w:firstLine="480" w:firstLineChars="200"/>
        <w:rPr>
          <w:rFonts w:ascii="宋体" w:hAnsi="宋体" w:eastAsia="宋体" w:cs="宋体"/>
          <w:sz w:val="24"/>
        </w:rPr>
      </w:pPr>
      <w:r>
        <w:rPr>
          <w:rFonts w:hint="eastAsia" w:ascii="宋体" w:hAnsi="宋体" w:eastAsia="宋体" w:cs="宋体"/>
          <w:sz w:val="24"/>
        </w:rPr>
        <w:t>凡超过诉讼时效期间，债权人又无法提供证据证明债权存在时效中止、中断或延长情形的，因人民法院不予保护，管理人不予认定该债权作为破产债权。若涉及债务人需要承担连带保证担保责任的债权，而债权人未提供在保证期间内向债务人主张连带保证担保责任的证明，管理人亦不予认可该债权。</w:t>
      </w:r>
    </w:p>
    <w:p w14:paraId="08F6FF35">
      <w:pPr>
        <w:spacing w:line="480" w:lineRule="exact"/>
        <w:ind w:firstLine="480" w:firstLineChars="200"/>
        <w:rPr>
          <w:rFonts w:ascii="宋体" w:hAnsi="宋体" w:eastAsia="宋体" w:cs="宋体"/>
          <w:sz w:val="24"/>
        </w:rPr>
      </w:pPr>
      <w:r>
        <w:rPr>
          <w:rFonts w:hint="eastAsia" w:ascii="宋体" w:hAnsi="宋体" w:eastAsia="宋体" w:cs="宋体"/>
          <w:sz w:val="24"/>
        </w:rPr>
        <w:t>已经生效法律文书（包括发生法律效力的民事判决书、裁定书、调解书、支付令、仲裁裁决，公证机关依法赋予强制执行效力的债权文书等，下同）确认但未在法定的申请执行期限内向债务人提出主张或申请人民法院强制执行的债权，因超过法定期限，管理人不予认定。</w:t>
      </w:r>
    </w:p>
    <w:p w14:paraId="06A95B24">
      <w:pPr>
        <w:numPr>
          <w:ilvl w:val="0"/>
          <w:numId w:val="1"/>
        </w:numPr>
        <w:spacing w:line="480" w:lineRule="exact"/>
        <w:ind w:firstLine="480" w:firstLineChars="200"/>
        <w:rPr>
          <w:rFonts w:ascii="宋体" w:hAnsi="宋体" w:eastAsia="宋体" w:cs="宋体"/>
          <w:sz w:val="24"/>
          <w:lang w:eastAsia="zh-Hans"/>
        </w:rPr>
      </w:pPr>
      <w:r>
        <w:rPr>
          <w:rFonts w:hint="eastAsia" w:ascii="宋体" w:hAnsi="宋体" w:eastAsia="宋体" w:cs="宋体"/>
          <w:sz w:val="24"/>
          <w:lang w:eastAsia="zh-Hans"/>
        </w:rPr>
        <w:t>基于债权人申报</w:t>
      </w:r>
      <w:r>
        <w:rPr>
          <w:rFonts w:ascii="宋体" w:hAnsi="宋体" w:eastAsia="宋体" w:cs="宋体"/>
          <w:sz w:val="24"/>
          <w:lang w:eastAsia="zh-Hans"/>
        </w:rPr>
        <w:t>/</w:t>
      </w:r>
      <w:r>
        <w:rPr>
          <w:rFonts w:hint="eastAsia" w:ascii="宋体" w:hAnsi="宋体" w:eastAsia="宋体" w:cs="宋体"/>
          <w:sz w:val="24"/>
          <w:lang w:eastAsia="zh-Hans"/>
        </w:rPr>
        <w:t>主张的金额审查</w:t>
      </w:r>
    </w:p>
    <w:p w14:paraId="2A1A211D">
      <w:pPr>
        <w:spacing w:line="480" w:lineRule="exact"/>
        <w:ind w:firstLine="480" w:firstLineChars="200"/>
        <w:rPr>
          <w:rFonts w:ascii="宋体" w:hAnsi="宋体" w:eastAsia="宋体" w:cs="宋体"/>
          <w:sz w:val="24"/>
          <w:lang w:eastAsia="zh-Hans"/>
        </w:rPr>
      </w:pPr>
      <w:r>
        <w:rPr>
          <w:rFonts w:hint="eastAsia" w:ascii="宋体" w:hAnsi="宋体" w:eastAsia="宋体" w:cs="宋体"/>
          <w:sz w:val="24"/>
          <w:lang w:eastAsia="zh-Hans"/>
        </w:rPr>
        <w:t>根据</w:t>
      </w:r>
      <w:r>
        <w:rPr>
          <w:rFonts w:ascii="宋体" w:hAnsi="宋体" w:eastAsia="宋体" w:cs="宋体"/>
          <w:sz w:val="24"/>
          <w:lang w:eastAsia="zh-Hans"/>
        </w:rPr>
        <w:t>《中华人民共和国民事诉讼法》</w:t>
      </w:r>
      <w:r>
        <w:rPr>
          <w:rFonts w:hint="eastAsia" w:ascii="宋体" w:hAnsi="宋体" w:eastAsia="宋体" w:cs="宋体"/>
          <w:sz w:val="24"/>
          <w:lang w:eastAsia="zh-Hans"/>
        </w:rPr>
        <w:t>第十三条第二款之规定</w:t>
      </w:r>
      <w:r>
        <w:rPr>
          <w:rFonts w:ascii="宋体" w:hAnsi="宋体" w:eastAsia="宋体" w:cs="宋体"/>
          <w:sz w:val="24"/>
          <w:lang w:eastAsia="zh-Hans"/>
        </w:rPr>
        <w:t>：</w:t>
      </w:r>
      <w:r>
        <w:rPr>
          <w:rFonts w:hint="eastAsia" w:ascii="宋体" w:hAnsi="宋体" w:eastAsia="宋体" w:cs="宋体"/>
          <w:sz w:val="24"/>
          <w:lang w:eastAsia="zh-Hans"/>
        </w:rPr>
        <w:t>“当事人有权在法律规定的范围内处分自己的民事权利和诉讼权利。”因此管理人在进行债权审查时</w:t>
      </w:r>
      <w:r>
        <w:rPr>
          <w:rFonts w:ascii="宋体" w:hAnsi="宋体" w:eastAsia="宋体" w:cs="宋体"/>
          <w:sz w:val="24"/>
          <w:lang w:eastAsia="zh-Hans"/>
        </w:rPr>
        <w:t>，</w:t>
      </w:r>
      <w:r>
        <w:rPr>
          <w:rFonts w:hint="eastAsia" w:ascii="宋体" w:hAnsi="宋体" w:eastAsia="宋体" w:cs="宋体"/>
          <w:sz w:val="24"/>
          <w:lang w:eastAsia="zh-Hans"/>
        </w:rPr>
        <w:t>若债权人所申报</w:t>
      </w:r>
      <w:r>
        <w:rPr>
          <w:rFonts w:ascii="宋体" w:hAnsi="宋体" w:eastAsia="宋体" w:cs="宋体"/>
          <w:sz w:val="24"/>
          <w:lang w:eastAsia="zh-Hans"/>
        </w:rPr>
        <w:t>/</w:t>
      </w:r>
      <w:r>
        <w:rPr>
          <w:rFonts w:hint="eastAsia" w:ascii="宋体" w:hAnsi="宋体" w:eastAsia="宋体" w:cs="宋体"/>
          <w:sz w:val="24"/>
          <w:lang w:eastAsia="zh-Hans"/>
        </w:rPr>
        <w:t>主张的债权金额未违反现行法律法规规定</w:t>
      </w:r>
      <w:r>
        <w:rPr>
          <w:rFonts w:ascii="宋体" w:hAnsi="宋体" w:eastAsia="宋体" w:cs="宋体"/>
          <w:sz w:val="24"/>
          <w:lang w:eastAsia="zh-Hans"/>
        </w:rPr>
        <w:t>，</w:t>
      </w:r>
      <w:r>
        <w:rPr>
          <w:rFonts w:hint="eastAsia" w:ascii="宋体" w:hAnsi="宋体" w:eastAsia="宋体" w:cs="宋体"/>
          <w:sz w:val="24"/>
          <w:lang w:eastAsia="zh-Hans"/>
        </w:rPr>
        <w:t>或者未超出现行法律法规规定的计算标准所得之金额</w:t>
      </w:r>
      <w:r>
        <w:rPr>
          <w:rFonts w:ascii="宋体" w:hAnsi="宋体" w:eastAsia="宋体" w:cs="宋体"/>
          <w:sz w:val="24"/>
          <w:lang w:eastAsia="zh-Hans"/>
        </w:rPr>
        <w:t>，</w:t>
      </w:r>
      <w:r>
        <w:rPr>
          <w:rFonts w:hint="eastAsia" w:ascii="宋体" w:hAnsi="宋体" w:eastAsia="宋体" w:cs="宋体"/>
          <w:sz w:val="24"/>
          <w:lang w:eastAsia="zh-Hans"/>
        </w:rPr>
        <w:t>则管理人将以债权人提交的相关债权申报材料</w:t>
      </w:r>
      <w:r>
        <w:rPr>
          <w:rFonts w:ascii="宋体" w:hAnsi="宋体" w:eastAsia="宋体" w:cs="宋体"/>
          <w:sz w:val="24"/>
          <w:lang w:eastAsia="zh-Hans"/>
        </w:rPr>
        <w:t>（</w:t>
      </w:r>
      <w:r>
        <w:rPr>
          <w:rFonts w:hint="eastAsia" w:ascii="宋体" w:hAnsi="宋体" w:eastAsia="宋体" w:cs="宋体"/>
          <w:sz w:val="24"/>
          <w:lang w:eastAsia="zh-Hans"/>
        </w:rPr>
        <w:t>包括但不限于</w:t>
      </w:r>
      <w:r>
        <w:rPr>
          <w:rFonts w:ascii="宋体" w:hAnsi="宋体" w:eastAsia="宋体" w:cs="宋体"/>
          <w:sz w:val="24"/>
          <w:lang w:eastAsia="zh-Hans"/>
        </w:rPr>
        <w:t>《</w:t>
      </w:r>
      <w:r>
        <w:rPr>
          <w:rFonts w:hint="eastAsia" w:ascii="宋体" w:hAnsi="宋体" w:eastAsia="宋体" w:cs="宋体"/>
          <w:sz w:val="24"/>
          <w:lang w:eastAsia="zh-Hans"/>
        </w:rPr>
        <w:t>债权申报登记表</w:t>
      </w:r>
      <w:r>
        <w:rPr>
          <w:rFonts w:ascii="宋体" w:hAnsi="宋体" w:eastAsia="宋体" w:cs="宋体"/>
          <w:sz w:val="24"/>
          <w:lang w:eastAsia="zh-Hans"/>
        </w:rPr>
        <w:t>》、《</w:t>
      </w:r>
      <w:r>
        <w:rPr>
          <w:rFonts w:hint="eastAsia" w:ascii="宋体" w:hAnsi="宋体" w:eastAsia="宋体" w:cs="宋体"/>
          <w:sz w:val="24"/>
          <w:lang w:eastAsia="zh-Hans"/>
        </w:rPr>
        <w:t>债权申报书</w:t>
      </w:r>
      <w:r>
        <w:rPr>
          <w:rFonts w:ascii="宋体" w:hAnsi="宋体" w:eastAsia="宋体" w:cs="宋体"/>
          <w:sz w:val="24"/>
          <w:lang w:eastAsia="zh-Hans"/>
        </w:rPr>
        <w:t>》）</w:t>
      </w:r>
      <w:r>
        <w:rPr>
          <w:rFonts w:hint="eastAsia" w:ascii="宋体" w:hAnsi="宋体" w:eastAsia="宋体" w:cs="宋体"/>
          <w:sz w:val="24"/>
          <w:lang w:eastAsia="zh-Hans"/>
        </w:rPr>
        <w:t>中的申报金额予以确认</w:t>
      </w:r>
      <w:r>
        <w:rPr>
          <w:rFonts w:ascii="宋体" w:hAnsi="宋体" w:eastAsia="宋体" w:cs="宋体"/>
          <w:sz w:val="24"/>
          <w:lang w:eastAsia="zh-Hans"/>
        </w:rPr>
        <w:t>。</w:t>
      </w:r>
      <w:r>
        <w:rPr>
          <w:rFonts w:hint="eastAsia" w:ascii="宋体" w:hAnsi="宋体" w:eastAsia="宋体" w:cs="宋体"/>
          <w:sz w:val="24"/>
        </w:rPr>
        <w:t>管理人审核认定债权时，应核减债务人、担保人和其他债务人已经履行的部分。</w:t>
      </w:r>
    </w:p>
    <w:p w14:paraId="47750F61">
      <w:pPr>
        <w:spacing w:line="480" w:lineRule="exact"/>
        <w:ind w:firstLine="482" w:firstLineChars="200"/>
        <w:rPr>
          <w:rFonts w:ascii="宋体" w:hAnsi="宋体" w:eastAsia="宋体" w:cs="宋体"/>
          <w:b/>
          <w:bCs/>
          <w:sz w:val="24"/>
        </w:rPr>
      </w:pPr>
      <w:r>
        <w:rPr>
          <w:rFonts w:hint="eastAsia" w:ascii="宋体" w:hAnsi="宋体" w:eastAsia="宋体" w:cs="宋体"/>
          <w:b/>
          <w:bCs/>
          <w:sz w:val="24"/>
        </w:rPr>
        <w:t>二、债权审查的具体标准</w:t>
      </w:r>
    </w:p>
    <w:p w14:paraId="70DBDEC4">
      <w:pPr>
        <w:spacing w:line="480" w:lineRule="exact"/>
        <w:ind w:firstLine="480" w:firstLineChars="200"/>
        <w:rPr>
          <w:rFonts w:ascii="宋体" w:hAnsi="宋体" w:eastAsia="宋体" w:cs="宋体"/>
          <w:sz w:val="24"/>
        </w:rPr>
      </w:pPr>
      <w:r>
        <w:rPr>
          <w:rFonts w:hint="eastAsia" w:ascii="宋体" w:hAnsi="宋体" w:eastAsia="宋体" w:cs="宋体"/>
          <w:sz w:val="24"/>
        </w:rPr>
        <w:t>（一）涉及诉讼、仲裁的债权</w:t>
      </w:r>
    </w:p>
    <w:p w14:paraId="3DFDFFF0">
      <w:pPr>
        <w:spacing w:line="480" w:lineRule="exact"/>
        <w:ind w:firstLine="480" w:firstLineChars="200"/>
        <w:rPr>
          <w:rFonts w:ascii="宋体" w:hAnsi="宋体" w:eastAsia="宋体" w:cs="宋体"/>
          <w:sz w:val="24"/>
        </w:rPr>
      </w:pPr>
      <w:r>
        <w:rPr>
          <w:rFonts w:hint="eastAsia" w:ascii="宋体" w:hAnsi="宋体" w:eastAsia="宋体" w:cs="宋体"/>
          <w:sz w:val="24"/>
        </w:rPr>
        <w:t>管理人对已经生效法律文书确认的债权，应当根据生效法律文书认定债权，但超过申请执行时效的债权不列入破产债权，《企业破产法》</w:t>
      </w:r>
      <w:r>
        <w:rPr>
          <w:rFonts w:hint="eastAsia" w:ascii="宋体" w:hAnsi="宋体" w:eastAsia="宋体" w:cs="宋体"/>
          <w:sz w:val="24"/>
          <w:lang w:eastAsia="zh-Hans"/>
        </w:rPr>
        <w:t>及其司法解释</w:t>
      </w:r>
      <w:r>
        <w:rPr>
          <w:rFonts w:hint="eastAsia" w:ascii="宋体" w:hAnsi="宋体" w:eastAsia="宋体" w:cs="宋体"/>
          <w:sz w:val="24"/>
        </w:rPr>
        <w:t>等有特别规定的，以该等规定为准。债权人为实现债权所支出的诉讼费、保全费、公告费、评估费、执行费等，生效文书判决应由债务人负担的，根据《诉讼费交纳办法》第五十三条规定，应当由人民法院退还有关当事人的，本次破产程序</w:t>
      </w:r>
      <w:r>
        <w:rPr>
          <w:rFonts w:hint="eastAsia" w:ascii="宋体" w:hAnsi="宋体" w:eastAsia="宋体" w:cs="宋体"/>
          <w:sz w:val="24"/>
          <w:lang w:eastAsia="zh-Hans"/>
        </w:rPr>
        <w:t>一律</w:t>
      </w:r>
      <w:r>
        <w:rPr>
          <w:rFonts w:hint="eastAsia" w:ascii="宋体" w:hAnsi="宋体" w:eastAsia="宋体" w:cs="宋体"/>
          <w:sz w:val="24"/>
        </w:rPr>
        <w:t>不计入破产债权；生效文书判决应由债务人承担且不应当由人民法院退还的，计入破产债权。</w:t>
      </w:r>
    </w:p>
    <w:p w14:paraId="5450620B">
      <w:pPr>
        <w:spacing w:line="480" w:lineRule="exact"/>
        <w:ind w:firstLine="480" w:firstLineChars="200"/>
        <w:rPr>
          <w:rFonts w:ascii="宋体" w:hAnsi="宋体" w:eastAsia="宋体" w:cs="宋体"/>
          <w:sz w:val="24"/>
        </w:rPr>
      </w:pPr>
      <w:r>
        <w:rPr>
          <w:rFonts w:hint="eastAsia" w:ascii="宋体" w:hAnsi="宋体" w:eastAsia="宋体" w:cs="宋体"/>
          <w:sz w:val="24"/>
        </w:rPr>
        <w:t>对于涉及诉讼或仲裁，但尚未作出裁决的债权，若案件事实争议不大，债权人证据充足，管理人可以直接审核认定</w:t>
      </w:r>
      <w:r>
        <w:rPr>
          <w:rFonts w:ascii="宋体" w:hAnsi="宋体" w:eastAsia="宋体" w:cs="宋体"/>
          <w:sz w:val="24"/>
        </w:rPr>
        <w:t>；</w:t>
      </w:r>
      <w:r>
        <w:rPr>
          <w:rFonts w:hint="eastAsia" w:ascii="宋体" w:hAnsi="宋体" w:eastAsia="宋体" w:cs="宋体"/>
          <w:sz w:val="24"/>
        </w:rPr>
        <w:t>若案件事实争议较大，待恢复诉讼、仲裁程序</w:t>
      </w:r>
      <w:r>
        <w:rPr>
          <w:rFonts w:hint="eastAsia" w:ascii="宋体" w:hAnsi="宋体" w:eastAsia="宋体" w:cs="宋体"/>
          <w:sz w:val="24"/>
          <w:lang w:eastAsia="zh-Hans"/>
        </w:rPr>
        <w:t>并依法作出判决</w:t>
      </w:r>
      <w:r>
        <w:rPr>
          <w:rFonts w:ascii="宋体" w:hAnsi="宋体" w:eastAsia="宋体" w:cs="宋体"/>
          <w:sz w:val="24"/>
          <w:lang w:eastAsia="zh-Hans"/>
        </w:rPr>
        <w:t>、</w:t>
      </w:r>
      <w:r>
        <w:rPr>
          <w:rFonts w:hint="eastAsia" w:ascii="宋体" w:hAnsi="宋体" w:eastAsia="宋体" w:cs="宋体"/>
          <w:sz w:val="24"/>
          <w:lang w:eastAsia="zh-Hans"/>
        </w:rPr>
        <w:t>裁决后</w:t>
      </w:r>
      <w:r>
        <w:rPr>
          <w:rFonts w:hint="eastAsia" w:ascii="宋体" w:hAnsi="宋体" w:eastAsia="宋体" w:cs="宋体"/>
          <w:sz w:val="24"/>
        </w:rPr>
        <w:t>，管理人依据法院或仲裁机构作出生效法律文书依法认定。</w:t>
      </w:r>
    </w:p>
    <w:p w14:paraId="2ACE2141">
      <w:pPr>
        <w:spacing w:line="480" w:lineRule="exact"/>
        <w:ind w:firstLine="480" w:firstLineChars="200"/>
        <w:rPr>
          <w:rFonts w:ascii="宋体" w:hAnsi="宋体" w:eastAsia="宋体" w:cs="宋体"/>
          <w:sz w:val="24"/>
        </w:rPr>
      </w:pPr>
      <w:r>
        <w:rPr>
          <w:rFonts w:hint="eastAsia" w:ascii="宋体" w:hAnsi="宋体" w:eastAsia="宋体" w:cs="宋体"/>
          <w:sz w:val="24"/>
        </w:rPr>
        <w:t>对于一审已经判决，债务人对一审判决提起上诉的债权，但债务人没有支付上诉费的，以一审法院作出的判决依法认定。</w:t>
      </w:r>
    </w:p>
    <w:p w14:paraId="40DE8B9C">
      <w:pPr>
        <w:spacing w:line="480" w:lineRule="exact"/>
        <w:ind w:firstLine="480" w:firstLineChars="200"/>
        <w:rPr>
          <w:rFonts w:ascii="宋体" w:hAnsi="宋体" w:eastAsia="宋体" w:cs="宋体"/>
          <w:sz w:val="24"/>
        </w:rPr>
      </w:pPr>
      <w:r>
        <w:rPr>
          <w:rFonts w:hint="eastAsia" w:ascii="宋体" w:hAnsi="宋体" w:eastAsia="宋体" w:cs="宋体"/>
          <w:sz w:val="24"/>
        </w:rPr>
        <w:t>（二）因担保关系产生的债权</w:t>
      </w:r>
    </w:p>
    <w:p w14:paraId="349EC713">
      <w:pPr>
        <w:spacing w:line="480" w:lineRule="exact"/>
        <w:ind w:firstLine="480" w:firstLineChars="200"/>
        <w:rPr>
          <w:rFonts w:ascii="宋体" w:hAnsi="宋体" w:eastAsia="宋体" w:cs="宋体"/>
          <w:sz w:val="24"/>
        </w:rPr>
      </w:pPr>
      <w:r>
        <w:rPr>
          <w:rFonts w:hint="eastAsia" w:ascii="宋体" w:hAnsi="宋体" w:eastAsia="宋体" w:cs="宋体"/>
          <w:sz w:val="24"/>
        </w:rPr>
        <w:t>1、担保人为债务人提供担保产生的债权</w:t>
      </w:r>
    </w:p>
    <w:p w14:paraId="4A47F0DA">
      <w:pPr>
        <w:spacing w:line="480" w:lineRule="exact"/>
        <w:ind w:firstLine="480" w:firstLineChars="200"/>
        <w:rPr>
          <w:rFonts w:ascii="宋体" w:hAnsi="宋体" w:eastAsia="宋体" w:cs="宋体"/>
          <w:sz w:val="24"/>
        </w:rPr>
      </w:pPr>
      <w:r>
        <w:rPr>
          <w:rFonts w:hint="eastAsia" w:ascii="宋体" w:hAnsi="宋体" w:eastAsia="宋体" w:cs="宋体"/>
          <w:sz w:val="24"/>
        </w:rPr>
        <w:t>第三人为债务人的债务提供担保，如果其已经代债务人偿还了债务，则担保人代替偿还额纳入破产债权，债权人就该代替偿还额申报债权的，依法不予认定；担保人尚未代债务人偿还债务的，如果债权人尚未向管理人申报债权，担保人申报的债权符合法律规定的可以作为破产债权；担保人尚未代债务人偿还债务的，如果债权人已经向管理人申报全部债权，担保人申报的债权则不予认定。</w:t>
      </w:r>
    </w:p>
    <w:p w14:paraId="44EFC9F0">
      <w:pPr>
        <w:spacing w:line="480" w:lineRule="exact"/>
        <w:ind w:firstLine="480" w:firstLineChars="200"/>
        <w:rPr>
          <w:rFonts w:ascii="宋体" w:hAnsi="宋体" w:eastAsia="宋体" w:cs="宋体"/>
          <w:sz w:val="24"/>
        </w:rPr>
      </w:pPr>
      <w:r>
        <w:rPr>
          <w:rFonts w:hint="eastAsia" w:ascii="宋体" w:hAnsi="宋体" w:eastAsia="宋体" w:cs="宋体"/>
          <w:sz w:val="24"/>
        </w:rPr>
        <w:t>2、债务人为第三人提供担保产生的债权</w:t>
      </w:r>
    </w:p>
    <w:p w14:paraId="3E22E7DC">
      <w:pPr>
        <w:spacing w:line="480" w:lineRule="exact"/>
        <w:ind w:firstLine="480" w:firstLineChars="200"/>
        <w:rPr>
          <w:rFonts w:ascii="宋体" w:hAnsi="宋体" w:eastAsia="宋体" w:cs="宋体"/>
          <w:sz w:val="24"/>
        </w:rPr>
      </w:pPr>
      <w:r>
        <w:rPr>
          <w:rFonts w:hint="eastAsia" w:ascii="宋体" w:hAnsi="宋体" w:eastAsia="宋体" w:cs="宋体"/>
          <w:sz w:val="24"/>
        </w:rPr>
        <w:t>债务人为第三人的债务提供担保，第三人尚未清偿债务的，债权人可就未获清偿部分向债务人申报债权，如果债务人不具有合法抗辩事由，依法应承担清偿责任的，债权人申报的债权可以作为债权予以认定。若第三人破产，且其破产受理日早于债务人的，债务人作为担保人应承担的债务利息应自第三人破产受理日起停止计息。</w:t>
      </w:r>
    </w:p>
    <w:p w14:paraId="5C25BD6F">
      <w:pPr>
        <w:spacing w:line="480" w:lineRule="exact"/>
        <w:ind w:firstLine="480" w:firstLineChars="200"/>
        <w:rPr>
          <w:rFonts w:ascii="宋体" w:hAnsi="宋体" w:eastAsia="宋体" w:cs="宋体"/>
          <w:sz w:val="24"/>
        </w:rPr>
      </w:pPr>
      <w:r>
        <w:rPr>
          <w:rFonts w:hint="eastAsia" w:ascii="宋体" w:hAnsi="宋体" w:eastAsia="宋体" w:cs="宋体"/>
          <w:sz w:val="24"/>
        </w:rPr>
        <w:t>债务人在合同、借据、收据、欠条等债权凭证或者借款合同上签字或者盖章，但未表明其保证人身份或者承担保证责任，或者通过其他事实不能推定其为保证人，出借人要求债务人承担保证责任的，不予认定。</w:t>
      </w:r>
    </w:p>
    <w:p w14:paraId="2EE13559">
      <w:pPr>
        <w:spacing w:line="480" w:lineRule="exact"/>
        <w:ind w:firstLine="480" w:firstLineChars="200"/>
        <w:rPr>
          <w:rFonts w:ascii="宋体" w:hAnsi="宋体" w:eastAsia="宋体" w:cs="宋体"/>
          <w:sz w:val="24"/>
        </w:rPr>
      </w:pPr>
      <w:r>
        <w:rPr>
          <w:rFonts w:hint="eastAsia" w:ascii="宋体" w:hAnsi="宋体" w:eastAsia="宋体" w:cs="宋体"/>
          <w:sz w:val="24"/>
        </w:rPr>
        <w:t>（三）</w:t>
      </w:r>
      <w:r>
        <w:rPr>
          <w:rFonts w:hint="eastAsia" w:ascii="宋体" w:hAnsi="宋体" w:eastAsia="宋体" w:cs="宋体"/>
          <w:sz w:val="24"/>
        </w:rPr>
        <w:tab/>
      </w:r>
      <w:r>
        <w:rPr>
          <w:rFonts w:hint="eastAsia" w:ascii="宋体" w:hAnsi="宋体" w:eastAsia="宋体" w:cs="宋体"/>
          <w:sz w:val="24"/>
        </w:rPr>
        <w:t>债务人的连带债务人的求偿权</w:t>
      </w:r>
    </w:p>
    <w:p w14:paraId="10C87200">
      <w:pPr>
        <w:spacing w:line="480" w:lineRule="exact"/>
        <w:ind w:firstLine="480" w:firstLineChars="200"/>
        <w:rPr>
          <w:rFonts w:ascii="宋体" w:hAnsi="宋体" w:eastAsia="宋体" w:cs="宋体"/>
          <w:sz w:val="24"/>
        </w:rPr>
      </w:pPr>
      <w:r>
        <w:rPr>
          <w:rFonts w:hint="eastAsia" w:ascii="宋体" w:hAnsi="宋体" w:eastAsia="宋体" w:cs="宋体"/>
          <w:sz w:val="24"/>
        </w:rPr>
        <w:t>债务人的连带债务人代债务人清偿责任后，连带债务人以其对债务人的求偿权申报债权的，符合法律规定的，应当予以登记，但不得超过债务人应当承担担保责任的份额。</w:t>
      </w:r>
    </w:p>
    <w:p w14:paraId="74CA153B">
      <w:pPr>
        <w:spacing w:line="480" w:lineRule="exact"/>
        <w:ind w:firstLine="480" w:firstLineChars="200"/>
        <w:rPr>
          <w:rFonts w:ascii="宋体" w:hAnsi="宋体" w:eastAsia="宋体" w:cs="宋体"/>
          <w:sz w:val="24"/>
        </w:rPr>
      </w:pPr>
      <w:r>
        <w:rPr>
          <w:rFonts w:hint="eastAsia" w:ascii="宋体" w:hAnsi="宋体" w:eastAsia="宋体" w:cs="宋体"/>
          <w:sz w:val="24"/>
        </w:rPr>
        <w:t>（四</w:t>
      </w:r>
      <w:r>
        <w:rPr>
          <w:rFonts w:ascii="宋体" w:hAnsi="宋体" w:eastAsia="宋体" w:cs="宋体"/>
          <w:sz w:val="24"/>
        </w:rPr>
        <w:t>）</w:t>
      </w:r>
      <w:r>
        <w:rPr>
          <w:rFonts w:hint="eastAsia" w:ascii="宋体" w:hAnsi="宋体" w:eastAsia="宋体" w:cs="宋体"/>
          <w:sz w:val="24"/>
        </w:rPr>
        <w:t>有财产担保的债权</w:t>
      </w:r>
    </w:p>
    <w:p w14:paraId="079D7139">
      <w:pPr>
        <w:spacing w:line="480" w:lineRule="exact"/>
        <w:ind w:firstLine="480" w:firstLineChars="200"/>
        <w:rPr>
          <w:rFonts w:ascii="宋体" w:hAnsi="宋体" w:eastAsia="宋体" w:cs="宋体"/>
          <w:sz w:val="24"/>
        </w:rPr>
      </w:pPr>
      <w:r>
        <w:rPr>
          <w:rFonts w:hint="eastAsia" w:ascii="宋体" w:hAnsi="宋体" w:eastAsia="宋体" w:cs="宋体"/>
          <w:sz w:val="24"/>
        </w:rPr>
        <w:t>对债务人的特定财产享有担保权的权利人，对该特定财产享有优先受偿权的权利。根据《企业破产法》第一百零九条</w:t>
      </w:r>
      <w:r>
        <w:rPr>
          <w:rFonts w:ascii="宋体" w:hAnsi="宋体" w:eastAsia="宋体" w:cs="宋体"/>
          <w:sz w:val="24"/>
        </w:rPr>
        <w:t>、第一百一十条</w:t>
      </w:r>
      <w:r>
        <w:rPr>
          <w:rFonts w:hint="eastAsia" w:ascii="宋体" w:hAnsi="宋体" w:eastAsia="宋体" w:cs="宋体"/>
          <w:sz w:val="24"/>
        </w:rPr>
        <w:t>的规定，对债务人的特定财产享有担保权利的债权人行使优先受偿权后未能全额受偿的，其未能受偿的部分作为普通债权；放弃优先受偿权的，其债权作为普通债权。</w:t>
      </w:r>
    </w:p>
    <w:p w14:paraId="3E0D43B1">
      <w:pPr>
        <w:spacing w:line="480" w:lineRule="exact"/>
        <w:ind w:firstLine="480" w:firstLineChars="200"/>
        <w:rPr>
          <w:rFonts w:ascii="宋体" w:hAnsi="宋体" w:eastAsia="宋体" w:cs="宋体"/>
          <w:sz w:val="24"/>
        </w:rPr>
      </w:pPr>
      <w:r>
        <w:rPr>
          <w:rFonts w:hint="eastAsia" w:ascii="宋体" w:hAnsi="宋体" w:eastAsia="宋体" w:cs="宋体"/>
          <w:sz w:val="24"/>
        </w:rPr>
        <w:t>（五）</w:t>
      </w:r>
      <w:r>
        <w:rPr>
          <w:rFonts w:hint="eastAsia" w:ascii="宋体" w:hAnsi="宋体" w:eastAsia="宋体" w:cs="宋体"/>
          <w:sz w:val="24"/>
        </w:rPr>
        <w:tab/>
      </w:r>
      <w:r>
        <w:rPr>
          <w:rFonts w:hint="eastAsia" w:ascii="宋体" w:hAnsi="宋体" w:eastAsia="宋体" w:cs="宋体"/>
          <w:sz w:val="24"/>
        </w:rPr>
        <w:t>税款债权</w:t>
      </w:r>
    </w:p>
    <w:p w14:paraId="1DEAA8AE">
      <w:pPr>
        <w:spacing w:line="480" w:lineRule="exact"/>
        <w:ind w:firstLine="480" w:firstLineChars="200"/>
        <w:rPr>
          <w:rFonts w:ascii="宋体" w:hAnsi="宋体" w:eastAsia="宋体" w:cs="宋体"/>
          <w:sz w:val="24"/>
        </w:rPr>
      </w:pPr>
      <w:r>
        <w:rPr>
          <w:rFonts w:hint="eastAsia" w:ascii="宋体" w:hAnsi="宋体" w:eastAsia="宋体" w:cs="宋体"/>
          <w:sz w:val="24"/>
        </w:rPr>
        <w:t>债务人在人民法院裁定受理破产申请前欠缴的税款本金依法认定为税收债权。</w:t>
      </w:r>
    </w:p>
    <w:p w14:paraId="4E55EAB6">
      <w:pPr>
        <w:spacing w:line="480" w:lineRule="exact"/>
        <w:ind w:firstLine="480" w:firstLineChars="200"/>
        <w:rPr>
          <w:rFonts w:ascii="宋体" w:hAnsi="宋体" w:eastAsia="宋体" w:cs="宋体"/>
          <w:sz w:val="24"/>
        </w:rPr>
      </w:pPr>
      <w:r>
        <w:rPr>
          <w:rFonts w:hint="eastAsia" w:ascii="宋体" w:hAnsi="宋体" w:eastAsia="宋体" w:cs="宋体"/>
          <w:sz w:val="24"/>
        </w:rPr>
        <w:t>债务人在人民法院裁定受理破产申请前因欠缴税款产生的滞纳金认定为劣后清偿的普通破产债权；对于破产案件受理后因欠缴税款产生的滞纳金不列为破产债权。</w:t>
      </w:r>
    </w:p>
    <w:p w14:paraId="511A173E">
      <w:pPr>
        <w:spacing w:line="480" w:lineRule="exact"/>
        <w:ind w:firstLine="480" w:firstLineChars="200"/>
        <w:rPr>
          <w:rFonts w:ascii="宋体" w:hAnsi="宋体" w:eastAsia="宋体" w:cs="宋体"/>
          <w:sz w:val="24"/>
        </w:rPr>
      </w:pPr>
      <w:r>
        <w:rPr>
          <w:rFonts w:hint="eastAsia" w:ascii="宋体" w:hAnsi="宋体" w:eastAsia="宋体" w:cs="宋体"/>
          <w:sz w:val="24"/>
        </w:rPr>
        <w:t>税务机关申报债权，管理人可以凭税务机关自己作出的生效行政决定、上级机关作出的生效行政复议决定或者人民法院生效法律文书依法认定。</w:t>
      </w:r>
    </w:p>
    <w:p w14:paraId="70FA782B">
      <w:pPr>
        <w:spacing w:line="480" w:lineRule="exact"/>
        <w:ind w:firstLine="480" w:firstLineChars="200"/>
        <w:rPr>
          <w:rFonts w:ascii="宋体" w:hAnsi="宋体" w:eastAsia="宋体" w:cs="宋体"/>
          <w:sz w:val="24"/>
        </w:rPr>
      </w:pPr>
      <w:r>
        <w:rPr>
          <w:rFonts w:hint="eastAsia" w:ascii="宋体" w:hAnsi="宋体" w:eastAsia="宋体" w:cs="宋体"/>
          <w:sz w:val="24"/>
        </w:rPr>
        <w:t>（六）债权利息的计算</w:t>
      </w:r>
    </w:p>
    <w:p w14:paraId="53E0F0DF">
      <w:pPr>
        <w:spacing w:line="480" w:lineRule="exact"/>
        <w:ind w:firstLine="480" w:firstLineChars="200"/>
        <w:rPr>
          <w:rFonts w:ascii="宋体" w:hAnsi="宋体" w:eastAsia="宋体" w:cs="宋体"/>
          <w:sz w:val="24"/>
        </w:rPr>
      </w:pPr>
      <w:r>
        <w:rPr>
          <w:rFonts w:hint="eastAsia" w:ascii="宋体" w:hAnsi="宋体" w:eastAsia="宋体" w:cs="宋体"/>
          <w:sz w:val="24"/>
        </w:rPr>
        <w:t>债权申报中包含利息的，其利息计算期限最长计算至人民法院裁定受理债务人破产清算之日。</w:t>
      </w:r>
      <w:r>
        <w:rPr>
          <w:rFonts w:hint="eastAsia" w:ascii="宋体" w:hAnsi="宋体" w:eastAsia="宋体" w:cs="宋体"/>
          <w:sz w:val="24"/>
          <w:lang w:eastAsia="zh-Hans"/>
        </w:rPr>
        <w:t>若涉及天数计算的</w:t>
      </w:r>
      <w:r>
        <w:rPr>
          <w:rFonts w:ascii="宋体" w:hAnsi="宋体" w:eastAsia="宋体" w:cs="宋体"/>
          <w:sz w:val="24"/>
          <w:lang w:eastAsia="zh-Hans"/>
        </w:rPr>
        <w:t>，</w:t>
      </w:r>
      <w:r>
        <w:rPr>
          <w:rFonts w:hint="eastAsia" w:ascii="宋体" w:hAnsi="宋体" w:eastAsia="宋体" w:cs="宋体"/>
          <w:sz w:val="24"/>
          <w:lang w:eastAsia="zh-Hans"/>
        </w:rPr>
        <w:t>则以</w:t>
      </w:r>
      <w:r>
        <w:rPr>
          <w:rFonts w:ascii="宋体" w:hAnsi="宋体" w:eastAsia="宋体" w:cs="宋体"/>
          <w:sz w:val="24"/>
          <w:lang w:eastAsia="zh-Hans"/>
        </w:rPr>
        <w:t>360</w:t>
      </w:r>
      <w:r>
        <w:rPr>
          <w:rFonts w:hint="eastAsia" w:ascii="宋体" w:hAnsi="宋体" w:eastAsia="宋体" w:cs="宋体"/>
          <w:sz w:val="24"/>
          <w:lang w:eastAsia="zh-Hans"/>
        </w:rPr>
        <w:t>天为“一年”进行计算</w:t>
      </w:r>
      <w:r>
        <w:rPr>
          <w:rFonts w:ascii="宋体" w:hAnsi="宋体" w:eastAsia="宋体" w:cs="宋体"/>
          <w:sz w:val="24"/>
          <w:lang w:eastAsia="zh-Hans"/>
        </w:rPr>
        <w:t>，</w:t>
      </w:r>
      <w:r>
        <w:rPr>
          <w:rFonts w:hint="eastAsia" w:ascii="宋体" w:hAnsi="宋体" w:eastAsia="宋体" w:cs="宋体"/>
          <w:sz w:val="24"/>
          <w:lang w:eastAsia="zh-Hans"/>
        </w:rPr>
        <w:t>以</w:t>
      </w:r>
      <w:r>
        <w:rPr>
          <w:rFonts w:ascii="宋体" w:hAnsi="宋体" w:eastAsia="宋体" w:cs="宋体"/>
          <w:sz w:val="24"/>
          <w:lang w:eastAsia="zh-Hans"/>
        </w:rPr>
        <w:t>30</w:t>
      </w:r>
      <w:r>
        <w:rPr>
          <w:rFonts w:hint="eastAsia" w:ascii="宋体" w:hAnsi="宋体" w:eastAsia="宋体" w:cs="宋体"/>
          <w:sz w:val="24"/>
          <w:lang w:eastAsia="zh-Hans"/>
        </w:rPr>
        <w:t>天为“一个月”进行计算</w:t>
      </w:r>
      <w:r>
        <w:rPr>
          <w:rFonts w:ascii="宋体" w:hAnsi="宋体" w:eastAsia="宋体" w:cs="宋体"/>
          <w:sz w:val="24"/>
          <w:lang w:eastAsia="zh-Hans"/>
        </w:rPr>
        <w:t>。</w:t>
      </w:r>
    </w:p>
    <w:p w14:paraId="77858089">
      <w:pPr>
        <w:spacing w:line="480" w:lineRule="exact"/>
        <w:ind w:firstLine="480" w:firstLineChars="200"/>
        <w:rPr>
          <w:rFonts w:ascii="宋体" w:hAnsi="宋体" w:eastAsia="宋体" w:cs="宋体"/>
          <w:sz w:val="24"/>
        </w:rPr>
      </w:pPr>
      <w:r>
        <w:rPr>
          <w:rFonts w:hint="eastAsia" w:ascii="宋体" w:hAnsi="宋体" w:eastAsia="宋体" w:cs="宋体"/>
          <w:sz w:val="24"/>
        </w:rPr>
        <w:t>1、金融信贷利息计算</w:t>
      </w:r>
    </w:p>
    <w:p w14:paraId="57A10CB1">
      <w:pPr>
        <w:spacing w:line="480" w:lineRule="exact"/>
        <w:ind w:firstLine="480" w:firstLineChars="200"/>
        <w:rPr>
          <w:rFonts w:ascii="宋体" w:hAnsi="宋体" w:eastAsia="宋体" w:cs="宋体"/>
          <w:sz w:val="24"/>
        </w:rPr>
      </w:pPr>
      <w:r>
        <w:rPr>
          <w:rFonts w:hint="eastAsia" w:ascii="宋体" w:hAnsi="宋体" w:eastAsia="宋体" w:cs="宋体"/>
          <w:sz w:val="24"/>
        </w:rPr>
        <w:t>依相关合同约定计息</w:t>
      </w:r>
      <w:r>
        <w:rPr>
          <w:rFonts w:ascii="宋体" w:hAnsi="宋体" w:eastAsia="宋体" w:cs="宋体"/>
          <w:sz w:val="24"/>
        </w:rPr>
        <w:t>；</w:t>
      </w:r>
      <w:r>
        <w:rPr>
          <w:rFonts w:hint="eastAsia" w:ascii="宋体" w:hAnsi="宋体" w:eastAsia="宋体" w:cs="宋体"/>
          <w:sz w:val="24"/>
          <w:lang w:eastAsia="zh-Hans"/>
        </w:rPr>
        <w:t>若</w:t>
      </w:r>
      <w:r>
        <w:rPr>
          <w:rFonts w:hint="eastAsia" w:ascii="宋体" w:hAnsi="宋体" w:eastAsia="宋体" w:cs="宋体"/>
          <w:sz w:val="24"/>
        </w:rPr>
        <w:t>合同对利息约定不明的，可以按实际交付或垫付款项之日的中国人民银行同期一年期贷款基准利率</w:t>
      </w:r>
      <w:r>
        <w:rPr>
          <w:rFonts w:ascii="宋体" w:hAnsi="宋体" w:eastAsia="宋体" w:cs="宋体"/>
          <w:sz w:val="24"/>
        </w:rPr>
        <w:t>/</w:t>
      </w:r>
      <w:r>
        <w:rPr>
          <w:rFonts w:hint="eastAsia" w:ascii="宋体" w:hAnsi="宋体" w:eastAsia="宋体" w:cs="宋体"/>
          <w:sz w:val="24"/>
        </w:rPr>
        <w:t>一年期贷款市场报价利率计算利息。</w:t>
      </w:r>
    </w:p>
    <w:p w14:paraId="3B4FD764">
      <w:pPr>
        <w:spacing w:line="480" w:lineRule="exact"/>
        <w:ind w:firstLine="480" w:firstLineChars="200"/>
        <w:rPr>
          <w:rFonts w:ascii="宋体" w:hAnsi="宋体" w:eastAsia="宋体" w:cs="宋体"/>
          <w:sz w:val="24"/>
        </w:rPr>
      </w:pPr>
      <w:r>
        <w:rPr>
          <w:rFonts w:hint="eastAsia" w:ascii="宋体" w:hAnsi="宋体" w:eastAsia="宋体" w:cs="宋体"/>
          <w:sz w:val="24"/>
        </w:rPr>
        <w:t>2、民间借贷的利息</w:t>
      </w:r>
    </w:p>
    <w:p w14:paraId="30CE0C56">
      <w:pPr>
        <w:spacing w:line="480" w:lineRule="exact"/>
        <w:ind w:firstLine="480" w:firstLineChars="200"/>
        <w:rPr>
          <w:rFonts w:ascii="宋体" w:hAnsi="宋体" w:eastAsia="宋体" w:cs="宋体"/>
          <w:sz w:val="24"/>
        </w:rPr>
      </w:pPr>
      <w:r>
        <w:rPr>
          <w:rFonts w:hint="eastAsia" w:ascii="宋体" w:hAnsi="宋体" w:eastAsia="宋体" w:cs="宋体"/>
          <w:sz w:val="24"/>
        </w:rPr>
        <w:t>借款合同未约定利息或约定不明的，视为不支付利息，管理人不予认定。</w:t>
      </w:r>
    </w:p>
    <w:p w14:paraId="0106E6FB">
      <w:pPr>
        <w:spacing w:line="480" w:lineRule="exact"/>
        <w:ind w:firstLine="480" w:firstLineChars="200"/>
        <w:rPr>
          <w:rFonts w:ascii="宋体" w:hAnsi="宋体" w:eastAsia="宋体" w:cs="宋体"/>
          <w:sz w:val="24"/>
        </w:rPr>
      </w:pPr>
      <w:r>
        <w:rPr>
          <w:rFonts w:hint="eastAsia" w:ascii="宋体" w:hAnsi="宋体" w:eastAsia="宋体" w:cs="宋体"/>
          <w:sz w:val="24"/>
        </w:rPr>
        <w:t>借款合同有约定的，除按借款合同约定的利息计算方式外，还应结合以下原则进行认定：（1）对于自债权成立到2019年8月19日的利息计算标准不超过年利率24%；（2）对于自2019年8月20日至人民法院裁定受理债务人破产清算之日的利息部分，计算标准不超过债权成立时一年期贷款市场报价利率四倍。</w:t>
      </w:r>
    </w:p>
    <w:p w14:paraId="5870C521">
      <w:pPr>
        <w:spacing w:line="480" w:lineRule="exact"/>
        <w:ind w:firstLine="480" w:firstLineChars="200"/>
        <w:rPr>
          <w:rFonts w:ascii="宋体" w:hAnsi="宋体" w:eastAsia="宋体" w:cs="宋体"/>
          <w:sz w:val="24"/>
        </w:rPr>
      </w:pPr>
      <w:r>
        <w:rPr>
          <w:rFonts w:ascii="宋体" w:hAnsi="宋体" w:eastAsia="宋体" w:cs="宋体"/>
          <w:sz w:val="24"/>
        </w:rPr>
        <w:t>3</w:t>
      </w:r>
      <w:r>
        <w:rPr>
          <w:rFonts w:hint="eastAsia" w:ascii="宋体" w:hAnsi="宋体" w:eastAsia="宋体" w:cs="宋体"/>
          <w:sz w:val="24"/>
        </w:rPr>
        <w:t>、</w:t>
      </w:r>
      <w:r>
        <w:rPr>
          <w:rFonts w:hint="eastAsia" w:ascii="宋体" w:hAnsi="宋体" w:eastAsia="宋体" w:cs="宋体"/>
          <w:sz w:val="24"/>
          <w:lang w:eastAsia="zh-Hans"/>
        </w:rPr>
        <w:t>迟</w:t>
      </w:r>
      <w:r>
        <w:rPr>
          <w:rFonts w:hint="eastAsia" w:ascii="宋体" w:hAnsi="宋体" w:eastAsia="宋体" w:cs="宋体"/>
          <w:sz w:val="24"/>
        </w:rPr>
        <w:t>延履行期间的债务利息</w:t>
      </w:r>
    </w:p>
    <w:p w14:paraId="7947733A">
      <w:pPr>
        <w:spacing w:line="480" w:lineRule="exact"/>
        <w:ind w:firstLine="480" w:firstLineChars="200"/>
        <w:rPr>
          <w:rFonts w:ascii="宋体" w:hAnsi="宋体" w:eastAsia="宋体" w:cs="宋体"/>
          <w:sz w:val="24"/>
        </w:rPr>
      </w:pPr>
      <w:r>
        <w:rPr>
          <w:rFonts w:hint="eastAsia" w:ascii="宋体" w:hAnsi="宋体" w:eastAsia="宋体" w:cs="宋体"/>
          <w:sz w:val="24"/>
        </w:rPr>
        <w:t>根据《全国法院破产审判工作会议纪要》第28条“破产财产依照企业破产法第一百一十三条规定的顺序清偿后仍有剩余的，可依次用于清偿破产受理前产生的民事惩罚性赔偿金、行政罚款、刑事罚金等惩罚性债权”之规定，</w:t>
      </w:r>
      <w:r>
        <w:rPr>
          <w:rFonts w:hint="eastAsia" w:ascii="宋体" w:hAnsi="宋体" w:eastAsia="宋体" w:cs="宋体"/>
          <w:b/>
          <w:sz w:val="24"/>
        </w:rPr>
        <w:t>债权人申报债务人破产受理之日前产生的加倍支付迟延履行期间的债务利息</w:t>
      </w:r>
      <w:r>
        <w:rPr>
          <w:rFonts w:hint="eastAsia" w:ascii="宋体" w:hAnsi="宋体" w:eastAsia="宋体" w:cs="宋体"/>
          <w:sz w:val="24"/>
        </w:rPr>
        <w:t>属于惩罚性债权（列入</w:t>
      </w:r>
      <w:r>
        <w:rPr>
          <w:rFonts w:hint="eastAsia" w:ascii="宋体" w:hAnsi="宋体" w:eastAsia="宋体" w:cs="宋体"/>
          <w:sz w:val="24"/>
          <w:lang w:eastAsia="zh-Hans"/>
        </w:rPr>
        <w:t>“</w:t>
      </w:r>
      <w:r>
        <w:rPr>
          <w:rFonts w:hint="eastAsia" w:ascii="宋体" w:hAnsi="宋体" w:eastAsia="宋体" w:cs="宋体"/>
          <w:sz w:val="24"/>
        </w:rPr>
        <w:t>劣后债权”），其清偿顺序劣后于《中华人民共和国企业破产法》第一百一十三条规定的各类债权。</w:t>
      </w:r>
    </w:p>
    <w:p w14:paraId="451C7C05">
      <w:pPr>
        <w:spacing w:line="480" w:lineRule="exact"/>
        <w:ind w:firstLine="480" w:firstLineChars="200"/>
        <w:rPr>
          <w:rFonts w:ascii="宋体" w:hAnsi="宋体" w:eastAsia="宋体" w:cs="宋体"/>
          <w:sz w:val="24"/>
        </w:rPr>
      </w:pPr>
      <w:r>
        <w:rPr>
          <w:rFonts w:hint="eastAsia" w:ascii="宋体" w:hAnsi="宋体" w:eastAsia="宋体" w:cs="宋体"/>
          <w:sz w:val="24"/>
          <w:lang w:eastAsia="zh-Hans"/>
        </w:rPr>
        <w:t>同时</w:t>
      </w:r>
      <w:r>
        <w:rPr>
          <w:rFonts w:ascii="宋体" w:hAnsi="宋体" w:eastAsia="宋体" w:cs="宋体"/>
          <w:sz w:val="24"/>
          <w:lang w:eastAsia="zh-Hans"/>
        </w:rPr>
        <w:t>，</w:t>
      </w:r>
      <w:r>
        <w:rPr>
          <w:rFonts w:hint="eastAsia" w:ascii="宋体" w:hAnsi="宋体" w:eastAsia="宋体" w:cs="宋体"/>
          <w:sz w:val="24"/>
          <w:lang w:eastAsia="zh-Hans"/>
        </w:rPr>
        <w:t>根据</w:t>
      </w:r>
      <w:r>
        <w:rPr>
          <w:rFonts w:hint="eastAsia" w:ascii="宋体" w:hAnsi="宋体" w:eastAsia="宋体" w:cs="宋体"/>
          <w:sz w:val="24"/>
        </w:rPr>
        <w:t>《最高人民法院关于适用〈中华人民共和国企业破产法〉若干问题的规定（三）》第三条</w:t>
      </w:r>
      <w:r>
        <w:rPr>
          <w:rFonts w:ascii="宋体" w:hAnsi="宋体" w:eastAsia="宋体" w:cs="宋体"/>
          <w:sz w:val="24"/>
        </w:rPr>
        <w:t>：</w:t>
      </w:r>
      <w:r>
        <w:rPr>
          <w:rFonts w:hint="eastAsia" w:ascii="宋体" w:hAnsi="宋体" w:eastAsia="宋体" w:cs="宋体"/>
          <w:sz w:val="24"/>
          <w:lang w:eastAsia="zh-Hans"/>
        </w:rPr>
        <w:t>“破产申请受理后，债务人欠缴款项产生的滞纳金，包括债务人未履行生效法律文书应当加倍支付的迟延利息和劳动保险金的滞纳金，债权人作为破产债权申报的，人民法院不予确认。”因此</w:t>
      </w:r>
      <w:r>
        <w:rPr>
          <w:rFonts w:ascii="宋体" w:hAnsi="宋体" w:eastAsia="宋体" w:cs="宋体"/>
          <w:sz w:val="24"/>
          <w:lang w:eastAsia="zh-Hans"/>
        </w:rPr>
        <w:t>，</w:t>
      </w:r>
      <w:r>
        <w:rPr>
          <w:rFonts w:hint="eastAsia" w:ascii="宋体" w:hAnsi="宋体" w:eastAsia="宋体" w:cs="宋体"/>
          <w:sz w:val="24"/>
          <w:lang w:eastAsia="zh-Hans"/>
        </w:rPr>
        <w:t>管理人对于债权人申报的迟延履行期间的债务利息</w:t>
      </w:r>
      <w:r>
        <w:rPr>
          <w:rFonts w:ascii="宋体" w:hAnsi="宋体" w:eastAsia="宋体" w:cs="宋体"/>
          <w:sz w:val="24"/>
          <w:lang w:eastAsia="zh-Hans"/>
        </w:rPr>
        <w:t>（</w:t>
      </w:r>
      <w:r>
        <w:rPr>
          <w:rFonts w:hint="eastAsia" w:ascii="宋体" w:hAnsi="宋体" w:eastAsia="宋体" w:cs="宋体"/>
          <w:sz w:val="24"/>
          <w:lang w:eastAsia="zh-Hans"/>
        </w:rPr>
        <w:t>包括但不限于债务人未履行生效法律文书应当加倍支付的迟延利息</w:t>
      </w:r>
      <w:r>
        <w:rPr>
          <w:rFonts w:ascii="宋体" w:hAnsi="宋体" w:eastAsia="宋体" w:cs="宋体"/>
          <w:sz w:val="24"/>
          <w:lang w:eastAsia="zh-Hans"/>
        </w:rPr>
        <w:t>、劳动保险金的滞纳金、</w:t>
      </w:r>
      <w:r>
        <w:rPr>
          <w:rFonts w:hint="eastAsia" w:ascii="宋体" w:hAnsi="宋体" w:eastAsia="宋体" w:cs="宋体"/>
          <w:sz w:val="24"/>
          <w:lang w:eastAsia="zh-Hans"/>
        </w:rPr>
        <w:t>罚息</w:t>
      </w:r>
      <w:r>
        <w:rPr>
          <w:rFonts w:ascii="宋体" w:hAnsi="宋体" w:eastAsia="宋体" w:cs="宋体"/>
          <w:sz w:val="24"/>
          <w:lang w:eastAsia="zh-Hans"/>
        </w:rPr>
        <w:t>、民事惩罚性赔偿金、行政罚款、刑事罚金）</w:t>
      </w:r>
      <w:r>
        <w:rPr>
          <w:rFonts w:hint="eastAsia" w:ascii="宋体" w:hAnsi="宋体" w:eastAsia="宋体" w:cs="宋体"/>
          <w:sz w:val="24"/>
          <w:lang w:eastAsia="zh-Hans"/>
        </w:rPr>
        <w:t>认定为劣后清偿的普通破产债权</w:t>
      </w:r>
      <w:r>
        <w:rPr>
          <w:rFonts w:ascii="宋体" w:hAnsi="宋体" w:eastAsia="宋体" w:cs="宋体"/>
          <w:sz w:val="24"/>
          <w:lang w:eastAsia="zh-Hans"/>
        </w:rPr>
        <w:t>。</w:t>
      </w:r>
    </w:p>
    <w:p w14:paraId="6A9258FE">
      <w:pPr>
        <w:spacing w:line="480" w:lineRule="exact"/>
        <w:ind w:firstLine="480" w:firstLineChars="200"/>
        <w:rPr>
          <w:rFonts w:ascii="宋体" w:hAnsi="宋体" w:eastAsia="宋体" w:cs="宋体"/>
          <w:sz w:val="24"/>
        </w:rPr>
      </w:pPr>
      <w:r>
        <w:rPr>
          <w:rFonts w:hint="eastAsia" w:ascii="宋体" w:hAnsi="宋体" w:eastAsia="宋体" w:cs="宋体"/>
          <w:sz w:val="24"/>
        </w:rPr>
        <w:t>4、其他</w:t>
      </w:r>
    </w:p>
    <w:p w14:paraId="0B6D0A81">
      <w:pPr>
        <w:spacing w:line="480" w:lineRule="exact"/>
        <w:ind w:firstLine="480" w:firstLineChars="200"/>
        <w:rPr>
          <w:rFonts w:ascii="宋体" w:hAnsi="宋体" w:eastAsia="宋体" w:cs="宋体"/>
          <w:sz w:val="24"/>
        </w:rPr>
      </w:pPr>
      <w:r>
        <w:rPr>
          <w:rFonts w:hint="eastAsia" w:ascii="宋体" w:hAnsi="宋体" w:eastAsia="宋体" w:cs="宋体"/>
          <w:sz w:val="24"/>
        </w:rPr>
        <w:t>债权人未申报利息的，视为债权人自动放弃，管理人不再予以核算；</w:t>
      </w:r>
    </w:p>
    <w:p w14:paraId="71389E7F">
      <w:pPr>
        <w:spacing w:line="480" w:lineRule="exact"/>
        <w:ind w:firstLine="480" w:firstLineChars="200"/>
        <w:rPr>
          <w:rFonts w:ascii="宋体" w:hAnsi="宋体" w:eastAsia="宋体" w:cs="宋体"/>
          <w:sz w:val="24"/>
        </w:rPr>
      </w:pPr>
      <w:r>
        <w:rPr>
          <w:rFonts w:hint="eastAsia" w:ascii="宋体" w:hAnsi="宋体" w:eastAsia="宋体" w:cs="宋体"/>
          <w:sz w:val="24"/>
        </w:rPr>
        <w:t>债权人申报的利息未超出现行法律法规规定或生效法律文书载明的计算标准所得之金额的，管理人按照申报数额确定利息；</w:t>
      </w:r>
    </w:p>
    <w:p w14:paraId="242571B6">
      <w:pPr>
        <w:spacing w:line="480" w:lineRule="exact"/>
        <w:ind w:firstLine="480" w:firstLineChars="200"/>
        <w:rPr>
          <w:rFonts w:ascii="宋体" w:hAnsi="宋体" w:eastAsia="宋体" w:cs="宋体"/>
          <w:sz w:val="24"/>
        </w:rPr>
      </w:pPr>
      <w:r>
        <w:rPr>
          <w:rFonts w:hint="eastAsia" w:ascii="宋体" w:hAnsi="宋体" w:eastAsia="宋体" w:cs="宋体"/>
          <w:sz w:val="24"/>
        </w:rPr>
        <w:t>债权人申报的利息超出现行法律法规规定或生效法律文书载明的计算标准所得之金额的，管理人按照法律规定或生效法律文书载明的计算依据和标准确定利息；</w:t>
      </w:r>
    </w:p>
    <w:p w14:paraId="41F80743">
      <w:pPr>
        <w:spacing w:line="480" w:lineRule="exact"/>
        <w:ind w:firstLine="480" w:firstLineChars="200"/>
        <w:rPr>
          <w:rFonts w:ascii="宋体" w:hAnsi="宋体" w:eastAsia="宋体" w:cs="宋体"/>
          <w:sz w:val="24"/>
        </w:rPr>
      </w:pPr>
      <w:r>
        <w:rPr>
          <w:rFonts w:hint="eastAsia" w:ascii="宋体" w:hAnsi="宋体" w:eastAsia="宋体" w:cs="宋体"/>
          <w:sz w:val="24"/>
        </w:rPr>
        <w:t>债权人申报的债权已经获得部分清偿但清偿本息约定不明的，适用“先还利息，后还本金”的原则</w:t>
      </w:r>
      <w:r>
        <w:rPr>
          <w:rFonts w:ascii="宋体" w:hAnsi="宋体" w:eastAsia="宋体" w:cs="宋体"/>
          <w:sz w:val="24"/>
        </w:rPr>
        <w:t>。</w:t>
      </w:r>
    </w:p>
    <w:p w14:paraId="35D8D157">
      <w:pPr>
        <w:spacing w:line="480" w:lineRule="exact"/>
        <w:ind w:firstLine="480" w:firstLineChars="200"/>
        <w:rPr>
          <w:rFonts w:ascii="宋体" w:hAnsi="宋体" w:eastAsia="宋体" w:cs="宋体"/>
          <w:sz w:val="24"/>
        </w:rPr>
      </w:pPr>
      <w:r>
        <w:rPr>
          <w:rFonts w:hint="eastAsia" w:ascii="宋体" w:hAnsi="宋体" w:eastAsia="宋体" w:cs="宋体"/>
          <w:sz w:val="24"/>
        </w:rPr>
        <w:t>（七）合同的违约金</w:t>
      </w:r>
    </w:p>
    <w:p w14:paraId="633B746C">
      <w:pPr>
        <w:spacing w:line="480" w:lineRule="exact"/>
        <w:ind w:firstLine="480" w:firstLineChars="200"/>
        <w:rPr>
          <w:rFonts w:ascii="宋体" w:hAnsi="宋体" w:eastAsia="宋体" w:cs="宋体"/>
          <w:sz w:val="24"/>
        </w:rPr>
      </w:pPr>
      <w:r>
        <w:rPr>
          <w:rFonts w:hint="eastAsia" w:ascii="宋体" w:hAnsi="宋体" w:eastAsia="宋体" w:cs="宋体"/>
          <w:sz w:val="24"/>
        </w:rPr>
        <w:t>债权申报中包含违约金的，其计算期限最长计算至人民法院裁定受理债务人破产清算之日。</w:t>
      </w:r>
      <w:r>
        <w:rPr>
          <w:rFonts w:hint="eastAsia" w:ascii="宋体" w:hAnsi="宋体" w:eastAsia="宋体" w:cs="宋体"/>
          <w:sz w:val="24"/>
          <w:lang w:eastAsia="zh-Hans"/>
        </w:rPr>
        <w:t>若涉及天数计算的</w:t>
      </w:r>
      <w:r>
        <w:rPr>
          <w:rFonts w:ascii="宋体" w:hAnsi="宋体" w:eastAsia="宋体" w:cs="宋体"/>
          <w:sz w:val="24"/>
          <w:lang w:eastAsia="zh-Hans"/>
        </w:rPr>
        <w:t>，</w:t>
      </w:r>
      <w:r>
        <w:rPr>
          <w:rFonts w:hint="eastAsia" w:ascii="宋体" w:hAnsi="宋体" w:eastAsia="宋体" w:cs="宋体"/>
          <w:sz w:val="24"/>
          <w:lang w:eastAsia="zh-Hans"/>
        </w:rPr>
        <w:t>则以</w:t>
      </w:r>
      <w:r>
        <w:rPr>
          <w:rFonts w:ascii="宋体" w:hAnsi="宋体" w:eastAsia="宋体" w:cs="宋体"/>
          <w:sz w:val="24"/>
          <w:lang w:eastAsia="zh-Hans"/>
        </w:rPr>
        <w:t>360</w:t>
      </w:r>
      <w:r>
        <w:rPr>
          <w:rFonts w:hint="eastAsia" w:ascii="宋体" w:hAnsi="宋体" w:eastAsia="宋体" w:cs="宋体"/>
          <w:sz w:val="24"/>
          <w:lang w:eastAsia="zh-Hans"/>
        </w:rPr>
        <w:t>天为“一年”进行计算</w:t>
      </w:r>
      <w:r>
        <w:rPr>
          <w:rFonts w:ascii="宋体" w:hAnsi="宋体" w:eastAsia="宋体" w:cs="宋体"/>
          <w:sz w:val="24"/>
          <w:lang w:eastAsia="zh-Hans"/>
        </w:rPr>
        <w:t>，</w:t>
      </w:r>
      <w:r>
        <w:rPr>
          <w:rFonts w:hint="eastAsia" w:ascii="宋体" w:hAnsi="宋体" w:eastAsia="宋体" w:cs="宋体"/>
          <w:sz w:val="24"/>
          <w:lang w:eastAsia="zh-Hans"/>
        </w:rPr>
        <w:t>以</w:t>
      </w:r>
      <w:r>
        <w:rPr>
          <w:rFonts w:ascii="宋体" w:hAnsi="宋体" w:eastAsia="宋体" w:cs="宋体"/>
          <w:sz w:val="24"/>
          <w:lang w:eastAsia="zh-Hans"/>
        </w:rPr>
        <w:t>30</w:t>
      </w:r>
      <w:r>
        <w:rPr>
          <w:rFonts w:hint="eastAsia" w:ascii="宋体" w:hAnsi="宋体" w:eastAsia="宋体" w:cs="宋体"/>
          <w:sz w:val="24"/>
          <w:lang w:eastAsia="zh-Hans"/>
        </w:rPr>
        <w:t>天为“一个月”进行计算</w:t>
      </w:r>
      <w:r>
        <w:rPr>
          <w:rFonts w:ascii="宋体" w:hAnsi="宋体" w:eastAsia="宋体" w:cs="宋体"/>
          <w:sz w:val="24"/>
          <w:lang w:eastAsia="zh-Hans"/>
        </w:rPr>
        <w:t>。</w:t>
      </w:r>
    </w:p>
    <w:p w14:paraId="42B6C671">
      <w:pPr>
        <w:spacing w:line="480" w:lineRule="exact"/>
        <w:ind w:firstLine="480" w:firstLineChars="200"/>
        <w:rPr>
          <w:rFonts w:ascii="宋体" w:hAnsi="宋体" w:eastAsia="宋体" w:cs="宋体"/>
          <w:sz w:val="24"/>
        </w:rPr>
      </w:pPr>
      <w:r>
        <w:rPr>
          <w:rFonts w:hint="eastAsia" w:ascii="宋体" w:hAnsi="宋体" w:eastAsia="宋体" w:cs="宋体"/>
          <w:sz w:val="24"/>
        </w:rPr>
        <w:t>1、买卖合同的违约金</w:t>
      </w:r>
    </w:p>
    <w:p w14:paraId="7AEE4054">
      <w:pPr>
        <w:spacing w:line="480" w:lineRule="exact"/>
        <w:ind w:firstLine="480" w:firstLineChars="200"/>
        <w:rPr>
          <w:rFonts w:ascii="宋体" w:hAnsi="宋体" w:eastAsia="宋体" w:cs="宋体"/>
          <w:sz w:val="24"/>
          <w:lang w:eastAsia="zh-Hans"/>
        </w:rPr>
      </w:pPr>
      <w:r>
        <w:rPr>
          <w:rFonts w:hint="eastAsia" w:ascii="宋体" w:hAnsi="宋体" w:eastAsia="宋体" w:cs="宋体"/>
          <w:sz w:val="24"/>
        </w:rPr>
        <w:t>《最高人民法院关于审理买卖合同纠纷案件适用法律问题的解释（2021. 1. 1）》第十八条</w:t>
      </w:r>
      <w:r>
        <w:rPr>
          <w:rFonts w:hint="eastAsia" w:ascii="宋体" w:hAnsi="宋体" w:eastAsia="宋体" w:cs="宋体"/>
          <w:sz w:val="24"/>
          <w:lang w:eastAsia="zh-Hans"/>
        </w:rPr>
        <w:t>规定</w:t>
      </w:r>
      <w:r>
        <w:rPr>
          <w:rFonts w:ascii="宋体" w:hAnsi="宋体" w:eastAsia="宋体" w:cs="宋体"/>
          <w:sz w:val="24"/>
          <w:lang w:eastAsia="zh-Hans"/>
        </w:rPr>
        <w:t>，</w:t>
      </w:r>
      <w:r>
        <w:rPr>
          <w:rFonts w:hint="eastAsia" w:ascii="宋体" w:hAnsi="宋体" w:eastAsia="宋体" w:cs="宋体"/>
          <w:sz w:val="24"/>
        </w:rPr>
        <w:t>买卖合同没有约定逾期付款违约金或者该违约金的计算方法，出卖人以买受人违约为由主张赔偿逾期付款损失，违约行为发生在2019年8月19日之前的，人民法院可以中国人民银行同期同类人民币贷款基准利率为基础，参照逾期罚息利率标准计算; 违约行为发生在2019年8月20日之后的，人民法院可以违约行为发生时中国人民银行授权全国银行间同业拆借中心公布的一年期贷款市场报价利率（LPR）标准为基础，加计30—50%计算逾期付款损失。</w:t>
      </w:r>
      <w:r>
        <w:rPr>
          <w:rFonts w:hint="eastAsia" w:ascii="宋体" w:hAnsi="宋体" w:eastAsia="宋体" w:cs="宋体"/>
          <w:sz w:val="24"/>
          <w:lang w:eastAsia="zh-Hans"/>
        </w:rPr>
        <w:t>但债权人没有在债权申报材料中申报</w:t>
      </w:r>
      <w:r>
        <w:rPr>
          <w:rFonts w:ascii="宋体" w:hAnsi="宋体" w:eastAsia="宋体" w:cs="宋体"/>
          <w:sz w:val="24"/>
          <w:lang w:eastAsia="zh-Hans"/>
        </w:rPr>
        <w:t>/</w:t>
      </w:r>
      <w:r>
        <w:rPr>
          <w:rFonts w:hint="eastAsia" w:ascii="宋体" w:hAnsi="宋体" w:eastAsia="宋体" w:cs="宋体"/>
          <w:sz w:val="24"/>
          <w:lang w:eastAsia="zh-Hans"/>
        </w:rPr>
        <w:t>主张加计逾期付款损失的</w:t>
      </w:r>
      <w:r>
        <w:rPr>
          <w:rFonts w:ascii="宋体" w:hAnsi="宋体" w:eastAsia="宋体" w:cs="宋体"/>
          <w:sz w:val="24"/>
          <w:lang w:eastAsia="zh-Hans"/>
        </w:rPr>
        <w:t>，</w:t>
      </w:r>
      <w:r>
        <w:rPr>
          <w:rFonts w:hint="eastAsia" w:ascii="宋体" w:hAnsi="宋体" w:eastAsia="宋体" w:cs="宋体"/>
          <w:sz w:val="24"/>
          <w:lang w:eastAsia="zh-Hans"/>
        </w:rPr>
        <w:t>管理人不予确认</w:t>
      </w:r>
      <w:r>
        <w:rPr>
          <w:rFonts w:ascii="宋体" w:hAnsi="宋体" w:eastAsia="宋体" w:cs="宋体"/>
          <w:sz w:val="24"/>
          <w:lang w:eastAsia="zh-Hans"/>
        </w:rPr>
        <w:t>。</w:t>
      </w:r>
    </w:p>
    <w:p w14:paraId="1494443A">
      <w:pPr>
        <w:spacing w:line="480" w:lineRule="exact"/>
        <w:ind w:firstLine="480" w:firstLineChars="200"/>
        <w:rPr>
          <w:rFonts w:ascii="宋体" w:hAnsi="宋体" w:eastAsia="宋体" w:cs="宋体"/>
          <w:sz w:val="24"/>
        </w:rPr>
      </w:pPr>
      <w:r>
        <w:rPr>
          <w:rFonts w:hint="eastAsia" w:ascii="宋体" w:hAnsi="宋体" w:eastAsia="宋体" w:cs="宋体"/>
          <w:sz w:val="24"/>
        </w:rPr>
        <w:t>2、其他合同的违约金</w:t>
      </w:r>
    </w:p>
    <w:p w14:paraId="5024D4F9">
      <w:pPr>
        <w:spacing w:line="480" w:lineRule="exact"/>
        <w:ind w:firstLine="480" w:firstLineChars="200"/>
        <w:rPr>
          <w:rFonts w:ascii="宋体" w:hAnsi="宋体" w:eastAsia="宋体" w:cs="宋体"/>
          <w:sz w:val="24"/>
        </w:rPr>
      </w:pPr>
      <w:r>
        <w:rPr>
          <w:rFonts w:hint="eastAsia" w:ascii="宋体" w:hAnsi="宋体" w:eastAsia="宋体" w:cs="宋体"/>
          <w:sz w:val="24"/>
        </w:rPr>
        <w:t>《最高人民法院关于审理买卖合同纠纷案件适用法律问题的解释（2021. 1. 1）》</w:t>
      </w:r>
      <w:r>
        <w:rPr>
          <w:rFonts w:ascii="宋体" w:hAnsi="宋体" w:eastAsia="宋体" w:cs="宋体"/>
          <w:sz w:val="24"/>
        </w:rPr>
        <w:t>第三十二条</w:t>
      </w:r>
      <w:r>
        <w:rPr>
          <w:rFonts w:hint="eastAsia" w:ascii="宋体" w:hAnsi="宋体" w:eastAsia="宋体" w:cs="宋体"/>
          <w:sz w:val="24"/>
        </w:rPr>
        <w:t>规定，</w:t>
      </w:r>
      <w:r>
        <w:rPr>
          <w:rFonts w:ascii="宋体" w:hAnsi="宋体" w:eastAsia="宋体" w:cs="宋体"/>
          <w:sz w:val="24"/>
        </w:rPr>
        <w:t>法律或者行政法规对债权转让、股权转让等权利转让合同有规定的，依照其规定；没有规定的，人民法院可以根据民法典第四百六十七条和第六百四十六条的规定，参照适用买卖合同的有关规定。权利转让或者其他有偿合同参照适用买卖合同的有关规定的，人民法院应当首先引用民法典第六百四十六条的规定，再引用买卖合同的有关规定。</w:t>
      </w:r>
      <w:r>
        <w:rPr>
          <w:rFonts w:hint="eastAsia" w:ascii="宋体" w:hAnsi="宋体" w:eastAsia="宋体" w:cs="宋体"/>
          <w:sz w:val="24"/>
        </w:rPr>
        <w:t>因此，管理人对债权人主张的其他合同违约金依照法律规定予以审查，没有法律规定的依照</w:t>
      </w:r>
      <w:r>
        <w:rPr>
          <w:rFonts w:ascii="宋体" w:hAnsi="宋体" w:eastAsia="宋体" w:cs="宋体"/>
          <w:sz w:val="24"/>
        </w:rPr>
        <w:t>民法典第四百六十七条和第六百四十六条的</w:t>
      </w:r>
      <w:r>
        <w:rPr>
          <w:rFonts w:hint="eastAsia" w:ascii="宋体" w:hAnsi="宋体" w:eastAsia="宋体" w:cs="宋体"/>
          <w:sz w:val="24"/>
        </w:rPr>
        <w:t>确定的规则予以审查。</w:t>
      </w:r>
    </w:p>
    <w:p w14:paraId="6098841B">
      <w:pPr>
        <w:spacing w:line="480" w:lineRule="exact"/>
        <w:ind w:firstLine="480" w:firstLineChars="200"/>
        <w:rPr>
          <w:rFonts w:ascii="宋体" w:hAnsi="宋体" w:eastAsia="宋体" w:cs="宋体"/>
          <w:sz w:val="24"/>
        </w:rPr>
      </w:pPr>
      <w:r>
        <w:rPr>
          <w:rFonts w:hint="eastAsia" w:ascii="宋体" w:hAnsi="宋体" w:eastAsia="宋体" w:cs="宋体"/>
          <w:sz w:val="24"/>
        </w:rPr>
        <w:t>3、其他</w:t>
      </w:r>
    </w:p>
    <w:p w14:paraId="5610F166">
      <w:pPr>
        <w:spacing w:line="480" w:lineRule="exact"/>
        <w:ind w:firstLine="480" w:firstLineChars="200"/>
        <w:rPr>
          <w:rFonts w:ascii="宋体" w:hAnsi="宋体" w:eastAsia="宋体" w:cs="宋体"/>
          <w:sz w:val="24"/>
        </w:rPr>
      </w:pPr>
      <w:r>
        <w:rPr>
          <w:rFonts w:hint="eastAsia" w:ascii="宋体" w:hAnsi="宋体" w:eastAsia="宋体" w:cs="宋体"/>
          <w:sz w:val="24"/>
        </w:rPr>
        <w:t>债权人未申报违约金的，视为债权人自动放弃，管理人不再予以核算；</w:t>
      </w:r>
    </w:p>
    <w:p w14:paraId="6309BDFA">
      <w:pPr>
        <w:spacing w:line="480" w:lineRule="exact"/>
        <w:ind w:firstLine="480" w:firstLineChars="200"/>
        <w:rPr>
          <w:rFonts w:ascii="宋体" w:hAnsi="宋体" w:eastAsia="宋体" w:cs="宋体"/>
          <w:sz w:val="24"/>
        </w:rPr>
      </w:pPr>
      <w:r>
        <w:rPr>
          <w:rFonts w:hint="eastAsia" w:ascii="宋体" w:hAnsi="宋体" w:eastAsia="宋体" w:cs="宋体"/>
          <w:sz w:val="24"/>
        </w:rPr>
        <w:t>债权人申报的违约金未超出现行法律法规规定或生效法律文书载明的计算标准所得之金额的，管理人按照申报数额确定违约金；</w:t>
      </w:r>
    </w:p>
    <w:p w14:paraId="07CA1D8E">
      <w:pPr>
        <w:spacing w:line="480" w:lineRule="exact"/>
        <w:ind w:firstLine="480" w:firstLineChars="200"/>
        <w:rPr>
          <w:rFonts w:ascii="宋体" w:hAnsi="宋体" w:eastAsia="宋体" w:cs="宋体"/>
          <w:sz w:val="24"/>
        </w:rPr>
      </w:pPr>
      <w:r>
        <w:rPr>
          <w:rFonts w:hint="eastAsia" w:ascii="宋体" w:hAnsi="宋体" w:eastAsia="宋体" w:cs="宋体"/>
          <w:sz w:val="24"/>
        </w:rPr>
        <w:t>债权人申报的违约金超出现行法律法规规定或生效法律文书载明的计算标准所得之金额的，管理人按照法律规定或生效法律文书载明的计算依据和标准确定违约金；</w:t>
      </w:r>
    </w:p>
    <w:p w14:paraId="7EF3C804">
      <w:pPr>
        <w:spacing w:line="480" w:lineRule="exact"/>
        <w:ind w:firstLine="480" w:firstLineChars="200"/>
        <w:rPr>
          <w:rFonts w:ascii="宋体" w:hAnsi="宋体" w:eastAsia="宋体" w:cs="宋体"/>
          <w:sz w:val="24"/>
        </w:rPr>
      </w:pPr>
      <w:r>
        <w:rPr>
          <w:rFonts w:hint="eastAsia" w:ascii="宋体" w:hAnsi="宋体" w:eastAsia="宋体" w:cs="宋体"/>
          <w:sz w:val="24"/>
        </w:rPr>
        <w:t>债权人申报的债权已经获得部分清偿但清偿本息约定不明的，适用“先还违约金，后还本金”的原则</w:t>
      </w:r>
      <w:r>
        <w:rPr>
          <w:rFonts w:ascii="宋体" w:hAnsi="宋体" w:eastAsia="宋体" w:cs="宋体"/>
          <w:sz w:val="24"/>
        </w:rPr>
        <w:t>。</w:t>
      </w:r>
    </w:p>
    <w:p w14:paraId="61F953F6">
      <w:pPr>
        <w:spacing w:line="480" w:lineRule="exact"/>
        <w:ind w:firstLine="480" w:firstLineChars="200"/>
        <w:rPr>
          <w:rFonts w:ascii="宋体" w:hAnsi="宋体" w:eastAsia="宋体" w:cs="宋体"/>
          <w:sz w:val="24"/>
        </w:rPr>
      </w:pPr>
      <w:r>
        <w:rPr>
          <w:rFonts w:hint="eastAsia" w:ascii="宋体" w:hAnsi="宋体" w:eastAsia="宋体" w:cs="宋体"/>
          <w:sz w:val="24"/>
        </w:rPr>
        <w:t>债务人因应承担其他形式的违约责任而产生的债务参照适用本节规定。</w:t>
      </w:r>
    </w:p>
    <w:p w14:paraId="2A5358F4">
      <w:pPr>
        <w:spacing w:line="480" w:lineRule="exact"/>
        <w:ind w:firstLine="482" w:firstLineChars="200"/>
        <w:rPr>
          <w:rFonts w:ascii="宋体" w:hAnsi="宋体" w:eastAsia="宋体" w:cs="宋体"/>
          <w:b/>
          <w:bCs/>
          <w:sz w:val="24"/>
        </w:rPr>
      </w:pPr>
      <w:r>
        <w:rPr>
          <w:rFonts w:hint="eastAsia" w:ascii="宋体" w:hAnsi="宋体" w:eastAsia="宋体" w:cs="宋体"/>
          <w:b/>
          <w:bCs/>
          <w:sz w:val="24"/>
        </w:rPr>
        <w:t>三、不构成破产债权的情形</w:t>
      </w:r>
    </w:p>
    <w:p w14:paraId="5A885FEE">
      <w:pPr>
        <w:spacing w:line="480" w:lineRule="exact"/>
        <w:ind w:firstLine="480" w:firstLineChars="200"/>
        <w:rPr>
          <w:rFonts w:ascii="宋体" w:hAnsi="宋体" w:eastAsia="宋体" w:cs="宋体"/>
          <w:sz w:val="24"/>
        </w:rPr>
      </w:pPr>
      <w:r>
        <w:rPr>
          <w:rFonts w:hint="eastAsia" w:ascii="宋体" w:hAnsi="宋体" w:eastAsia="宋体" w:cs="宋体"/>
          <w:sz w:val="24"/>
        </w:rPr>
        <w:t>根据现行法律法规及司法解释的规定</w:t>
      </w:r>
      <w:r>
        <w:rPr>
          <w:rFonts w:ascii="宋体" w:hAnsi="宋体" w:eastAsia="宋体" w:cs="宋体"/>
          <w:sz w:val="24"/>
        </w:rPr>
        <w:t>，</w:t>
      </w:r>
      <w:r>
        <w:rPr>
          <w:rFonts w:hint="eastAsia" w:ascii="宋体" w:hAnsi="宋体" w:eastAsia="宋体" w:cs="宋体"/>
          <w:sz w:val="24"/>
        </w:rPr>
        <w:t>债权人申报的下列债权不予认定：</w:t>
      </w:r>
    </w:p>
    <w:p w14:paraId="57099E2A">
      <w:pPr>
        <w:spacing w:line="480" w:lineRule="exact"/>
        <w:ind w:firstLine="480" w:firstLineChars="200"/>
        <w:rPr>
          <w:rFonts w:ascii="宋体" w:hAnsi="宋体" w:eastAsia="宋体" w:cs="宋体"/>
          <w:sz w:val="24"/>
        </w:rPr>
      </w:pPr>
      <w:r>
        <w:rPr>
          <w:rFonts w:ascii="宋体" w:hAnsi="宋体" w:eastAsia="宋体" w:cs="宋体"/>
          <w:sz w:val="24"/>
        </w:rPr>
        <w:t>1</w:t>
      </w:r>
      <w:r>
        <w:rPr>
          <w:rFonts w:hint="eastAsia" w:ascii="宋体" w:hAnsi="宋体" w:eastAsia="宋体" w:cs="宋体"/>
          <w:sz w:val="24"/>
        </w:rPr>
        <w:t>、人民法院</w:t>
      </w:r>
      <w:r>
        <w:rPr>
          <w:rFonts w:hint="eastAsia" w:ascii="宋体" w:hAnsi="宋体" w:eastAsia="宋体" w:cs="宋体"/>
          <w:sz w:val="24"/>
          <w:lang w:eastAsia="zh-Hans"/>
        </w:rPr>
        <w:t>裁</w:t>
      </w:r>
      <w:r>
        <w:rPr>
          <w:rFonts w:hint="eastAsia" w:ascii="宋体" w:hAnsi="宋体" w:eastAsia="宋体" w:cs="宋体"/>
          <w:sz w:val="24"/>
        </w:rPr>
        <w:t>定受理破产案件后债务人未支付应付款项的滞纳金，但因欠缴税款在受理前产生的滞纳金除外；</w:t>
      </w:r>
    </w:p>
    <w:p w14:paraId="2705991C">
      <w:pPr>
        <w:spacing w:line="480" w:lineRule="exact"/>
        <w:ind w:firstLine="480" w:firstLineChars="200"/>
        <w:rPr>
          <w:rFonts w:ascii="宋体" w:hAnsi="宋体" w:eastAsia="宋体" w:cs="宋体"/>
          <w:sz w:val="24"/>
        </w:rPr>
      </w:pPr>
      <w:r>
        <w:rPr>
          <w:rFonts w:ascii="宋体" w:hAnsi="宋体" w:eastAsia="宋体" w:cs="宋体"/>
          <w:sz w:val="24"/>
        </w:rPr>
        <w:t>2</w:t>
      </w:r>
      <w:r>
        <w:rPr>
          <w:rFonts w:hint="eastAsia" w:ascii="宋体" w:hAnsi="宋体" w:eastAsia="宋体" w:cs="宋体"/>
          <w:sz w:val="24"/>
        </w:rPr>
        <w:t>、</w:t>
      </w:r>
      <w:r>
        <w:rPr>
          <w:rFonts w:hint="eastAsia" w:ascii="宋体" w:hAnsi="宋体" w:eastAsia="宋体" w:cs="宋体"/>
          <w:sz w:val="24"/>
        </w:rPr>
        <w:t>人民法院裁定受理债务人破产清算案件后的债务利息；</w:t>
      </w:r>
    </w:p>
    <w:p w14:paraId="1CCF9793">
      <w:pPr>
        <w:spacing w:line="480" w:lineRule="exact"/>
        <w:ind w:firstLine="480" w:firstLineChars="200"/>
        <w:rPr>
          <w:rFonts w:ascii="宋体" w:hAnsi="宋体" w:eastAsia="宋体" w:cs="宋体"/>
          <w:sz w:val="24"/>
        </w:rPr>
      </w:pPr>
      <w:r>
        <w:rPr>
          <w:rFonts w:ascii="宋体" w:hAnsi="宋体" w:eastAsia="宋体" w:cs="宋体"/>
          <w:sz w:val="24"/>
        </w:rPr>
        <w:t>3</w:t>
      </w:r>
      <w:r>
        <w:rPr>
          <w:rFonts w:hint="eastAsia" w:ascii="宋体" w:hAnsi="宋体" w:eastAsia="宋体" w:cs="宋体"/>
          <w:sz w:val="24"/>
        </w:rPr>
        <w:t>、</w:t>
      </w:r>
      <w:r>
        <w:rPr>
          <w:rFonts w:hint="eastAsia" w:ascii="宋体" w:hAnsi="宋体" w:eastAsia="宋体" w:cs="宋体"/>
          <w:sz w:val="24"/>
        </w:rPr>
        <w:t>债权人参加破产清算程序所支出的费用；</w:t>
      </w:r>
    </w:p>
    <w:p w14:paraId="62F6920E">
      <w:pPr>
        <w:spacing w:line="480" w:lineRule="exact"/>
        <w:ind w:firstLine="480" w:firstLineChars="200"/>
        <w:rPr>
          <w:rFonts w:ascii="宋体" w:hAnsi="宋体" w:eastAsia="宋体" w:cs="宋体"/>
          <w:sz w:val="24"/>
        </w:rPr>
      </w:pPr>
      <w:r>
        <w:rPr>
          <w:rFonts w:ascii="宋体" w:hAnsi="宋体" w:eastAsia="宋体" w:cs="宋体"/>
          <w:sz w:val="24"/>
        </w:rPr>
        <w:t>4</w:t>
      </w:r>
      <w:r>
        <w:rPr>
          <w:rFonts w:hint="eastAsia" w:ascii="宋体" w:hAnsi="宋体" w:eastAsia="宋体" w:cs="宋体"/>
          <w:sz w:val="24"/>
        </w:rPr>
        <w:t>、</w:t>
      </w:r>
      <w:r>
        <w:rPr>
          <w:rFonts w:hint="eastAsia" w:ascii="宋体" w:hAnsi="宋体" w:eastAsia="宋体" w:cs="宋体"/>
          <w:sz w:val="24"/>
        </w:rPr>
        <w:t>债务人的股权、股票持有人在股权、股票上的权利；</w:t>
      </w:r>
    </w:p>
    <w:p w14:paraId="284E1102">
      <w:pPr>
        <w:spacing w:line="480" w:lineRule="exact"/>
        <w:ind w:firstLine="480" w:firstLineChars="200"/>
        <w:rPr>
          <w:rFonts w:ascii="宋体" w:hAnsi="宋体" w:eastAsia="宋体" w:cs="宋体"/>
          <w:sz w:val="24"/>
        </w:rPr>
      </w:pPr>
      <w:r>
        <w:rPr>
          <w:rFonts w:ascii="宋体" w:hAnsi="宋体" w:eastAsia="宋体" w:cs="宋体"/>
          <w:sz w:val="24"/>
        </w:rPr>
        <w:t>5</w:t>
      </w:r>
      <w:r>
        <w:rPr>
          <w:rFonts w:hint="eastAsia" w:ascii="宋体" w:hAnsi="宋体" w:eastAsia="宋体" w:cs="宋体"/>
          <w:sz w:val="24"/>
        </w:rPr>
        <w:t>、</w:t>
      </w:r>
      <w:r>
        <w:rPr>
          <w:rFonts w:hint="eastAsia" w:ascii="宋体" w:hAnsi="宋体" w:eastAsia="宋体" w:cs="宋体"/>
          <w:sz w:val="24"/>
        </w:rPr>
        <w:t>超过诉讼时效的债权，超过法律规定的期限未申请强制执行的债权；</w:t>
      </w:r>
    </w:p>
    <w:p w14:paraId="55EF3F1C">
      <w:pPr>
        <w:spacing w:line="480" w:lineRule="exact"/>
        <w:ind w:firstLine="480" w:firstLineChars="200"/>
        <w:rPr>
          <w:rFonts w:ascii="宋体" w:hAnsi="宋体" w:eastAsia="宋体" w:cs="宋体"/>
          <w:sz w:val="24"/>
        </w:rPr>
      </w:pPr>
      <w:r>
        <w:rPr>
          <w:rFonts w:ascii="宋体" w:hAnsi="宋体" w:eastAsia="宋体" w:cs="宋体"/>
          <w:sz w:val="24"/>
        </w:rPr>
        <w:t>6</w:t>
      </w:r>
      <w:r>
        <w:rPr>
          <w:rFonts w:hint="eastAsia" w:ascii="宋体" w:hAnsi="宋体" w:eastAsia="宋体" w:cs="宋体"/>
          <w:sz w:val="24"/>
        </w:rPr>
        <w:t>、</w:t>
      </w:r>
      <w:r>
        <w:rPr>
          <w:rFonts w:ascii="宋体" w:hAnsi="宋体" w:eastAsia="宋体" w:cs="宋体"/>
          <w:sz w:val="24"/>
        </w:rPr>
        <w:t>债务人开办单位对债务人未收取的管理费、承包费；</w:t>
      </w:r>
    </w:p>
    <w:p w14:paraId="14874A93">
      <w:pPr>
        <w:spacing w:line="480" w:lineRule="exact"/>
        <w:ind w:firstLine="480" w:firstLineChars="200"/>
        <w:rPr>
          <w:rFonts w:ascii="宋体" w:hAnsi="宋体" w:eastAsia="宋体" w:cs="宋体"/>
          <w:sz w:val="24"/>
        </w:rPr>
      </w:pPr>
      <w:r>
        <w:rPr>
          <w:rFonts w:hint="eastAsia" w:ascii="宋体" w:hAnsi="宋体" w:eastAsia="宋体" w:cs="宋体"/>
          <w:sz w:val="24"/>
        </w:rPr>
        <w:t>7、其他依法在破产清算程序中不予认定的债权</w:t>
      </w:r>
      <w:r>
        <w:rPr>
          <w:rFonts w:ascii="宋体" w:hAnsi="宋体" w:eastAsia="宋体" w:cs="宋体"/>
          <w:sz w:val="24"/>
        </w:rPr>
        <w:t>。</w:t>
      </w:r>
    </w:p>
    <w:p w14:paraId="25449E14">
      <w:pPr>
        <w:spacing w:line="480" w:lineRule="exact"/>
        <w:ind w:firstLine="482" w:firstLineChars="200"/>
        <w:rPr>
          <w:rFonts w:ascii="宋体" w:hAnsi="宋体" w:eastAsia="宋体" w:cs="宋体"/>
          <w:b/>
          <w:bCs/>
          <w:sz w:val="24"/>
        </w:rPr>
      </w:pPr>
      <w:r>
        <w:rPr>
          <w:rFonts w:hint="eastAsia" w:ascii="宋体" w:hAnsi="宋体" w:eastAsia="宋体" w:cs="宋体"/>
          <w:b/>
          <w:bCs/>
          <w:sz w:val="24"/>
        </w:rPr>
        <w:t>四、债权的核查、确认和异议</w:t>
      </w:r>
    </w:p>
    <w:p w14:paraId="54713357">
      <w:pPr>
        <w:spacing w:line="480" w:lineRule="exact"/>
        <w:ind w:firstLine="480" w:firstLineChars="200"/>
        <w:rPr>
          <w:rFonts w:ascii="宋体" w:hAnsi="宋体" w:eastAsia="宋体" w:cs="宋体"/>
          <w:sz w:val="24"/>
        </w:rPr>
      </w:pPr>
      <w:r>
        <w:rPr>
          <w:rFonts w:hint="eastAsia" w:ascii="宋体" w:hAnsi="宋体" w:eastAsia="宋体" w:cs="宋体"/>
          <w:sz w:val="24"/>
        </w:rPr>
        <w:t>1、如债权人对管理人制作的《债权表》所记载的债权有异议，请在后附的《</w:t>
      </w:r>
      <w:r>
        <w:rPr>
          <w:rFonts w:ascii="宋体" w:hAnsi="宋体" w:eastAsia="宋体" w:cs="宋体"/>
          <w:sz w:val="24"/>
        </w:rPr>
        <w:t>&lt;</w:t>
      </w:r>
      <w:r>
        <w:rPr>
          <w:rFonts w:hint="eastAsia" w:ascii="宋体" w:hAnsi="宋体" w:eastAsia="宋体" w:cs="宋体"/>
          <w:sz w:val="24"/>
        </w:rPr>
        <w:t>债权表</w:t>
      </w:r>
      <w:r>
        <w:rPr>
          <w:rFonts w:ascii="宋体" w:hAnsi="宋体" w:eastAsia="宋体" w:cs="宋体"/>
          <w:sz w:val="24"/>
        </w:rPr>
        <w:t>&gt;</w:t>
      </w:r>
      <w:r>
        <w:rPr>
          <w:rFonts w:hint="eastAsia" w:ascii="宋体" w:hAnsi="宋体" w:eastAsia="宋体" w:cs="宋体"/>
          <w:sz w:val="24"/>
        </w:rPr>
        <w:t>审核反馈意见表》中列明有异议的债权编号及名称, 同时说明异议的事实和理由。有异议的债权人可</w:t>
      </w:r>
      <w:r>
        <w:rPr>
          <w:rFonts w:hint="eastAsia" w:ascii="宋体" w:hAnsi="宋体" w:eastAsia="宋体" w:cs="宋体"/>
          <w:b/>
          <w:bCs/>
          <w:sz w:val="24"/>
          <w:u w:val="single"/>
        </w:rPr>
        <w:t>自债权人会议召开之日起</w:t>
      </w:r>
      <w:r>
        <w:rPr>
          <w:rFonts w:hint="eastAsia" w:ascii="宋体" w:hAnsi="宋体" w:eastAsia="宋体" w:cs="宋体"/>
          <w:b/>
          <w:bCs/>
          <w:sz w:val="24"/>
          <w:u w:val="single"/>
          <w:lang w:eastAsia="zh-Hans"/>
        </w:rPr>
        <w:t>三</w:t>
      </w:r>
      <w:r>
        <w:rPr>
          <w:rFonts w:hint="eastAsia" w:ascii="宋体" w:hAnsi="宋体" w:eastAsia="宋体" w:cs="宋体"/>
          <w:b/>
          <w:bCs/>
          <w:sz w:val="24"/>
          <w:u w:val="single"/>
        </w:rPr>
        <w:t>日内</w:t>
      </w:r>
      <w:r>
        <w:rPr>
          <w:rFonts w:hint="eastAsia" w:ascii="宋体" w:hAnsi="宋体" w:eastAsia="宋体" w:cs="宋体"/>
          <w:sz w:val="24"/>
        </w:rPr>
        <w:t>向管理人申请</w:t>
      </w:r>
      <w:r>
        <w:rPr>
          <w:rFonts w:hint="eastAsia" w:ascii="宋体" w:hAnsi="宋体" w:eastAsia="宋体" w:cs="宋体"/>
          <w:sz w:val="24"/>
          <w:lang w:eastAsia="zh-Hans"/>
        </w:rPr>
        <w:t>复查</w:t>
      </w:r>
      <w:r>
        <w:rPr>
          <w:rFonts w:hint="eastAsia" w:ascii="宋体" w:hAnsi="宋体" w:eastAsia="宋体" w:cs="宋体"/>
          <w:sz w:val="24"/>
        </w:rPr>
        <w:t>，并提交相关证据材料。管理人</w:t>
      </w:r>
      <w:r>
        <w:rPr>
          <w:rFonts w:hint="eastAsia" w:ascii="宋体" w:hAnsi="宋体" w:eastAsia="宋体" w:cs="宋体"/>
          <w:sz w:val="24"/>
          <w:lang w:eastAsia="zh-Hans"/>
        </w:rPr>
        <w:t>将</w:t>
      </w:r>
      <w:r>
        <w:rPr>
          <w:rFonts w:hint="eastAsia" w:ascii="宋体" w:hAnsi="宋体" w:eastAsia="宋体" w:cs="宋体"/>
          <w:sz w:val="24"/>
        </w:rPr>
        <w:t>对债权人所提出的异议事项进行</w:t>
      </w:r>
      <w:r>
        <w:rPr>
          <w:rFonts w:hint="eastAsia" w:ascii="宋体" w:hAnsi="宋体" w:eastAsia="宋体" w:cs="宋体"/>
          <w:sz w:val="24"/>
          <w:lang w:eastAsia="zh-Hans"/>
        </w:rPr>
        <w:t>复查调整</w:t>
      </w:r>
      <w:r>
        <w:rPr>
          <w:rFonts w:ascii="宋体" w:hAnsi="宋体" w:eastAsia="宋体" w:cs="宋体"/>
          <w:sz w:val="24"/>
        </w:rPr>
        <w:t>（</w:t>
      </w:r>
      <w:r>
        <w:rPr>
          <w:rFonts w:hint="eastAsia" w:ascii="宋体" w:hAnsi="宋体" w:eastAsia="宋体" w:cs="宋体"/>
          <w:sz w:val="24"/>
          <w:lang w:eastAsia="zh-Hans"/>
        </w:rPr>
        <w:t>或者决定不予复查调整</w:t>
      </w:r>
      <w:r>
        <w:rPr>
          <w:rFonts w:ascii="宋体" w:hAnsi="宋体" w:eastAsia="宋体" w:cs="宋体"/>
          <w:sz w:val="24"/>
        </w:rPr>
        <w:t>）</w:t>
      </w:r>
      <w:r>
        <w:rPr>
          <w:rFonts w:hint="eastAsia" w:ascii="宋体" w:hAnsi="宋体" w:eastAsia="宋体" w:cs="宋体"/>
          <w:sz w:val="24"/>
        </w:rPr>
        <w:t>，并将</w:t>
      </w:r>
      <w:r>
        <w:rPr>
          <w:rFonts w:hint="eastAsia" w:ascii="宋体" w:hAnsi="宋体" w:eastAsia="宋体" w:cs="宋体"/>
          <w:sz w:val="24"/>
          <w:lang w:eastAsia="zh-Hans"/>
        </w:rPr>
        <w:t>债权复查</w:t>
      </w:r>
      <w:r>
        <w:rPr>
          <w:rFonts w:hint="eastAsia" w:ascii="宋体" w:hAnsi="宋体" w:eastAsia="宋体" w:cs="宋体"/>
          <w:sz w:val="24"/>
        </w:rPr>
        <w:t>结果通知异议人。</w:t>
      </w:r>
    </w:p>
    <w:p w14:paraId="15CB74CA">
      <w:pPr>
        <w:spacing w:line="480" w:lineRule="exact"/>
        <w:ind w:firstLine="480" w:firstLineChars="200"/>
        <w:rPr>
          <w:rFonts w:ascii="宋体" w:hAnsi="宋体" w:eastAsia="宋体" w:cs="宋体"/>
          <w:sz w:val="24"/>
        </w:rPr>
      </w:pPr>
      <w:r>
        <w:rPr>
          <w:rFonts w:hint="eastAsia" w:ascii="宋体" w:hAnsi="宋体" w:eastAsia="宋体" w:cs="宋体"/>
          <w:sz w:val="24"/>
        </w:rPr>
        <w:t>债权人对</w:t>
      </w:r>
      <w:r>
        <w:rPr>
          <w:rFonts w:hint="eastAsia" w:ascii="宋体" w:hAnsi="宋体" w:eastAsia="宋体" w:cs="宋体"/>
          <w:sz w:val="24"/>
          <w:lang w:eastAsia="zh-Hans"/>
        </w:rPr>
        <w:t>复查</w:t>
      </w:r>
      <w:r>
        <w:rPr>
          <w:rFonts w:hint="eastAsia" w:ascii="宋体" w:hAnsi="宋体" w:eastAsia="宋体" w:cs="宋体"/>
          <w:sz w:val="24"/>
        </w:rPr>
        <w:t>结果仍有异议的</w:t>
      </w:r>
      <w:r>
        <w:rPr>
          <w:rFonts w:ascii="宋体" w:hAnsi="宋体" w:eastAsia="宋体" w:cs="宋体"/>
          <w:sz w:val="24"/>
        </w:rPr>
        <w:t>，</w:t>
      </w:r>
      <w:r>
        <w:rPr>
          <w:rFonts w:hint="eastAsia" w:ascii="宋体" w:hAnsi="宋体" w:eastAsia="宋体" w:cs="宋体"/>
          <w:sz w:val="24"/>
          <w:lang w:eastAsia="zh-Hans"/>
        </w:rPr>
        <w:t>或者管理人决定不予复查</w:t>
      </w:r>
      <w:r>
        <w:rPr>
          <w:rFonts w:ascii="宋体" w:hAnsi="宋体" w:eastAsia="宋体" w:cs="宋体"/>
          <w:sz w:val="24"/>
          <w:lang w:eastAsia="zh-Hans"/>
        </w:rPr>
        <w:t>、</w:t>
      </w:r>
      <w:r>
        <w:rPr>
          <w:rFonts w:hint="eastAsia" w:ascii="宋体" w:hAnsi="宋体" w:eastAsia="宋体" w:cs="宋体"/>
          <w:sz w:val="24"/>
          <w:lang w:eastAsia="zh-Hans"/>
        </w:rPr>
        <w:t>解释或调整的</w:t>
      </w:r>
      <w:r>
        <w:rPr>
          <w:rFonts w:hint="eastAsia" w:ascii="宋体" w:hAnsi="宋体" w:eastAsia="宋体" w:cs="宋体"/>
          <w:sz w:val="24"/>
        </w:rPr>
        <w:t>，</w:t>
      </w:r>
      <w:r>
        <w:rPr>
          <w:rFonts w:hint="eastAsia" w:ascii="宋体" w:hAnsi="宋体" w:eastAsia="宋体" w:cs="宋体"/>
          <w:sz w:val="24"/>
          <w:lang w:eastAsia="zh-Hans"/>
        </w:rPr>
        <w:t>异议人</w:t>
      </w:r>
      <w:r>
        <w:rPr>
          <w:rFonts w:hint="eastAsia" w:ascii="宋体" w:hAnsi="宋体" w:eastAsia="宋体" w:cs="宋体"/>
          <w:sz w:val="24"/>
        </w:rPr>
        <w:t>应当在</w:t>
      </w:r>
      <w:r>
        <w:rPr>
          <w:rFonts w:hint="eastAsia" w:ascii="宋体" w:hAnsi="宋体" w:eastAsia="宋体" w:cs="宋体"/>
          <w:b/>
          <w:bCs/>
          <w:sz w:val="24"/>
          <w:u w:val="single"/>
        </w:rPr>
        <w:t>债权人会议核查结束后</w:t>
      </w:r>
      <w:r>
        <w:rPr>
          <w:rFonts w:ascii="宋体" w:hAnsi="宋体" w:eastAsia="宋体" w:cs="宋体"/>
          <w:b/>
          <w:bCs/>
          <w:sz w:val="24"/>
          <w:u w:val="single"/>
        </w:rPr>
        <w:t>（</w:t>
      </w:r>
      <w:r>
        <w:rPr>
          <w:rFonts w:hint="eastAsia" w:ascii="宋体" w:hAnsi="宋体" w:eastAsia="宋体" w:cs="宋体"/>
          <w:b/>
          <w:bCs/>
          <w:sz w:val="24"/>
          <w:u w:val="single"/>
          <w:lang w:eastAsia="zh-Hans"/>
        </w:rPr>
        <w:t>即债权人会议召开次</w:t>
      </w:r>
      <w:r>
        <w:rPr>
          <w:rFonts w:hint="eastAsia" w:ascii="宋体" w:hAnsi="宋体" w:eastAsia="宋体" w:cs="宋体"/>
          <w:b/>
          <w:bCs/>
          <w:sz w:val="24"/>
          <w:u w:val="single"/>
        </w:rPr>
        <w:t>日起</w:t>
      </w:r>
      <w:r>
        <w:rPr>
          <w:rFonts w:ascii="宋体" w:hAnsi="宋体" w:eastAsia="宋体" w:cs="宋体"/>
          <w:b/>
          <w:bCs/>
          <w:sz w:val="24"/>
          <w:u w:val="single"/>
        </w:rPr>
        <w:t>）</w:t>
      </w:r>
      <w:r>
        <w:rPr>
          <w:rFonts w:hint="eastAsia" w:ascii="宋体" w:hAnsi="宋体" w:eastAsia="宋体" w:cs="宋体"/>
          <w:b/>
          <w:bCs/>
          <w:sz w:val="24"/>
          <w:u w:val="single"/>
        </w:rPr>
        <w:t>十五日</w:t>
      </w:r>
      <w:r>
        <w:rPr>
          <w:rFonts w:hint="eastAsia" w:ascii="宋体" w:hAnsi="宋体" w:eastAsia="宋体" w:cs="宋体"/>
          <w:sz w:val="24"/>
        </w:rPr>
        <w:t>内根据《企业破产法》第五十八条之规定向</w:t>
      </w:r>
      <w:r>
        <w:rPr>
          <w:rFonts w:hint="eastAsia" w:ascii="宋体" w:hAnsi="宋体" w:eastAsia="宋体" w:cs="宋体"/>
          <w:sz w:val="24"/>
          <w:lang w:eastAsia="zh-Hans"/>
        </w:rPr>
        <w:t>有管辖权的</w:t>
      </w:r>
      <w:r>
        <w:rPr>
          <w:rFonts w:hint="eastAsia" w:ascii="宋体" w:hAnsi="宋体" w:eastAsia="宋体" w:cs="宋体"/>
          <w:sz w:val="24"/>
        </w:rPr>
        <w:t>人民法院提起诉讼，并向管理人</w:t>
      </w:r>
      <w:r>
        <w:rPr>
          <w:rFonts w:hint="eastAsia" w:ascii="宋体" w:hAnsi="宋体" w:eastAsia="宋体" w:cs="宋体"/>
          <w:bCs/>
          <w:sz w:val="24"/>
        </w:rPr>
        <w:t>反馈起诉信息及提供法院立案受理材料复印件</w:t>
      </w:r>
      <w:r>
        <w:rPr>
          <w:rFonts w:hint="eastAsia" w:ascii="宋体" w:hAnsi="宋体" w:eastAsia="宋体" w:cs="宋体"/>
          <w:sz w:val="24"/>
        </w:rPr>
        <w:t>。债权人不按本条规定的期限向管理人提出异议或不按本条规定的期限对管理人的</w:t>
      </w:r>
      <w:r>
        <w:rPr>
          <w:rFonts w:hint="eastAsia" w:ascii="宋体" w:hAnsi="宋体" w:eastAsia="宋体" w:cs="宋体"/>
          <w:sz w:val="24"/>
          <w:lang w:eastAsia="zh-Hans"/>
        </w:rPr>
        <w:t>债权审查</w:t>
      </w:r>
      <w:r>
        <w:rPr>
          <w:rFonts w:hint="eastAsia" w:ascii="宋体" w:hAnsi="宋体" w:eastAsia="宋体" w:cs="宋体"/>
          <w:sz w:val="24"/>
        </w:rPr>
        <w:t>结果向法院提起诉讼的，应承担法院不予受理或驳回申请的法律后果，视为确认管理人的审核意见。</w:t>
      </w:r>
    </w:p>
    <w:p w14:paraId="394C173D">
      <w:pPr>
        <w:spacing w:line="480" w:lineRule="exact"/>
        <w:ind w:firstLine="480" w:firstLineChars="200"/>
        <w:rPr>
          <w:rFonts w:ascii="宋体" w:hAnsi="宋体" w:eastAsia="宋体" w:cs="宋体"/>
          <w:sz w:val="24"/>
        </w:rPr>
      </w:pPr>
      <w:r>
        <w:rPr>
          <w:rFonts w:hint="eastAsia" w:ascii="宋体" w:hAnsi="宋体" w:eastAsia="宋体" w:cs="宋体"/>
          <w:sz w:val="24"/>
        </w:rPr>
        <w:t>2、债权人不提交《&lt;债权表&gt;审核反馈意见表》的，视为对管理人制作的《债权表》所列债权无异议。</w:t>
      </w:r>
    </w:p>
    <w:p w14:paraId="37245F4B">
      <w:pPr>
        <w:spacing w:line="480" w:lineRule="exact"/>
        <w:ind w:firstLine="480" w:firstLineChars="200"/>
        <w:rPr>
          <w:rFonts w:ascii="宋体" w:hAnsi="宋体" w:eastAsia="宋体" w:cs="宋体"/>
          <w:sz w:val="24"/>
        </w:rPr>
      </w:pPr>
      <w:r>
        <w:rPr>
          <w:rFonts w:hint="eastAsia" w:ascii="宋体" w:hAnsi="宋体" w:eastAsia="宋体" w:cs="宋体"/>
          <w:sz w:val="24"/>
        </w:rPr>
        <w:t>3、对于因债权申报材料不全、需进一步查清事实、付款条件未成就和涉及诉讼等原因暂无法出具审查结论的债权以及以后新申报的债权，管理人不再另行召开债权人会议核查，而由管理人按本方案第一条规定的程序进行书面核查。</w:t>
      </w:r>
    </w:p>
    <w:p w14:paraId="09689BD0">
      <w:pPr>
        <w:spacing w:line="480" w:lineRule="exact"/>
        <w:ind w:firstLine="480" w:firstLineChars="200"/>
        <w:rPr>
          <w:rFonts w:ascii="宋体" w:hAnsi="宋体" w:eastAsia="宋体" w:cs="宋体"/>
          <w:sz w:val="24"/>
        </w:rPr>
      </w:pPr>
      <w:r>
        <w:rPr>
          <w:rFonts w:hint="eastAsia" w:ascii="宋体" w:hAnsi="宋体" w:eastAsia="宋体" w:cs="宋体"/>
          <w:sz w:val="24"/>
        </w:rPr>
        <w:t>4、为保障全体债权人公平受偿的权益，管理人有权根据进一步查明的事实对已做出的债权审查结论进行修正</w:t>
      </w:r>
      <w:r>
        <w:rPr>
          <w:rFonts w:ascii="宋体" w:hAnsi="宋体" w:eastAsia="宋体" w:cs="宋体"/>
          <w:sz w:val="24"/>
        </w:rPr>
        <w:t>，</w:t>
      </w:r>
      <w:r>
        <w:rPr>
          <w:rFonts w:hint="eastAsia" w:ascii="宋体" w:hAnsi="宋体" w:eastAsia="宋体" w:cs="宋体"/>
          <w:sz w:val="24"/>
        </w:rPr>
        <w:t>及时向债权人通报有关情况，并将修正后的债权表提交全体债权人书面核查，不再另行召开债权人会议进行核查。</w:t>
      </w:r>
    </w:p>
    <w:p w14:paraId="0D2E2CB1">
      <w:pPr>
        <w:spacing w:line="480" w:lineRule="exact"/>
        <w:ind w:firstLine="480" w:firstLineChars="200"/>
        <w:rPr>
          <w:rFonts w:ascii="宋体" w:hAnsi="宋体" w:eastAsia="宋体" w:cs="宋体"/>
          <w:sz w:val="24"/>
        </w:rPr>
      </w:pPr>
      <w:r>
        <w:rPr>
          <w:rFonts w:hint="eastAsia" w:ascii="宋体" w:hAnsi="宋体" w:eastAsia="宋体" w:cs="宋体"/>
          <w:sz w:val="24"/>
        </w:rPr>
        <w:t>5、债权人未申报的债权项目，视为债权人对该债权项目的放弃，管理人不予认定，管理人也无义务提醒债权人；对于仅仅因为文字、计算、数据统计出现错误的，由管理人直接作出修正，不再就该等修正情况向债权人发出书面通知核查。</w:t>
      </w:r>
    </w:p>
    <w:p w14:paraId="3F7549A2">
      <w:pPr>
        <w:spacing w:line="480" w:lineRule="exact"/>
        <w:ind w:firstLine="480" w:firstLineChars="200"/>
        <w:rPr>
          <w:rFonts w:ascii="宋体" w:hAnsi="宋体" w:eastAsia="宋体" w:cs="宋体"/>
          <w:sz w:val="24"/>
        </w:rPr>
      </w:pPr>
      <w:r>
        <w:rPr>
          <w:rFonts w:hint="eastAsia" w:ascii="宋体" w:hAnsi="宋体" w:eastAsia="宋体" w:cs="宋体"/>
          <w:sz w:val="24"/>
        </w:rPr>
        <w:t>6、对于债权人已经核查后的债权，部分债权人又针对利息/违约金/诉讼费等费用进行补充申报或变更的，由管理人直接作出审核调整，不再就该等审核调整情况向债权人发出通知核查。</w:t>
      </w:r>
    </w:p>
    <w:p w14:paraId="1196A2B2">
      <w:pPr>
        <w:spacing w:line="480" w:lineRule="exact"/>
        <w:ind w:firstLine="480" w:firstLineChars="200"/>
        <w:rPr>
          <w:rFonts w:ascii="宋体" w:hAnsi="宋体" w:eastAsia="宋体" w:cs="宋体"/>
          <w:sz w:val="24"/>
        </w:rPr>
      </w:pPr>
      <w:r>
        <w:rPr>
          <w:rFonts w:hint="eastAsia" w:ascii="宋体" w:hAnsi="宋体" w:eastAsia="宋体" w:cs="宋体"/>
          <w:sz w:val="24"/>
        </w:rPr>
        <w:t>7、对于债权人提出异议的债权或者起诉的债权，管理人根据异议复审结果或诉讼结果直接作岀调整，不再就该等调整情况向债权人发出通知核查。</w:t>
      </w:r>
    </w:p>
    <w:p w14:paraId="5AEC4E25">
      <w:pPr>
        <w:spacing w:line="480" w:lineRule="exact"/>
        <w:ind w:firstLine="480" w:firstLineChars="200"/>
        <w:rPr>
          <w:rFonts w:ascii="宋体" w:hAnsi="宋体" w:eastAsia="宋体" w:cs="宋体"/>
          <w:sz w:val="24"/>
        </w:rPr>
      </w:pPr>
      <w:r>
        <w:rPr>
          <w:rFonts w:hint="eastAsia" w:ascii="宋体" w:hAnsi="宋体" w:eastAsia="宋体" w:cs="宋体"/>
          <w:sz w:val="24"/>
        </w:rPr>
        <w:t>8、为尽快确定破产债权并实施清算，对于无异议的债权，由管理人将依法申请人民法院裁定确认。</w:t>
      </w:r>
    </w:p>
    <w:p w14:paraId="367EC639">
      <w:pPr>
        <w:spacing w:line="480" w:lineRule="exact"/>
        <w:ind w:firstLine="480" w:firstLineChars="200"/>
        <w:rPr>
          <w:rFonts w:ascii="宋体" w:hAnsi="宋体" w:eastAsia="宋体" w:cs="宋体"/>
          <w:sz w:val="24"/>
        </w:rPr>
      </w:pPr>
      <w:r>
        <w:rPr>
          <w:rFonts w:hint="eastAsia" w:ascii="宋体" w:hAnsi="宋体" w:eastAsia="宋体" w:cs="宋体"/>
          <w:sz w:val="24"/>
        </w:rPr>
        <w:t>9、债权将以人民法院最终确认的为准，债权经法院确认后，管理人将寄送各债权人。</w:t>
      </w:r>
    </w:p>
    <w:p w14:paraId="388737F3">
      <w:pPr>
        <w:spacing w:line="480" w:lineRule="exact"/>
        <w:ind w:firstLine="480" w:firstLineChars="200"/>
        <w:rPr>
          <w:rFonts w:ascii="宋体" w:hAnsi="宋体" w:eastAsia="宋体" w:cs="宋体"/>
          <w:sz w:val="24"/>
        </w:rPr>
      </w:pPr>
    </w:p>
    <w:p w14:paraId="367A2471">
      <w:pPr>
        <w:spacing w:line="480" w:lineRule="exact"/>
        <w:rPr>
          <w:rFonts w:ascii="宋体" w:hAnsi="宋体" w:eastAsia="宋体" w:cs="宋体"/>
          <w:sz w:val="24"/>
        </w:rPr>
      </w:pPr>
    </w:p>
    <w:p w14:paraId="06D4E19D">
      <w:pPr>
        <w:spacing w:line="480" w:lineRule="exact"/>
        <w:jc w:val="right"/>
        <w:rPr>
          <w:sz w:val="24"/>
        </w:rPr>
      </w:pPr>
      <w:r>
        <w:rPr>
          <w:rFonts w:hint="eastAsia"/>
          <w:sz w:val="24"/>
        </w:rPr>
        <w:t xml:space="preserve">                          </w:t>
      </w:r>
      <w:r>
        <w:rPr>
          <w:rFonts w:hint="eastAsia"/>
          <w:sz w:val="24"/>
          <w:lang w:eastAsia="zh-CN"/>
        </w:rPr>
        <w:t>福州月星商业管理有限公司</w:t>
      </w:r>
      <w:r>
        <w:rPr>
          <w:rFonts w:hint="eastAsia"/>
          <w:sz w:val="24"/>
        </w:rPr>
        <w:t>管理人</w:t>
      </w:r>
    </w:p>
    <w:p w14:paraId="2FE0005B">
      <w:pPr>
        <w:spacing w:line="480" w:lineRule="exact"/>
        <w:jc w:val="right"/>
        <w:rPr>
          <w:sz w:val="24"/>
        </w:rPr>
      </w:pPr>
      <w:r>
        <w:rPr>
          <w:sz w:val="24"/>
        </w:rPr>
        <w:t xml:space="preserve">                              </w:t>
      </w:r>
      <w:bookmarkStart w:id="0" w:name="_GoBack"/>
      <w:r>
        <w:rPr>
          <w:rFonts w:hint="eastAsia" w:ascii="宋体" w:hAnsi="宋体" w:cs="宋体"/>
          <w:sz w:val="24"/>
          <w:szCs w:val="24"/>
          <w:lang w:eastAsia="zh-Hans"/>
        </w:rPr>
        <w:t>二〇二</w:t>
      </w:r>
      <w:r>
        <w:rPr>
          <w:rFonts w:hint="eastAsia" w:ascii="宋体" w:hAnsi="宋体" w:cs="宋体"/>
          <w:sz w:val="24"/>
          <w:szCs w:val="24"/>
        </w:rPr>
        <w:t>四年</w:t>
      </w:r>
      <w:r>
        <w:rPr>
          <w:rFonts w:hint="eastAsia" w:ascii="宋体" w:hAnsi="宋体" w:cs="宋体"/>
          <w:sz w:val="24"/>
          <w:szCs w:val="24"/>
          <w:lang w:val="en-US" w:eastAsia="zh-CN"/>
        </w:rPr>
        <w:t>十</w:t>
      </w:r>
      <w:r>
        <w:rPr>
          <w:rFonts w:hint="eastAsia" w:ascii="宋体" w:hAnsi="宋体" w:cs="宋体"/>
          <w:sz w:val="24"/>
          <w:szCs w:val="24"/>
          <w:lang w:eastAsia="zh-Hans"/>
        </w:rPr>
        <w:t>月</w:t>
      </w:r>
      <w:r>
        <w:rPr>
          <w:rFonts w:hint="eastAsia" w:ascii="宋体" w:hAnsi="宋体" w:cs="宋体"/>
          <w:sz w:val="24"/>
          <w:szCs w:val="24"/>
          <w:lang w:val="en-US" w:eastAsia="zh-CN"/>
        </w:rPr>
        <w:t>十</w:t>
      </w:r>
      <w:r>
        <w:rPr>
          <w:rFonts w:hint="eastAsia" w:ascii="宋体" w:hAnsi="宋体" w:cs="宋体"/>
          <w:sz w:val="24"/>
          <w:szCs w:val="24"/>
        </w:rPr>
        <w:t>一日</w:t>
      </w:r>
      <w:r>
        <w:rPr>
          <w:rFonts w:hint="eastAsia"/>
          <w:sz w:val="24"/>
          <w:lang w:val="en-US" w:eastAsia="zh-CN"/>
        </w:rPr>
        <w:t xml:space="preserve"> </w:t>
      </w:r>
      <w:bookmarkEnd w:id="0"/>
      <w:r>
        <w:rPr>
          <w:rFonts w:hint="eastAsia"/>
          <w:sz w:val="24"/>
          <w:lang w:val="en-US" w:eastAsia="zh-CN"/>
        </w:rPr>
        <w:t xml:space="preserve"> </w:t>
      </w:r>
      <w:r>
        <w:rPr>
          <w:rFonts w:hint="eastAsia"/>
          <w:sz w:val="24"/>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altName w:val="Malgun Gothic Semilight"/>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1914190"/>
      <w:docPartObj>
        <w:docPartGallery w:val="autotext"/>
      </w:docPartObj>
    </w:sdtPr>
    <w:sdtContent>
      <w:p w14:paraId="3186325A">
        <w:pPr>
          <w:pStyle w:val="4"/>
          <w:jc w:val="center"/>
        </w:pPr>
        <w:r>
          <w:fldChar w:fldCharType="begin"/>
        </w:r>
        <w:r>
          <w:instrText xml:space="preserve">PAGE   \* MERGEFORMAT</w:instrText>
        </w:r>
        <w:r>
          <w:fldChar w:fldCharType="separate"/>
        </w:r>
        <w:r>
          <w:rPr>
            <w:lang w:val="zh-CN"/>
          </w:rPr>
          <w:t>6</w:t>
        </w:r>
        <w:r>
          <w:fldChar w:fldCharType="end"/>
        </w:r>
      </w:p>
    </w:sdtContent>
  </w:sdt>
  <w:p w14:paraId="04467779">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C8425A"/>
    <w:multiLevelType w:val="singleLevel"/>
    <w:tmpl w:val="60C8425A"/>
    <w:lvl w:ilvl="0" w:tentative="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1ZWMxOGYyZWQ1ODU3ODE2MTY2MzAwNGE1MjE2ZmQifQ=="/>
  </w:docVars>
  <w:rsids>
    <w:rsidRoot w:val="8DFED6DE"/>
    <w:rsid w:val="000320FC"/>
    <w:rsid w:val="000369BA"/>
    <w:rsid w:val="00137EBF"/>
    <w:rsid w:val="00165DE2"/>
    <w:rsid w:val="001D55D8"/>
    <w:rsid w:val="00226AD2"/>
    <w:rsid w:val="002370D3"/>
    <w:rsid w:val="002C08ED"/>
    <w:rsid w:val="003248B7"/>
    <w:rsid w:val="00331603"/>
    <w:rsid w:val="00401D0A"/>
    <w:rsid w:val="00442208"/>
    <w:rsid w:val="00463EF4"/>
    <w:rsid w:val="00550399"/>
    <w:rsid w:val="005A5400"/>
    <w:rsid w:val="005E65E4"/>
    <w:rsid w:val="005F3044"/>
    <w:rsid w:val="00666036"/>
    <w:rsid w:val="00702C4E"/>
    <w:rsid w:val="00717AC6"/>
    <w:rsid w:val="00761D12"/>
    <w:rsid w:val="0077539D"/>
    <w:rsid w:val="0081252A"/>
    <w:rsid w:val="0081348F"/>
    <w:rsid w:val="008217CC"/>
    <w:rsid w:val="00835879"/>
    <w:rsid w:val="008A59BF"/>
    <w:rsid w:val="008D4EDF"/>
    <w:rsid w:val="00902D63"/>
    <w:rsid w:val="00930AD3"/>
    <w:rsid w:val="00952559"/>
    <w:rsid w:val="00952BF7"/>
    <w:rsid w:val="00A727BC"/>
    <w:rsid w:val="00A86D88"/>
    <w:rsid w:val="00A957F3"/>
    <w:rsid w:val="00AC5C91"/>
    <w:rsid w:val="00B55902"/>
    <w:rsid w:val="00B82FB1"/>
    <w:rsid w:val="00BC7700"/>
    <w:rsid w:val="00BF7D83"/>
    <w:rsid w:val="00C43D9A"/>
    <w:rsid w:val="00C5202F"/>
    <w:rsid w:val="00C55758"/>
    <w:rsid w:val="00CB356F"/>
    <w:rsid w:val="00CC3327"/>
    <w:rsid w:val="00CF0BE0"/>
    <w:rsid w:val="00D005F1"/>
    <w:rsid w:val="00D54E02"/>
    <w:rsid w:val="00D839C1"/>
    <w:rsid w:val="00DE3217"/>
    <w:rsid w:val="00DF05EA"/>
    <w:rsid w:val="00E60AD7"/>
    <w:rsid w:val="00E6537B"/>
    <w:rsid w:val="00E945B5"/>
    <w:rsid w:val="00F31508"/>
    <w:rsid w:val="0F6492C6"/>
    <w:rsid w:val="12CE6CF4"/>
    <w:rsid w:val="19EDB246"/>
    <w:rsid w:val="1A7662B0"/>
    <w:rsid w:val="1DFBBC44"/>
    <w:rsid w:val="1E3DC90F"/>
    <w:rsid w:val="1FED2D64"/>
    <w:rsid w:val="1FF65A19"/>
    <w:rsid w:val="24F84776"/>
    <w:rsid w:val="267709F6"/>
    <w:rsid w:val="277A339C"/>
    <w:rsid w:val="27BD6619"/>
    <w:rsid w:val="2DEAC189"/>
    <w:rsid w:val="2E36FCD9"/>
    <w:rsid w:val="2EDEB972"/>
    <w:rsid w:val="2EF7E206"/>
    <w:rsid w:val="2FF1A1CF"/>
    <w:rsid w:val="306561C8"/>
    <w:rsid w:val="3177F809"/>
    <w:rsid w:val="34BF9AD5"/>
    <w:rsid w:val="35FD59CB"/>
    <w:rsid w:val="36F4D69A"/>
    <w:rsid w:val="37DDB67A"/>
    <w:rsid w:val="37FB6F1E"/>
    <w:rsid w:val="39DFECE3"/>
    <w:rsid w:val="3BDF1D28"/>
    <w:rsid w:val="3BF3E46A"/>
    <w:rsid w:val="3CF3D25E"/>
    <w:rsid w:val="3D37C4C4"/>
    <w:rsid w:val="3D7E85FB"/>
    <w:rsid w:val="3DDF8263"/>
    <w:rsid w:val="3DED4CF4"/>
    <w:rsid w:val="3EEFCD48"/>
    <w:rsid w:val="3F735F1F"/>
    <w:rsid w:val="3F7D9CE7"/>
    <w:rsid w:val="3F979052"/>
    <w:rsid w:val="3FAF72C2"/>
    <w:rsid w:val="3FF798F2"/>
    <w:rsid w:val="3FFF8322"/>
    <w:rsid w:val="42DFD7D5"/>
    <w:rsid w:val="49FD0803"/>
    <w:rsid w:val="4EDBED7B"/>
    <w:rsid w:val="4FFB2F39"/>
    <w:rsid w:val="4FFF4144"/>
    <w:rsid w:val="56BB1FBB"/>
    <w:rsid w:val="59F23D3B"/>
    <w:rsid w:val="59FE8C16"/>
    <w:rsid w:val="5E29C28F"/>
    <w:rsid w:val="5E7FAE12"/>
    <w:rsid w:val="5F7D8F5D"/>
    <w:rsid w:val="5FB3D631"/>
    <w:rsid w:val="5FD762F7"/>
    <w:rsid w:val="5FDFC6E6"/>
    <w:rsid w:val="63E7CF8D"/>
    <w:rsid w:val="6623529E"/>
    <w:rsid w:val="674E9FC4"/>
    <w:rsid w:val="67BF0C3B"/>
    <w:rsid w:val="67BFB602"/>
    <w:rsid w:val="6ABF6EB8"/>
    <w:rsid w:val="6B3B2EFF"/>
    <w:rsid w:val="6B6E148D"/>
    <w:rsid w:val="6BBFD132"/>
    <w:rsid w:val="6BE9FED0"/>
    <w:rsid w:val="6BF6FBCB"/>
    <w:rsid w:val="6DBC2E99"/>
    <w:rsid w:val="6DFFE78B"/>
    <w:rsid w:val="6F3FD1C7"/>
    <w:rsid w:val="6FFCD072"/>
    <w:rsid w:val="72EF6066"/>
    <w:rsid w:val="73C7690A"/>
    <w:rsid w:val="73FD8AAF"/>
    <w:rsid w:val="749641B6"/>
    <w:rsid w:val="75560837"/>
    <w:rsid w:val="757E2A78"/>
    <w:rsid w:val="75CD5CEB"/>
    <w:rsid w:val="75CDA456"/>
    <w:rsid w:val="75E7C978"/>
    <w:rsid w:val="7664BCE4"/>
    <w:rsid w:val="767DB36A"/>
    <w:rsid w:val="76D6F485"/>
    <w:rsid w:val="771B581F"/>
    <w:rsid w:val="77970F9E"/>
    <w:rsid w:val="79771E49"/>
    <w:rsid w:val="797F5D97"/>
    <w:rsid w:val="79BF883D"/>
    <w:rsid w:val="79ED5032"/>
    <w:rsid w:val="7AE98189"/>
    <w:rsid w:val="7AEDA0FD"/>
    <w:rsid w:val="7B5A3AFB"/>
    <w:rsid w:val="7B5F0040"/>
    <w:rsid w:val="7B75F10C"/>
    <w:rsid w:val="7BB8FC00"/>
    <w:rsid w:val="7BF90541"/>
    <w:rsid w:val="7CFB6281"/>
    <w:rsid w:val="7D7F4DAA"/>
    <w:rsid w:val="7DA392FA"/>
    <w:rsid w:val="7DAF39B3"/>
    <w:rsid w:val="7DDB6E6B"/>
    <w:rsid w:val="7EDF4FD8"/>
    <w:rsid w:val="7EF3EFDC"/>
    <w:rsid w:val="7EF7328F"/>
    <w:rsid w:val="7F6E8360"/>
    <w:rsid w:val="7F6E9D32"/>
    <w:rsid w:val="7F73206D"/>
    <w:rsid w:val="7F76B253"/>
    <w:rsid w:val="7F7CBF78"/>
    <w:rsid w:val="7F7D9F91"/>
    <w:rsid w:val="7FBCBBA1"/>
    <w:rsid w:val="7FC7A50D"/>
    <w:rsid w:val="7FCFD335"/>
    <w:rsid w:val="7FDE9AA2"/>
    <w:rsid w:val="7FE7D78D"/>
    <w:rsid w:val="7FEBDFF5"/>
    <w:rsid w:val="7FF3D37C"/>
    <w:rsid w:val="7FF73757"/>
    <w:rsid w:val="7FF7710A"/>
    <w:rsid w:val="7FFC23B7"/>
    <w:rsid w:val="7FFDD779"/>
    <w:rsid w:val="7FFF1BDC"/>
    <w:rsid w:val="7FFFD32E"/>
    <w:rsid w:val="7FFFD9F9"/>
    <w:rsid w:val="7FFFF784"/>
    <w:rsid w:val="8CEF358C"/>
    <w:rsid w:val="8DEB4854"/>
    <w:rsid w:val="8DFED6DE"/>
    <w:rsid w:val="8EEF2534"/>
    <w:rsid w:val="8FF7087E"/>
    <w:rsid w:val="8FFDB32A"/>
    <w:rsid w:val="97FEC856"/>
    <w:rsid w:val="9B87EE9D"/>
    <w:rsid w:val="9EC64CB7"/>
    <w:rsid w:val="9FCBE872"/>
    <w:rsid w:val="A6779951"/>
    <w:rsid w:val="ABCF6105"/>
    <w:rsid w:val="ABE27939"/>
    <w:rsid w:val="ABFF2A0C"/>
    <w:rsid w:val="ABFFA777"/>
    <w:rsid w:val="AD5FFBBE"/>
    <w:rsid w:val="AD85E40B"/>
    <w:rsid w:val="AD87D711"/>
    <w:rsid w:val="AED62EF0"/>
    <w:rsid w:val="AF97BF33"/>
    <w:rsid w:val="AFCB210C"/>
    <w:rsid w:val="AFFDA330"/>
    <w:rsid w:val="AFFEBE7B"/>
    <w:rsid w:val="AFFFF004"/>
    <w:rsid w:val="B3BD303C"/>
    <w:rsid w:val="B3FBDE8F"/>
    <w:rsid w:val="B3FE7ED0"/>
    <w:rsid w:val="B68F1C8A"/>
    <w:rsid w:val="BB7BC187"/>
    <w:rsid w:val="BBA6B491"/>
    <w:rsid w:val="BBDB3139"/>
    <w:rsid w:val="BDF64DB5"/>
    <w:rsid w:val="BE3F92EB"/>
    <w:rsid w:val="BEB6364B"/>
    <w:rsid w:val="BF57145C"/>
    <w:rsid w:val="BF5F0AD7"/>
    <w:rsid w:val="BF76862C"/>
    <w:rsid w:val="BF7DCB56"/>
    <w:rsid w:val="BFDDE07B"/>
    <w:rsid w:val="BFDF0B4B"/>
    <w:rsid w:val="BFDF1A1E"/>
    <w:rsid w:val="BFFCF587"/>
    <w:rsid w:val="BFFE6FFE"/>
    <w:rsid w:val="C7BE1386"/>
    <w:rsid w:val="CDD9B7C4"/>
    <w:rsid w:val="CE3FCD2B"/>
    <w:rsid w:val="CFDE7700"/>
    <w:rsid w:val="D133BA15"/>
    <w:rsid w:val="D35BA518"/>
    <w:rsid w:val="D777F842"/>
    <w:rsid w:val="DBFC78B9"/>
    <w:rsid w:val="DC7F73C9"/>
    <w:rsid w:val="DDFDE471"/>
    <w:rsid w:val="DDFF4415"/>
    <w:rsid w:val="DED722FC"/>
    <w:rsid w:val="DEFDC350"/>
    <w:rsid w:val="DEFEAA6D"/>
    <w:rsid w:val="DF58F453"/>
    <w:rsid w:val="DF673F63"/>
    <w:rsid w:val="DF7B58F7"/>
    <w:rsid w:val="DF7F73B2"/>
    <w:rsid w:val="DF9A1DFD"/>
    <w:rsid w:val="DFAF2D0C"/>
    <w:rsid w:val="DFBF0D20"/>
    <w:rsid w:val="DFDF1F44"/>
    <w:rsid w:val="DFE5C66F"/>
    <w:rsid w:val="DFFD713D"/>
    <w:rsid w:val="DFFEDAC0"/>
    <w:rsid w:val="E4F25DC3"/>
    <w:rsid w:val="E5971246"/>
    <w:rsid w:val="E5FC6F53"/>
    <w:rsid w:val="E72F062D"/>
    <w:rsid w:val="E7B75EE8"/>
    <w:rsid w:val="E7FF6DF4"/>
    <w:rsid w:val="E7FFB8ED"/>
    <w:rsid w:val="EC7F8910"/>
    <w:rsid w:val="EDCEF405"/>
    <w:rsid w:val="EDD9FAF8"/>
    <w:rsid w:val="EDDF719C"/>
    <w:rsid w:val="EDFA110B"/>
    <w:rsid w:val="EEFFE688"/>
    <w:rsid w:val="EF9F6D03"/>
    <w:rsid w:val="EFF7447E"/>
    <w:rsid w:val="EFFB6893"/>
    <w:rsid w:val="EFFF9C3E"/>
    <w:rsid w:val="EFFFE412"/>
    <w:rsid w:val="F2F797F5"/>
    <w:rsid w:val="F3FE494F"/>
    <w:rsid w:val="F4EFA5FD"/>
    <w:rsid w:val="F5EF3DBF"/>
    <w:rsid w:val="F6B7D5F1"/>
    <w:rsid w:val="F6FD22CC"/>
    <w:rsid w:val="F73F4351"/>
    <w:rsid w:val="F79F6AF4"/>
    <w:rsid w:val="F7FF8DAF"/>
    <w:rsid w:val="F9A9C427"/>
    <w:rsid w:val="FAFF5D18"/>
    <w:rsid w:val="FBAF82B3"/>
    <w:rsid w:val="FBFDC8A8"/>
    <w:rsid w:val="FBFF501C"/>
    <w:rsid w:val="FCBD0E25"/>
    <w:rsid w:val="FCFE68A8"/>
    <w:rsid w:val="FD3D00F8"/>
    <w:rsid w:val="FD7FE17C"/>
    <w:rsid w:val="FDB808C0"/>
    <w:rsid w:val="FDE6F9D0"/>
    <w:rsid w:val="FDED9F52"/>
    <w:rsid w:val="FDEF2FC8"/>
    <w:rsid w:val="FDFB9A92"/>
    <w:rsid w:val="FDFDC834"/>
    <w:rsid w:val="FDFEA1B1"/>
    <w:rsid w:val="FDFFC821"/>
    <w:rsid w:val="FE25FB89"/>
    <w:rsid w:val="FE2F3D69"/>
    <w:rsid w:val="FE3F9FAB"/>
    <w:rsid w:val="FE7D4EE1"/>
    <w:rsid w:val="FE7F68D9"/>
    <w:rsid w:val="FEAE392C"/>
    <w:rsid w:val="FEB71717"/>
    <w:rsid w:val="FEEEC2E6"/>
    <w:rsid w:val="FEFBC095"/>
    <w:rsid w:val="FEFFF18E"/>
    <w:rsid w:val="FF3F0EB6"/>
    <w:rsid w:val="FF673703"/>
    <w:rsid w:val="FF6F751C"/>
    <w:rsid w:val="FF7F17E8"/>
    <w:rsid w:val="FF860785"/>
    <w:rsid w:val="FF97694E"/>
    <w:rsid w:val="FFDB295E"/>
    <w:rsid w:val="FFDF4911"/>
    <w:rsid w:val="FFDF7BD9"/>
    <w:rsid w:val="FFE78C27"/>
    <w:rsid w:val="FFECE7CA"/>
    <w:rsid w:val="FFF394F7"/>
    <w:rsid w:val="FFFC2BC8"/>
    <w:rsid w:val="FFFEE8CF"/>
    <w:rsid w:val="FFFF9F95"/>
    <w:rsid w:val="FFFFC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alloon Text"/>
    <w:basedOn w:val="1"/>
    <w:link w:val="10"/>
    <w:uiPriority w:val="0"/>
    <w:rPr>
      <w:sz w:val="18"/>
      <w:szCs w:val="18"/>
    </w:rPr>
  </w:style>
  <w:style w:type="paragraph" w:styleId="4">
    <w:name w:val="footer"/>
    <w:basedOn w:val="1"/>
    <w:link w:val="12"/>
    <w:uiPriority w:val="99"/>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w:basedOn w:val="2"/>
    <w:qFormat/>
    <w:uiPriority w:val="0"/>
    <w:pPr>
      <w:ind w:firstLine="420" w:firstLineChars="100"/>
    </w:pPr>
  </w:style>
  <w:style w:type="paragraph" w:customStyle="1" w:styleId="9">
    <w:name w:val="样式1"/>
    <w:basedOn w:val="6"/>
    <w:qFormat/>
    <w:uiPriority w:val="0"/>
    <w:rPr>
      <w:rFonts w:ascii="Times New Roman" w:hAnsi="Times New Roman" w:eastAsia="华文宋体" w:cs="Times New Roman"/>
      <w:sz w:val="28"/>
    </w:rPr>
  </w:style>
  <w:style w:type="character" w:customStyle="1" w:styleId="10">
    <w:name w:val="批注框文本 字符"/>
    <w:basedOn w:val="8"/>
    <w:link w:val="3"/>
    <w:qFormat/>
    <w:uiPriority w:val="0"/>
    <w:rPr>
      <w:rFonts w:asciiTheme="minorHAnsi" w:hAnsiTheme="minorHAnsi" w:eastAsiaTheme="minorEastAsia" w:cstheme="minorBidi"/>
      <w:kern w:val="2"/>
      <w:sz w:val="18"/>
      <w:szCs w:val="18"/>
    </w:rPr>
  </w:style>
  <w:style w:type="character" w:customStyle="1" w:styleId="11">
    <w:name w:val="页眉 字符"/>
    <w:basedOn w:val="8"/>
    <w:link w:val="5"/>
    <w:qFormat/>
    <w:uiPriority w:val="0"/>
    <w:rPr>
      <w:rFonts w:asciiTheme="minorHAnsi" w:hAnsiTheme="minorHAnsi" w:eastAsiaTheme="minorEastAsia" w:cstheme="minorBidi"/>
      <w:kern w:val="2"/>
      <w:sz w:val="18"/>
      <w:szCs w:val="18"/>
    </w:rPr>
  </w:style>
  <w:style w:type="character" w:customStyle="1" w:styleId="12">
    <w:name w:val="页脚 字符"/>
    <w:basedOn w:val="8"/>
    <w:link w:val="4"/>
    <w:qFormat/>
    <w:uiPriority w:val="99"/>
    <w:rPr>
      <w:rFonts w:asciiTheme="minorHAnsi" w:hAnsiTheme="minorHAnsi" w:eastAsiaTheme="minorEastAsia" w:cstheme="minorBidi"/>
      <w:kern w:val="2"/>
      <w:sz w:val="18"/>
      <w:szCs w:val="18"/>
    </w:rPr>
  </w:style>
  <w:style w:type="paragraph" w:customStyle="1" w:styleId="13">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5D1A4-D9EE-4C58-AF0E-6CA36AC6B953}">
  <ds:schemaRefs/>
</ds:datastoreItem>
</file>

<file path=docProps/app.xml><?xml version="1.0" encoding="utf-8"?>
<Properties xmlns="http://schemas.openxmlformats.org/officeDocument/2006/extended-properties" xmlns:vt="http://schemas.openxmlformats.org/officeDocument/2006/docPropsVTypes">
  <Template>Normal</Template>
  <Pages>8</Pages>
  <Words>5676</Words>
  <Characters>5733</Characters>
  <Lines>41</Lines>
  <Paragraphs>11</Paragraphs>
  <TotalTime>0</TotalTime>
  <ScaleCrop>false</ScaleCrop>
  <LinksUpToDate>false</LinksUpToDate>
  <CharactersWithSpaces>5806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2021-06-19T12:49:00Z</dcterms:created>
  <dc:creator>zhangjunjie</dc:creator>
  <cp:lastModifiedBy>YH</cp:lastModifiedBy>
  <dcterms:modified xsi:type="dcterms:W3CDTF">2024-10-11T02:32:39Z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EA065E7626F94AAB84D892EB4985C1EB</vt:lpwstr>
  </property>
</Properties>
</file>