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75341">
      <w:pPr>
        <w:ind w:firstLine="1124" w:firstLineChars="400"/>
        <w:jc w:val="both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安宁市永昌钢铁有限公司厂外宿舍楼、商铺资产包</w:t>
      </w:r>
    </w:p>
    <w:p w14:paraId="148A60FE">
      <w:pPr>
        <w:ind w:firstLine="3935" w:firstLineChars="1400"/>
        <w:jc w:val="both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标的物介绍</w:t>
      </w:r>
    </w:p>
    <w:p w14:paraId="5F62C8F4">
      <w:pPr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 w14:paraId="38D496DB">
      <w:pPr>
        <w:ind w:firstLine="562"/>
        <w:jc w:val="both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安宁市永昌钢铁有限公司厂外宿舍楼、商铺资产包位于安宁市青龙街道办事处永昌路1号，主要包括办公宿舍楼一栋（包含室内办公家具一批），临街商铺一栋，住宅用地一宗。  根据通域资评报字（2020）第18号资产评估报告（评估基准日为2020年7月30日），本资产包合计清算价值为985.5961万元，具体情况如下：</w:t>
      </w:r>
    </w:p>
    <w:p w14:paraId="26ECE56C">
      <w:pPr>
        <w:numPr>
          <w:ilvl w:val="0"/>
          <w:numId w:val="0"/>
        </w:numPr>
        <w:ind w:firstLine="562" w:firstLineChars="200"/>
        <w:jc w:val="both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（一）厂外宿舍楼</w:t>
      </w:r>
    </w:p>
    <w:p w14:paraId="23C19444">
      <w:pPr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建成于2008年6月30日，整栋建筑面积为 4,232.11 平方米，评估价值为4,946,426元。楼内有办公桌椅、家具等办公设备合计39项，评估价值为68,073元。房屋总层高为5层，主体为框架结构，一层布置为12间办公室，一间会议室；二至四层为职工宿舍，每层28间，每间内有独立卫生间，五层为可以容纳300余人的大型会议室，室内有办公家具一批，具体情况以现场实物现状交付。宿舍楼前为大型停车场，可以容纳约200辆家用汽车。</w:t>
      </w:r>
    </w:p>
    <w:p w14:paraId="733F72A1">
      <w:pPr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附图：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4E82637E">
        <w:tc>
          <w:tcPr>
            <w:tcW w:w="4261" w:type="dxa"/>
          </w:tcPr>
          <w:p w14:paraId="6B9C2C14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drawing>
                <wp:inline distT="0" distB="0" distL="114300" distR="114300">
                  <wp:extent cx="2548890" cy="1911985"/>
                  <wp:effectExtent l="0" t="0" r="3810" b="12065"/>
                  <wp:docPr id="6" name="图片 6" descr="1727415345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72741534545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8890" cy="1911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6B378E2C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drawing>
                <wp:inline distT="0" distB="0" distL="114300" distR="114300">
                  <wp:extent cx="2548890" cy="1911985"/>
                  <wp:effectExtent l="0" t="0" r="3810" b="12065"/>
                  <wp:docPr id="14" name="图片 14" descr="1727415345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172741534541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8890" cy="1911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22F0AE2">
        <w:tc>
          <w:tcPr>
            <w:tcW w:w="4261" w:type="dxa"/>
          </w:tcPr>
          <w:p w14:paraId="32D53939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drawing>
                <wp:inline distT="0" distB="0" distL="114300" distR="114300">
                  <wp:extent cx="2548890" cy="1911985"/>
                  <wp:effectExtent l="0" t="0" r="3810" b="12065"/>
                  <wp:docPr id="8" name="图片 8" descr="1727415345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172741534536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8890" cy="1911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5C78687A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drawing>
                <wp:inline distT="0" distB="0" distL="114300" distR="114300">
                  <wp:extent cx="2548890" cy="1911985"/>
                  <wp:effectExtent l="0" t="0" r="3810" b="12065"/>
                  <wp:docPr id="15" name="图片 15" descr="1727415345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172741534537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8890" cy="1911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FE03492">
        <w:tc>
          <w:tcPr>
            <w:tcW w:w="4261" w:type="dxa"/>
          </w:tcPr>
          <w:p w14:paraId="219C3961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drawing>
                <wp:inline distT="0" distB="0" distL="114300" distR="114300">
                  <wp:extent cx="2536190" cy="3381375"/>
                  <wp:effectExtent l="0" t="0" r="16510" b="9525"/>
                  <wp:docPr id="10" name="图片 10" descr="1727415345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172741534540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190" cy="338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28CC7063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drawing>
                <wp:inline distT="0" distB="0" distL="114300" distR="114300">
                  <wp:extent cx="2536190" cy="3381375"/>
                  <wp:effectExtent l="0" t="0" r="16510" b="9525"/>
                  <wp:docPr id="11" name="图片 11" descr="1727415345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1727415345398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190" cy="338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33BC9BC">
        <w:tc>
          <w:tcPr>
            <w:tcW w:w="4261" w:type="dxa"/>
          </w:tcPr>
          <w:p w14:paraId="640A6B3F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drawing>
                <wp:inline distT="0" distB="0" distL="114300" distR="114300">
                  <wp:extent cx="2548890" cy="1911985"/>
                  <wp:effectExtent l="0" t="0" r="3810" b="12065"/>
                  <wp:docPr id="12" name="图片 12" descr="1727415345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1727415345417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8890" cy="1911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1ED18A17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drawing>
                <wp:inline distT="0" distB="0" distL="114300" distR="114300">
                  <wp:extent cx="2548890" cy="1911985"/>
                  <wp:effectExtent l="0" t="0" r="3810" b="12065"/>
                  <wp:docPr id="13" name="图片 13" descr="1727415345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172741534542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8890" cy="1911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D81AB56">
        <w:tc>
          <w:tcPr>
            <w:tcW w:w="4261" w:type="dxa"/>
          </w:tcPr>
          <w:p w14:paraId="5077C2DF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4261" w:type="dxa"/>
          </w:tcPr>
          <w:p w14:paraId="3EE0F81B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</w:tbl>
    <w:p w14:paraId="63C9ED6D">
      <w:pPr>
        <w:numPr>
          <w:ilvl w:val="0"/>
          <w:numId w:val="0"/>
        </w:numPr>
        <w:ind w:firstLine="420" w:firstLineChars="200"/>
        <w:jc w:val="both"/>
        <w:rPr>
          <w:rFonts w:hint="eastAsia" w:ascii="仿宋" w:hAnsi="仿宋" w:eastAsia="仿宋" w:cs="仿宋"/>
          <w:lang w:val="en-US" w:eastAsia="zh-CN"/>
        </w:rPr>
      </w:pPr>
    </w:p>
    <w:p w14:paraId="0D8A2B0C">
      <w:pPr>
        <w:numPr>
          <w:ilvl w:val="0"/>
          <w:numId w:val="0"/>
        </w:numPr>
        <w:ind w:firstLine="420" w:firstLineChars="200"/>
        <w:jc w:val="both"/>
        <w:rPr>
          <w:rFonts w:hint="eastAsia" w:ascii="仿宋" w:hAnsi="仿宋" w:eastAsia="仿宋" w:cs="仿宋"/>
          <w:lang w:val="en-US" w:eastAsia="zh-CN"/>
        </w:rPr>
      </w:pPr>
    </w:p>
    <w:p w14:paraId="18D57DA8">
      <w:pPr>
        <w:numPr>
          <w:ilvl w:val="0"/>
          <w:numId w:val="0"/>
        </w:numPr>
        <w:ind w:firstLine="420" w:firstLineChars="200"/>
        <w:jc w:val="both"/>
        <w:rPr>
          <w:rFonts w:hint="eastAsia" w:ascii="仿宋" w:hAnsi="仿宋" w:eastAsia="仿宋" w:cs="仿宋"/>
          <w:lang w:val="en-US" w:eastAsia="zh-CN"/>
        </w:rPr>
      </w:pPr>
    </w:p>
    <w:p w14:paraId="10A0766C">
      <w:pPr>
        <w:numPr>
          <w:ilvl w:val="0"/>
          <w:numId w:val="0"/>
        </w:numPr>
        <w:ind w:firstLine="420" w:firstLineChars="200"/>
        <w:jc w:val="both"/>
        <w:rPr>
          <w:rFonts w:hint="eastAsia" w:ascii="仿宋" w:hAnsi="仿宋" w:eastAsia="仿宋" w:cs="仿宋"/>
          <w:lang w:val="en-US" w:eastAsia="zh-CN"/>
        </w:rPr>
      </w:pPr>
    </w:p>
    <w:p w14:paraId="7A530510">
      <w:pPr>
        <w:numPr>
          <w:ilvl w:val="0"/>
          <w:numId w:val="0"/>
        </w:numPr>
        <w:ind w:firstLine="420" w:firstLineChars="200"/>
        <w:jc w:val="both"/>
        <w:rPr>
          <w:rFonts w:hint="eastAsia" w:ascii="仿宋" w:hAnsi="仿宋" w:eastAsia="仿宋" w:cs="仿宋"/>
          <w:lang w:val="en-US" w:eastAsia="zh-CN"/>
        </w:rPr>
      </w:pPr>
    </w:p>
    <w:p w14:paraId="35243336">
      <w:pPr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（二）临街商铺</w:t>
      </w:r>
    </w:p>
    <w:p w14:paraId="14D839D0">
      <w:pPr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安宁市永昌钢铁有限公司临街商铺，位于青龙街道青龙路，建成于2012年12月31日，整栋建筑面积合计 1,321.14平方米，建筑主体为框架结构，上下两层，评估价值为 1,627,564元，目前分隔为11间，均在对外出租，出租信息详见附表。</w:t>
      </w:r>
    </w:p>
    <w:p w14:paraId="4474E161">
      <w:pPr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附图：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140BF65C">
        <w:tc>
          <w:tcPr>
            <w:tcW w:w="4261" w:type="dxa"/>
          </w:tcPr>
          <w:p w14:paraId="677376AA">
            <w:p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drawing>
                <wp:inline distT="0" distB="0" distL="114300" distR="114300">
                  <wp:extent cx="2536190" cy="3381375"/>
                  <wp:effectExtent l="0" t="0" r="16510" b="9525"/>
                  <wp:docPr id="16" name="图片 16" descr="1727415345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172741534536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190" cy="338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156FE1B1">
            <w:p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drawing>
                <wp:inline distT="0" distB="0" distL="114300" distR="114300">
                  <wp:extent cx="2536190" cy="3381375"/>
                  <wp:effectExtent l="0" t="0" r="16510" b="9525"/>
                  <wp:docPr id="17" name="图片 17" descr="1727415345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1727415345350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190" cy="338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C752853">
        <w:tc>
          <w:tcPr>
            <w:tcW w:w="4261" w:type="dxa"/>
          </w:tcPr>
          <w:p w14:paraId="1BB57663">
            <w:p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drawing>
                <wp:inline distT="0" distB="0" distL="114300" distR="114300">
                  <wp:extent cx="2536190" cy="3381375"/>
                  <wp:effectExtent l="0" t="0" r="16510" b="9525"/>
                  <wp:docPr id="18" name="图片 18" descr="1727415345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1727415345342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190" cy="338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6811DD8E">
            <w:p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drawing>
                <wp:inline distT="0" distB="0" distL="114300" distR="114300">
                  <wp:extent cx="2536190" cy="3381375"/>
                  <wp:effectExtent l="0" t="0" r="16510" b="9525"/>
                  <wp:docPr id="19" name="图片 19" descr="1727415345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1727415345339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190" cy="338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2882C91">
        <w:tc>
          <w:tcPr>
            <w:tcW w:w="4261" w:type="dxa"/>
          </w:tcPr>
          <w:p w14:paraId="59E7F21E">
            <w:p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4261" w:type="dxa"/>
          </w:tcPr>
          <w:p w14:paraId="7310B22E">
            <w:p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</w:tbl>
    <w:p w14:paraId="35922648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38A5039C">
      <w:pPr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（三）住宅用地一宗</w:t>
      </w:r>
    </w:p>
    <w:p w14:paraId="55DE3D08">
      <w:pPr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安国用（2005）字第0854 号青龙镇小李白村办公室及商铺土地使用权，用地性质为住宅用地，面积 8,611.73 平方米，永昌钢铁公司通过出让方式取得，到期时间为2075年11月22日，土地使用权评估价值为 3,213,898元。地上附着物为本资产包涉及的厂外宿舍楼一栋，临街商铺一栋，及停车场，具体四至范围以土地证登记坐标为准。</w:t>
      </w:r>
    </w:p>
    <w:p w14:paraId="4A981236">
      <w:pPr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附图：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6E2C0754">
        <w:tc>
          <w:tcPr>
            <w:tcW w:w="4261" w:type="dxa"/>
          </w:tcPr>
          <w:p w14:paraId="39030ADE">
            <w:p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drawing>
                <wp:inline distT="0" distB="0" distL="114300" distR="114300">
                  <wp:extent cx="2568575" cy="3331845"/>
                  <wp:effectExtent l="0" t="0" r="3175" b="1905"/>
                  <wp:docPr id="20" name="图片 20" descr="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04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8575" cy="3331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6A23D44F">
            <w:p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drawing>
                <wp:inline distT="0" distB="0" distL="114300" distR="114300">
                  <wp:extent cx="2568575" cy="3331845"/>
                  <wp:effectExtent l="0" t="0" r="3175" b="1905"/>
                  <wp:docPr id="23" name="图片 23" descr="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041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8575" cy="3331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A8AC44A">
        <w:tc>
          <w:tcPr>
            <w:tcW w:w="4261" w:type="dxa"/>
          </w:tcPr>
          <w:p w14:paraId="41AFD450">
            <w:p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drawing>
                <wp:inline distT="0" distB="0" distL="114300" distR="114300">
                  <wp:extent cx="2568575" cy="3331845"/>
                  <wp:effectExtent l="0" t="0" r="3175" b="1905"/>
                  <wp:docPr id="24" name="图片 24" descr="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044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8575" cy="3331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2C9C40D3">
            <w:pPr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drawing>
                <wp:inline distT="0" distB="0" distL="114300" distR="114300">
                  <wp:extent cx="2568575" cy="3331845"/>
                  <wp:effectExtent l="0" t="0" r="3175" b="1905"/>
                  <wp:docPr id="22" name="图片 22" descr="0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047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8575" cy="3331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175970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lang w:val="en-US" w:eastAsia="zh-CN"/>
        </w:rPr>
      </w:pPr>
    </w:p>
    <w:p w14:paraId="7427894D"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特别说明</w:t>
      </w:r>
    </w:p>
    <w:p w14:paraId="6FF25DBE">
      <w:pPr>
        <w:numPr>
          <w:ilvl w:val="0"/>
          <w:numId w:val="2"/>
        </w:num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资产包内的“厂外宿舍楼”、“临街商铺”两栋建筑物因永昌公司停产时间较长至今未办理房屋产权证书，两栋建筑没有不动产登记证，受让后能否办理不动产登记证存在不确定性，请竞拍人自行到不动产登记部门咨询了解。</w:t>
      </w:r>
    </w:p>
    <w:p w14:paraId="489D5225">
      <w:pPr>
        <w:numPr>
          <w:ilvl w:val="0"/>
          <w:numId w:val="2"/>
        </w:num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因土地上建筑物没有办理不动产登记证，土地证能否办理转让变更存在不确定性，请竞拍人自行到不动产登记部门咨询了解。</w:t>
      </w:r>
    </w:p>
    <w:p w14:paraId="6DE2B7C2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</w:p>
    <w:p w14:paraId="7C643C35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0181BC47-C7FB-2457-6DD5-086793E1F977}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TFangsong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428A7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8192F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48192F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1E788"/>
    <w:multiLevelType w:val="singleLevel"/>
    <w:tmpl w:val="9231E78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A1ED6A2"/>
    <w:multiLevelType w:val="singleLevel"/>
    <w:tmpl w:val="DA1ED6A2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4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mMjEzZTdjYzVhNmQyODI1YWM3MjcxMTEyNWFjODkifQ=="/>
  </w:docVars>
  <w:rsids>
    <w:rsidRoot w:val="00E67F71"/>
    <w:rsid w:val="0001633C"/>
    <w:rsid w:val="00021933"/>
    <w:rsid w:val="00095A99"/>
    <w:rsid w:val="000A04AB"/>
    <w:rsid w:val="002352F6"/>
    <w:rsid w:val="00261500"/>
    <w:rsid w:val="002C01AE"/>
    <w:rsid w:val="002D2377"/>
    <w:rsid w:val="003316C2"/>
    <w:rsid w:val="0033661B"/>
    <w:rsid w:val="003803FF"/>
    <w:rsid w:val="004810A7"/>
    <w:rsid w:val="004A281C"/>
    <w:rsid w:val="0052028F"/>
    <w:rsid w:val="005D3AF0"/>
    <w:rsid w:val="006C4CAF"/>
    <w:rsid w:val="006E3967"/>
    <w:rsid w:val="00727D63"/>
    <w:rsid w:val="007D7C12"/>
    <w:rsid w:val="007E1E4E"/>
    <w:rsid w:val="008B21ED"/>
    <w:rsid w:val="008F4720"/>
    <w:rsid w:val="009D7CBE"/>
    <w:rsid w:val="00A07622"/>
    <w:rsid w:val="00A60F7A"/>
    <w:rsid w:val="00AA2A2F"/>
    <w:rsid w:val="00B7265F"/>
    <w:rsid w:val="00B7546F"/>
    <w:rsid w:val="00BA59E6"/>
    <w:rsid w:val="00CD58AD"/>
    <w:rsid w:val="00D50958"/>
    <w:rsid w:val="00D515A1"/>
    <w:rsid w:val="00DC313F"/>
    <w:rsid w:val="00E070D8"/>
    <w:rsid w:val="00E47C21"/>
    <w:rsid w:val="00E67F71"/>
    <w:rsid w:val="01D14928"/>
    <w:rsid w:val="02427F54"/>
    <w:rsid w:val="03C5029A"/>
    <w:rsid w:val="03D85B6B"/>
    <w:rsid w:val="066C559F"/>
    <w:rsid w:val="0D605732"/>
    <w:rsid w:val="0DCA6AA3"/>
    <w:rsid w:val="0E5721EA"/>
    <w:rsid w:val="0E6C2508"/>
    <w:rsid w:val="0E6C3039"/>
    <w:rsid w:val="0FCC0030"/>
    <w:rsid w:val="10DE2916"/>
    <w:rsid w:val="1CF93733"/>
    <w:rsid w:val="216655B5"/>
    <w:rsid w:val="22405E06"/>
    <w:rsid w:val="226B2757"/>
    <w:rsid w:val="22927C7C"/>
    <w:rsid w:val="22BF01B0"/>
    <w:rsid w:val="25891872"/>
    <w:rsid w:val="25BF18A8"/>
    <w:rsid w:val="263A4777"/>
    <w:rsid w:val="27D148CD"/>
    <w:rsid w:val="28447CD2"/>
    <w:rsid w:val="290649B4"/>
    <w:rsid w:val="29B42C36"/>
    <w:rsid w:val="2FF95846"/>
    <w:rsid w:val="34E15BC1"/>
    <w:rsid w:val="35C506A4"/>
    <w:rsid w:val="375F2433"/>
    <w:rsid w:val="38F92413"/>
    <w:rsid w:val="3A971291"/>
    <w:rsid w:val="3D575A30"/>
    <w:rsid w:val="3E717D18"/>
    <w:rsid w:val="3EEEA701"/>
    <w:rsid w:val="3FCF7EA0"/>
    <w:rsid w:val="3FF345F3"/>
    <w:rsid w:val="41406E31"/>
    <w:rsid w:val="42E303BC"/>
    <w:rsid w:val="43C54DF8"/>
    <w:rsid w:val="47264D1B"/>
    <w:rsid w:val="4F6463E1"/>
    <w:rsid w:val="4F6D3310"/>
    <w:rsid w:val="530C5AE8"/>
    <w:rsid w:val="55D94816"/>
    <w:rsid w:val="55EB7F0D"/>
    <w:rsid w:val="56644F18"/>
    <w:rsid w:val="5AD7695F"/>
    <w:rsid w:val="5B687515"/>
    <w:rsid w:val="5BB7C39C"/>
    <w:rsid w:val="5C573517"/>
    <w:rsid w:val="5DDD1AD4"/>
    <w:rsid w:val="5DFF3E13"/>
    <w:rsid w:val="5F990328"/>
    <w:rsid w:val="61D4389A"/>
    <w:rsid w:val="62EA7E4C"/>
    <w:rsid w:val="631D301E"/>
    <w:rsid w:val="63C34140"/>
    <w:rsid w:val="64AA5237"/>
    <w:rsid w:val="664C4543"/>
    <w:rsid w:val="683D1242"/>
    <w:rsid w:val="6B4A3807"/>
    <w:rsid w:val="6BA26F9A"/>
    <w:rsid w:val="6C87668A"/>
    <w:rsid w:val="6CB87914"/>
    <w:rsid w:val="6CCB3AEB"/>
    <w:rsid w:val="6D6535F8"/>
    <w:rsid w:val="6F6B1CBD"/>
    <w:rsid w:val="6FFE6E2F"/>
    <w:rsid w:val="719854DC"/>
    <w:rsid w:val="731A8D56"/>
    <w:rsid w:val="73A34E7A"/>
    <w:rsid w:val="73F60333"/>
    <w:rsid w:val="73FF070B"/>
    <w:rsid w:val="74A74128"/>
    <w:rsid w:val="76636B42"/>
    <w:rsid w:val="76CB215F"/>
    <w:rsid w:val="76F8372F"/>
    <w:rsid w:val="78010125"/>
    <w:rsid w:val="7A980D53"/>
    <w:rsid w:val="7AEED52F"/>
    <w:rsid w:val="7DE7027A"/>
    <w:rsid w:val="7DFA8149"/>
    <w:rsid w:val="7E8E6727"/>
    <w:rsid w:val="7E9C52E7"/>
    <w:rsid w:val="7EAA22DE"/>
    <w:rsid w:val="7F8F09A8"/>
    <w:rsid w:val="7FE25BE2"/>
    <w:rsid w:val="B757D2EC"/>
    <w:rsid w:val="B76FF31C"/>
    <w:rsid w:val="BE0F45E8"/>
    <w:rsid w:val="BFB70A66"/>
    <w:rsid w:val="DFF6B017"/>
    <w:rsid w:val="E7F7D9B0"/>
    <w:rsid w:val="EF4F1A42"/>
    <w:rsid w:val="FB7E568E"/>
    <w:rsid w:val="FBF7F64E"/>
    <w:rsid w:val="FF6F2899"/>
    <w:rsid w:val="FF75E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2"/>
    <w:next w:val="1"/>
    <w:qFormat/>
    <w:uiPriority w:val="0"/>
    <w:pPr>
      <w:ind w:firstLine="420" w:firstLineChars="200"/>
    </w:pPr>
    <w:rPr>
      <w:rFonts w:ascii="Times New Roman" w:hAnsi="Times New Roman" w:eastAsia="仿宋"/>
      <w:kern w:val="0"/>
      <w:szCs w:val="20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autoRedefine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修订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14">
    <w:name w:val="修订2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15">
    <w:name w:val="图名"/>
    <w:basedOn w:val="1"/>
    <w:next w:val="1"/>
    <w:qFormat/>
    <w:uiPriority w:val="0"/>
    <w:pPr>
      <w:spacing w:after="50" w:afterLines="50"/>
      <w:ind w:firstLine="0" w:firstLineChars="0"/>
      <w:jc w:val="center"/>
    </w:pPr>
    <w:rPr>
      <w:b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601</Words>
  <Characters>694</Characters>
  <Lines>6</Lines>
  <Paragraphs>1</Paragraphs>
  <TotalTime>174</TotalTime>
  <ScaleCrop>false</ScaleCrop>
  <LinksUpToDate>false</LinksUpToDate>
  <CharactersWithSpaces>704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2023-12-03T04:24:00Z</dcterms:created>
  <dc:creator>xiaoya deng</dc:creator>
  <cp:lastModifiedBy>lawyerZ</cp:lastModifiedBy>
  <dcterms:modified xsi:type="dcterms:W3CDTF">2024-10-11T15:36:13Z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779739CA3142F4C84FFEF866E051BE17_43</vt:lpwstr>
  </property>
</Properties>
</file>